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535DF" w14:textId="1464E593" w:rsidR="007354FA" w:rsidRDefault="007354FA" w:rsidP="00633068">
      <w:pPr>
        <w:pStyle w:val="NoSpacing"/>
        <w:rPr>
          <w:lang w:val="en-AU"/>
        </w:rPr>
      </w:pPr>
      <w:bookmarkStart w:id="1" w:name="_Toc480988875"/>
      <w:bookmarkStart w:id="2" w:name="_Toc481138187"/>
      <w:bookmarkStart w:id="3" w:name="_Toc481138395"/>
      <w:bookmarkStart w:id="4" w:name="_Hlk481497640"/>
    </w:p>
    <w:sdt>
      <w:sdtPr>
        <w:rPr>
          <w:lang w:val="en-AU"/>
        </w:rPr>
        <w:id w:val="-1806228930"/>
        <w:docPartObj>
          <w:docPartGallery w:val="Cover Pages"/>
          <w:docPartUnique/>
        </w:docPartObj>
      </w:sdtPr>
      <w:sdtEndPr/>
      <w:sdtContent>
        <w:sdt>
          <w:sdtPr>
            <w:id w:val="-1193684748"/>
            <w:placeholder>
              <w:docPart w:val="7EADE071DAEA41E78F612AFD418C39B7"/>
            </w:placeholder>
            <w:showingPlcHdr/>
            <w:text/>
          </w:sdtPr>
          <w:sdtEndPr/>
          <w:sdtContent>
            <w:p w14:paraId="459BC7E1" w14:textId="056E9E22" w:rsidR="00067DD9" w:rsidRDefault="00067DD9" w:rsidP="00633068">
              <w:pPr>
                <w:pStyle w:val="NoSpacing"/>
                <w:sectPr w:rsidR="00067DD9" w:rsidSect="00736B75">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134" w:right="1134" w:bottom="1134" w:left="1134" w:header="709" w:footer="692" w:gutter="0"/>
                  <w:pgNumType w:start="0"/>
                  <w:cols w:space="708"/>
                  <w:docGrid w:linePitch="360"/>
                </w:sectPr>
              </w:pPr>
              <w:r>
                <w:t xml:space="preserve">  </w:t>
              </w:r>
            </w:p>
          </w:sdtContent>
        </w:sdt>
        <w:p w14:paraId="044FD251" w14:textId="7EFE73C8" w:rsidR="00067DD9" w:rsidRPr="0063494B" w:rsidRDefault="00A674FF" w:rsidP="00633068">
          <w:pPr>
            <w:pStyle w:val="Title"/>
          </w:pPr>
          <w:sdt>
            <w:sdtPr>
              <w:alias w:val="Title"/>
              <w:tag w:val=""/>
              <w:id w:val="-1656833702"/>
              <w:placeholder>
                <w:docPart w:val="34EC1314B48946F9AB9A023C3A43A56C"/>
              </w:placeholder>
              <w:dataBinding w:prefixMappings="xmlns:ns0='http://purl.org/dc/elements/1.1/' xmlns:ns1='http://schemas.openxmlformats.org/package/2006/metadata/core-properties' " w:xpath="/ns1:coreProperties[1]/ns0:title[1]" w:storeItemID="{6C3C8BC8-F283-45AE-878A-BAB7291924A1}"/>
              <w:text/>
            </w:sdtPr>
            <w:sdtEndPr/>
            <w:sdtContent>
              <w:r w:rsidR="00AA1D9F">
                <w:t>Greater Western Water</w:t>
              </w:r>
              <w:r w:rsidR="008F4FDA">
                <w:t xml:space="preserve"> draft decision</w:t>
              </w:r>
            </w:sdtContent>
          </w:sdt>
        </w:p>
        <w:sdt>
          <w:sdtPr>
            <w:alias w:val="Subtitle"/>
            <w:tag w:val=""/>
            <w:id w:val="1140151582"/>
            <w:placeholder>
              <w:docPart w:val="F3C3A57147344A77851F182346213046"/>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05441D29" w14:textId="0A900914" w:rsidR="00067DD9" w:rsidRDefault="008F4FDA" w:rsidP="00633068">
              <w:pPr>
                <w:pStyle w:val="Subtitle"/>
              </w:pPr>
              <w:r>
                <w:t>202</w:t>
              </w:r>
              <w:r w:rsidR="00D75354">
                <w:t>4</w:t>
              </w:r>
              <w:r>
                <w:t xml:space="preserve"> Water Price Review</w:t>
              </w:r>
            </w:p>
          </w:sdtContent>
        </w:sdt>
        <w:p w14:paraId="211F560F" w14:textId="6F01C6CC" w:rsidR="00067DD9" w:rsidRDefault="006A2B90" w:rsidP="000A7FD9">
          <w:pPr>
            <w:pStyle w:val="Subtitle"/>
          </w:pPr>
          <w:r w:rsidRPr="00ED6A08">
            <w:rPr>
              <w:lang w:val="en-US"/>
            </w:rPr>
            <w:t>2</w:t>
          </w:r>
          <w:r w:rsidR="000A6C17" w:rsidRPr="00ED6A08">
            <w:rPr>
              <w:lang w:val="en-US"/>
            </w:rPr>
            <w:t>6</w:t>
          </w:r>
          <w:r w:rsidR="00747571" w:rsidRPr="00ED6A08">
            <w:rPr>
              <w:lang w:val="en-US"/>
            </w:rPr>
            <w:t xml:space="preserve"> March 202</w:t>
          </w:r>
          <w:r w:rsidR="00D75354" w:rsidRPr="00ED6A08">
            <w:rPr>
              <w:lang w:val="en-US"/>
            </w:rPr>
            <w:t>4</w:t>
          </w:r>
        </w:p>
        <w:p w14:paraId="4A353EB6" w14:textId="77777777" w:rsidR="00067DD9" w:rsidRDefault="00067DD9"/>
        <w:p w14:paraId="77B3ADF8" w14:textId="77777777" w:rsidR="00067DD9" w:rsidRDefault="00067DD9">
          <w:pPr>
            <w:spacing w:line="259" w:lineRule="auto"/>
          </w:pPr>
          <w:r>
            <w:br w:type="page"/>
          </w:r>
        </w:p>
      </w:sdtContent>
    </w:sdt>
    <w:p w14:paraId="43260BD7" w14:textId="77777777" w:rsidR="00F83935" w:rsidRDefault="00F83935" w:rsidP="000D4547">
      <w:pPr>
        <w:pStyle w:val="NoSpacing"/>
        <w:rPr>
          <w:b/>
        </w:rPr>
      </w:pPr>
    </w:p>
    <w:p w14:paraId="7047AA8B" w14:textId="77777777" w:rsidR="006957B8" w:rsidRDefault="006957B8" w:rsidP="006957B8">
      <w:pPr>
        <w:pStyle w:val="Heading2"/>
      </w:pPr>
      <w:bookmarkStart w:id="5" w:name="_Toc161400956"/>
      <w:r>
        <w:t>Acknowledgement</w:t>
      </w:r>
      <w:bookmarkEnd w:id="5"/>
    </w:p>
    <w:p w14:paraId="086696C7" w14:textId="77777777" w:rsidR="006957B8" w:rsidRDefault="006957B8" w:rsidP="006957B8">
      <w:r>
        <w:t>We acknowledge the Traditional Owners of the lands and waterways on which we work and live.</w:t>
      </w:r>
    </w:p>
    <w:p w14:paraId="62B30291" w14:textId="77777777" w:rsidR="006957B8" w:rsidRDefault="006957B8" w:rsidP="006957B8">
      <w:r>
        <w:t xml:space="preserve">We acknowledge all Aboriginal and Torres Strait Islander </w:t>
      </w:r>
      <w:proofErr w:type="gramStart"/>
      <w:r>
        <w:t>communities, and</w:t>
      </w:r>
      <w:proofErr w:type="gramEnd"/>
      <w:r>
        <w:t xml:space="preserve"> pay our respects to Elders past and present.</w:t>
      </w:r>
    </w:p>
    <w:p w14:paraId="08767050" w14:textId="77777777" w:rsidR="006957B8" w:rsidRDefault="006957B8" w:rsidP="006957B8">
      <w:r>
        <w:t>As the First Peoples of this land, belonging to the world’s oldest living cultures, we recognise and value their knowledge, and ongoing role in shaping and enriching the story of Victoria.</w:t>
      </w:r>
    </w:p>
    <w:p w14:paraId="441444F3" w14:textId="77777777" w:rsidR="006957B8" w:rsidRDefault="006957B8" w:rsidP="00F83935">
      <w:pPr>
        <w:spacing w:line="259" w:lineRule="auto"/>
        <w:rPr>
          <w:rStyle w:val="Strong"/>
        </w:rPr>
      </w:pPr>
    </w:p>
    <w:p w14:paraId="25A0FD9D" w14:textId="77777777" w:rsidR="00881E07" w:rsidRPr="00F83935" w:rsidRDefault="00881E07" w:rsidP="00F83935">
      <w:pPr>
        <w:spacing w:line="259" w:lineRule="auto"/>
        <w:rPr>
          <w:rStyle w:val="Strong"/>
          <w:b w:val="0"/>
          <w:bCs w:val="0"/>
        </w:rPr>
      </w:pPr>
      <w:r w:rsidRPr="00710792">
        <w:rPr>
          <w:rStyle w:val="Strong"/>
        </w:rPr>
        <w:t>An appropriate citation for this paper is:</w:t>
      </w:r>
      <w:bookmarkEnd w:id="1"/>
      <w:bookmarkEnd w:id="2"/>
      <w:bookmarkEnd w:id="3"/>
    </w:p>
    <w:p w14:paraId="2C2E46F4" w14:textId="6C273255" w:rsidR="00943BDE" w:rsidRDefault="00881E07" w:rsidP="00943BDE">
      <w:r>
        <w:t>Essential Services Commission</w:t>
      </w:r>
      <w:r w:rsidR="003904B9">
        <w:t xml:space="preserve"> </w:t>
      </w:r>
      <w:sdt>
        <w:sdtPr>
          <w:alias w:val="Year"/>
          <w:tag w:val="Year"/>
          <w:id w:val="-1184668763"/>
          <w:placeholder>
            <w:docPart w:val="67DD3D462EAE4C6E8B7D70E61E480038"/>
          </w:placeholder>
          <w:dropDownList>
            <w:listItem w:value="Choose an item."/>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AA1D9F" w:rsidRPr="00AA1D9F">
            <w:t>2024</w:t>
          </w:r>
        </w:sdtContent>
      </w:sdt>
      <w:r w:rsidRPr="00AA1D9F">
        <w:t xml:space="preserve">, </w:t>
      </w:r>
      <w:sdt>
        <w:sdtPr>
          <w:rPr>
            <w:i/>
            <w:iCs/>
          </w:rPr>
          <w:alias w:val="Title"/>
          <w:tag w:val=""/>
          <w:id w:val="1260560542"/>
          <w:placeholder>
            <w:docPart w:val="C41C5A18611B41BDB65BD4BDF4A2EAF3"/>
          </w:placeholder>
          <w:dataBinding w:prefixMappings="xmlns:ns0='http://purl.org/dc/elements/1.1/' xmlns:ns1='http://schemas.openxmlformats.org/package/2006/metadata/core-properties' " w:xpath="/ns1:coreProperties[1]/ns0:title[1]" w:storeItemID="{6C3C8BC8-F283-45AE-878A-BAB7291924A1}"/>
          <w:text/>
        </w:sdtPr>
        <w:sdtEndPr/>
        <w:sdtContent>
          <w:r w:rsidR="00AA1D9F" w:rsidRPr="00AA1D9F">
            <w:rPr>
              <w:i/>
              <w:iCs/>
            </w:rPr>
            <w:t>Greater Western Water</w:t>
          </w:r>
          <w:r w:rsidR="008F4FDA" w:rsidRPr="00AA1D9F">
            <w:rPr>
              <w:i/>
              <w:iCs/>
            </w:rPr>
            <w:t xml:space="preserve"> draft decision</w:t>
          </w:r>
        </w:sdtContent>
      </w:sdt>
      <w:r w:rsidR="00633068" w:rsidRPr="00263AEA">
        <w:rPr>
          <w:i/>
          <w:iCs/>
        </w:rPr>
        <w:t xml:space="preserve">: </w:t>
      </w:r>
      <w:sdt>
        <w:sdtPr>
          <w:rPr>
            <w:i/>
            <w:iCs/>
          </w:rPr>
          <w:alias w:val="Subtitle"/>
          <w:tag w:val=""/>
          <w:id w:val="-295916621"/>
          <w:placeholder>
            <w:docPart w:val="8354013ECA134B9FB69E14D68AF69B72"/>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D75354" w:rsidRPr="00ED6A08">
            <w:rPr>
              <w:i/>
              <w:iCs/>
            </w:rPr>
            <w:t>2024 Water Price Review</w:t>
          </w:r>
        </w:sdtContent>
      </w:sdt>
      <w:r w:rsidR="00012434" w:rsidRPr="00ED6A08">
        <w:t>,</w:t>
      </w:r>
      <w:r w:rsidR="00633068" w:rsidRPr="00ED6A08">
        <w:t xml:space="preserve"> </w:t>
      </w:r>
      <w:sdt>
        <w:sdtPr>
          <w:alias w:val="Date"/>
          <w:tag w:val="Year"/>
          <w:id w:val="-733004738"/>
          <w:placeholder>
            <w:docPart w:val="A6A70FB33E4D435C8A73809645834C15"/>
          </w:placeholder>
          <w:date w:fullDate="2024-03-26T00:00:00Z">
            <w:dateFormat w:val="d MMMM "/>
            <w:lid w:val="en-US"/>
            <w:storeMappedDataAs w:val="dateTime"/>
            <w:calendar w:val="gregorian"/>
          </w:date>
        </w:sdtPr>
        <w:sdtEndPr/>
        <w:sdtContent>
          <w:r w:rsidR="000A6C17" w:rsidRPr="00ED6A08">
            <w:t>26</w:t>
          </w:r>
          <w:r w:rsidR="0015405B" w:rsidRPr="00ED6A08">
            <w:rPr>
              <w:lang w:val="en-US"/>
            </w:rPr>
            <w:t xml:space="preserve"> March </w:t>
          </w:r>
        </w:sdtContent>
      </w:sdt>
    </w:p>
    <w:p w14:paraId="0664CD18" w14:textId="77777777" w:rsidR="00710792" w:rsidRDefault="00710792" w:rsidP="00710792">
      <w:pPr>
        <w:rPr>
          <w:rStyle w:val="Strong"/>
        </w:rPr>
      </w:pPr>
      <w:bookmarkStart w:id="6" w:name="_Toc480988876"/>
      <w:bookmarkStart w:id="7" w:name="_Toc481138188"/>
      <w:bookmarkStart w:id="8" w:name="_Toc481138396"/>
    </w:p>
    <w:p w14:paraId="641CCC03" w14:textId="77777777" w:rsidR="00881E07" w:rsidRPr="00710792" w:rsidRDefault="00881E07" w:rsidP="00710792">
      <w:pPr>
        <w:rPr>
          <w:rStyle w:val="Strong"/>
        </w:rPr>
      </w:pPr>
      <w:r w:rsidRPr="00710792">
        <w:rPr>
          <w:rStyle w:val="Strong"/>
        </w:rPr>
        <w:t>Copyright notice</w:t>
      </w:r>
      <w:bookmarkEnd w:id="6"/>
      <w:bookmarkEnd w:id="7"/>
      <w:bookmarkEnd w:id="8"/>
    </w:p>
    <w:p w14:paraId="3FCB7511" w14:textId="0BE51F88" w:rsidR="00881E07" w:rsidRDefault="00881E07" w:rsidP="00943BDE">
      <w:r>
        <w:t xml:space="preserve">© </w:t>
      </w:r>
      <w:r w:rsidR="00563AD8">
        <w:t>Essential Services Commission</w:t>
      </w:r>
      <w:r w:rsidR="00012434">
        <w:t>,</w:t>
      </w:r>
      <w:r w:rsidR="00563AD8">
        <w:t xml:space="preserve"> </w:t>
      </w:r>
      <w:sdt>
        <w:sdtPr>
          <w:alias w:val="Year"/>
          <w:tag w:val="Year"/>
          <w:id w:val="1606076632"/>
          <w:placeholder>
            <w:docPart w:val="2FD311BECF124DFFAEBE6B54F1D46810"/>
          </w:placeholder>
          <w:dropDownList>
            <w:listItem w:value="Choose an item."/>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8C506D" w:rsidRPr="008C506D">
            <w:t>2024</w:t>
          </w:r>
        </w:sdtContent>
      </w:sdt>
    </w:p>
    <w:p w14:paraId="7B56EF2E" w14:textId="77777777" w:rsidR="0050064B" w:rsidRDefault="0050064B" w:rsidP="00943BDE"/>
    <w:p w14:paraId="5122A807" w14:textId="77777777" w:rsidR="00881E07" w:rsidRDefault="0050064B" w:rsidP="00881E07">
      <w:r w:rsidRPr="00F70F20">
        <w:rPr>
          <w:noProof/>
          <w:lang w:eastAsia="en-AU"/>
        </w:rPr>
        <w:drawing>
          <wp:inline distT="0" distB="0" distL="0" distR="0" wp14:anchorId="36A4AC76" wp14:editId="66790ED2">
            <wp:extent cx="1198800" cy="421200"/>
            <wp:effectExtent l="0" t="0" r="1905" b="0"/>
            <wp:docPr id="4" name="Picture 4" descr="untitl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untitled">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8800" cy="421200"/>
                    </a:xfrm>
                    <a:prstGeom prst="rect">
                      <a:avLst/>
                    </a:prstGeom>
                    <a:noFill/>
                  </pic:spPr>
                </pic:pic>
              </a:graphicData>
            </a:graphic>
          </wp:inline>
        </w:drawing>
      </w:r>
      <w:r w:rsidR="00881E07">
        <w:t xml:space="preserve"> </w:t>
      </w:r>
    </w:p>
    <w:p w14:paraId="3994F92C" w14:textId="32919C66" w:rsidR="00881E07" w:rsidRDefault="00881E07" w:rsidP="00881E07">
      <w:r>
        <w:t xml:space="preserve">This work, </w:t>
      </w:r>
      <w:sdt>
        <w:sdtPr>
          <w:alias w:val="Title"/>
          <w:tag w:val=""/>
          <w:id w:val="1731569904"/>
          <w:placeholder>
            <w:docPart w:val="B9DE4E6574DA49069C706AC679A5F08E"/>
          </w:placeholder>
          <w:dataBinding w:prefixMappings="xmlns:ns0='http://purl.org/dc/elements/1.1/' xmlns:ns1='http://schemas.openxmlformats.org/package/2006/metadata/core-properties' " w:xpath="/ns1:coreProperties[1]/ns0:title[1]" w:storeItemID="{6C3C8BC8-F283-45AE-878A-BAB7291924A1}"/>
          <w:text/>
        </w:sdtPr>
        <w:sdtEndPr/>
        <w:sdtContent>
          <w:r w:rsidR="00AA1D9F">
            <w:t>Greater Western Water</w:t>
          </w:r>
          <w:r w:rsidR="008F4FDA">
            <w:t xml:space="preserve"> draft decision</w:t>
          </w:r>
        </w:sdtContent>
      </w:sdt>
      <w:r>
        <w:t>, is licensed under a Creative Commons Attribution 4.0 licence [creativecommons.org/licen</w:t>
      </w:r>
      <w:r w:rsidR="00563AD8">
        <w:t>ses/by/4.0]. You are free to re</w:t>
      </w:r>
      <w:r w:rsidR="000D6B4B">
        <w:noBreakHyphen/>
      </w:r>
      <w:r>
        <w:t>use the work under that licence, on the condition that you credit the Essential Services Commission as author, indicate if changes were made and comply with the other licence terms.</w:t>
      </w:r>
    </w:p>
    <w:p w14:paraId="2327E4A7" w14:textId="77777777" w:rsidR="00EA47A3" w:rsidRDefault="00881E07" w:rsidP="00881E07">
      <w:r>
        <w:t xml:space="preserve">The licence does not apply to any brand logo, </w:t>
      </w:r>
      <w:proofErr w:type="gramStart"/>
      <w:r>
        <w:t>images</w:t>
      </w:r>
      <w:proofErr w:type="gramEnd"/>
      <w:r>
        <w:t xml:space="preserve"> or photographs within the publication.</w:t>
      </w:r>
    </w:p>
    <w:p w14:paraId="4C7BA213" w14:textId="77777777" w:rsidR="00717CCA" w:rsidRDefault="00717CCA" w:rsidP="00881E07"/>
    <w:p w14:paraId="3E0590B7" w14:textId="77777777" w:rsidR="00717CCA" w:rsidRDefault="00717CCA" w:rsidP="00881E07"/>
    <w:bookmarkEnd w:id="4" w:displacedByCustomXml="next"/>
    <w:sdt>
      <w:sdtPr>
        <w:id w:val="1641840776"/>
        <w:lock w:val="sdtContentLocked"/>
        <w:placeholder>
          <w:docPart w:val="7D23570527974AA099E9AC7114E4E31E"/>
        </w:placeholder>
        <w:showingPlcHdr/>
        <w:text/>
      </w:sdtPr>
      <w:sdtEndPr/>
      <w:sdtContent>
        <w:p w14:paraId="768D7FD7" w14:textId="77777777" w:rsidR="004309BF" w:rsidRDefault="004309BF" w:rsidP="004309BF">
          <w:r>
            <w:t xml:space="preserve">  </w:t>
          </w:r>
        </w:p>
      </w:sdtContent>
    </w:sdt>
    <w:p w14:paraId="53D1C362" w14:textId="77777777" w:rsidR="007A1132" w:rsidRDefault="007A1132" w:rsidP="00710792">
      <w:pPr>
        <w:pStyle w:val="Heading1"/>
        <w:sectPr w:rsidR="007A1132" w:rsidSect="00736B75">
          <w:headerReference w:type="default" r:id="rId19"/>
          <w:footerReference w:type="default" r:id="rId20"/>
          <w:type w:val="continuous"/>
          <w:pgSz w:w="11906" w:h="16838" w:code="9"/>
          <w:pgMar w:top="1134" w:right="1134" w:bottom="1134" w:left="1134" w:header="709" w:footer="692" w:gutter="0"/>
          <w:pgNumType w:fmt="lowerRoman"/>
          <w:cols w:space="708"/>
          <w:docGrid w:linePitch="360"/>
        </w:sectPr>
      </w:pPr>
      <w:bookmarkStart w:id="9" w:name="_Toc481138189"/>
      <w:bookmarkStart w:id="10" w:name="_Toc481138397"/>
    </w:p>
    <w:bookmarkEnd w:id="9"/>
    <w:bookmarkEnd w:id="10"/>
    <w:p w14:paraId="45584F22" w14:textId="77777777" w:rsidR="00A75100" w:rsidRDefault="00A75100">
      <w:pPr>
        <w:spacing w:before="0" w:line="259" w:lineRule="auto"/>
      </w:pPr>
      <w:r>
        <w:br w:type="page"/>
      </w:r>
    </w:p>
    <w:p w14:paraId="05E92AD3" w14:textId="30BD947F" w:rsidR="00D3670C" w:rsidRPr="00394187" w:rsidRDefault="00D3670C" w:rsidP="00394187">
      <w:pPr>
        <w:pStyle w:val="TOCHeading"/>
        <w:rPr>
          <w:rStyle w:val="Hyperlink"/>
          <w:color w:val="CE0058" w:themeColor="accent2"/>
          <w:u w:val="none"/>
        </w:rPr>
      </w:pPr>
      <w:r w:rsidRPr="00394187">
        <w:rPr>
          <w:rStyle w:val="Hyperlink"/>
          <w:color w:val="CE0058" w:themeColor="accent2"/>
          <w:u w:val="none"/>
        </w:rPr>
        <w:lastRenderedPageBreak/>
        <w:t>Contents</w:t>
      </w:r>
    </w:p>
    <w:p w14:paraId="798A097A" w14:textId="3482C6CD" w:rsidR="006512B1" w:rsidRDefault="00782E55" w:rsidP="00CC4246">
      <w:pPr>
        <w:pStyle w:val="TOC3"/>
        <w:rPr>
          <w:rFonts w:eastAsiaTheme="minorEastAsia"/>
          <w:kern w:val="2"/>
          <w:lang w:eastAsia="en-AU"/>
          <w14:ligatures w14:val="standardContextual"/>
        </w:rPr>
      </w:pPr>
      <w:r>
        <w:fldChar w:fldCharType="begin"/>
      </w:r>
      <w:r>
        <w:instrText xml:space="preserve"> TOC \h \z \t "Heading 1,1,Heading 2,3,Heading 3,5,Heading 1 numbered,2,Heading 2 numbered,4,Heading 3 numbered,6" </w:instrText>
      </w:r>
      <w:r>
        <w:fldChar w:fldCharType="separate"/>
      </w:r>
    </w:p>
    <w:p w14:paraId="3F9A7EB0" w14:textId="4E4A53CA" w:rsidR="006512B1" w:rsidRDefault="00A674FF">
      <w:pPr>
        <w:pStyle w:val="TOC1"/>
        <w:rPr>
          <w:rFonts w:eastAsiaTheme="minorEastAsia"/>
          <w:b w:val="0"/>
          <w:noProof/>
          <w:kern w:val="2"/>
          <w:lang w:eastAsia="en-AU"/>
          <w14:ligatures w14:val="standardContextual"/>
        </w:rPr>
      </w:pPr>
      <w:hyperlink w:anchor="_Toc161400957" w:history="1">
        <w:r w:rsidR="006512B1" w:rsidRPr="008E14ED">
          <w:rPr>
            <w:rStyle w:val="Hyperlink"/>
            <w:noProof/>
          </w:rPr>
          <w:t>Summary</w:t>
        </w:r>
        <w:r w:rsidR="006512B1">
          <w:rPr>
            <w:noProof/>
            <w:webHidden/>
          </w:rPr>
          <w:tab/>
        </w:r>
        <w:r w:rsidR="006512B1">
          <w:rPr>
            <w:noProof/>
            <w:webHidden/>
          </w:rPr>
          <w:fldChar w:fldCharType="begin"/>
        </w:r>
        <w:r w:rsidR="006512B1">
          <w:rPr>
            <w:noProof/>
            <w:webHidden/>
          </w:rPr>
          <w:instrText xml:space="preserve"> PAGEREF _Toc161400957 \h </w:instrText>
        </w:r>
        <w:r w:rsidR="006512B1">
          <w:rPr>
            <w:noProof/>
            <w:webHidden/>
          </w:rPr>
        </w:r>
        <w:r w:rsidR="006512B1">
          <w:rPr>
            <w:noProof/>
            <w:webHidden/>
          </w:rPr>
          <w:fldChar w:fldCharType="separate"/>
        </w:r>
        <w:r w:rsidR="00721FA2">
          <w:rPr>
            <w:noProof/>
            <w:webHidden/>
          </w:rPr>
          <w:t>iii</w:t>
        </w:r>
        <w:r w:rsidR="006512B1">
          <w:rPr>
            <w:noProof/>
            <w:webHidden/>
          </w:rPr>
          <w:fldChar w:fldCharType="end"/>
        </w:r>
      </w:hyperlink>
    </w:p>
    <w:p w14:paraId="1F7ACDE8" w14:textId="386582EC" w:rsidR="006512B1" w:rsidRDefault="00A674FF">
      <w:pPr>
        <w:pStyle w:val="TOC2"/>
        <w:rPr>
          <w:rFonts w:eastAsiaTheme="minorEastAsia"/>
          <w:b w:val="0"/>
          <w:bCs w:val="0"/>
          <w:kern w:val="2"/>
          <w:lang w:eastAsia="en-AU"/>
          <w14:ligatures w14:val="standardContextual"/>
        </w:rPr>
      </w:pPr>
      <w:hyperlink w:anchor="_Toc161400968" w:history="1">
        <w:r w:rsidR="006512B1" w:rsidRPr="008E14ED">
          <w:rPr>
            <w:rStyle w:val="Hyperlink"/>
          </w:rPr>
          <w:t>1.</w:t>
        </w:r>
        <w:r w:rsidR="006512B1">
          <w:rPr>
            <w:rFonts w:eastAsiaTheme="minorEastAsia"/>
            <w:b w:val="0"/>
            <w:bCs w:val="0"/>
            <w:kern w:val="2"/>
            <w:lang w:eastAsia="en-AU"/>
            <w14:ligatures w14:val="standardContextual"/>
          </w:rPr>
          <w:tab/>
        </w:r>
        <w:r w:rsidR="006512B1" w:rsidRPr="008E14ED">
          <w:rPr>
            <w:rStyle w:val="Hyperlink"/>
          </w:rPr>
          <w:t>Our role and approach to water pricing</w:t>
        </w:r>
        <w:r w:rsidR="006512B1">
          <w:rPr>
            <w:webHidden/>
          </w:rPr>
          <w:tab/>
        </w:r>
        <w:r w:rsidR="006512B1">
          <w:rPr>
            <w:webHidden/>
          </w:rPr>
          <w:fldChar w:fldCharType="begin"/>
        </w:r>
        <w:r w:rsidR="006512B1">
          <w:rPr>
            <w:webHidden/>
          </w:rPr>
          <w:instrText xml:space="preserve"> PAGEREF _Toc161400968 \h </w:instrText>
        </w:r>
        <w:r w:rsidR="006512B1">
          <w:rPr>
            <w:webHidden/>
          </w:rPr>
        </w:r>
        <w:r w:rsidR="006512B1">
          <w:rPr>
            <w:webHidden/>
          </w:rPr>
          <w:fldChar w:fldCharType="separate"/>
        </w:r>
        <w:r w:rsidR="00721FA2">
          <w:rPr>
            <w:webHidden/>
          </w:rPr>
          <w:t>1</w:t>
        </w:r>
        <w:r w:rsidR="006512B1">
          <w:rPr>
            <w:webHidden/>
          </w:rPr>
          <w:fldChar w:fldCharType="end"/>
        </w:r>
      </w:hyperlink>
    </w:p>
    <w:p w14:paraId="453A098F" w14:textId="57A6A6CB" w:rsidR="006512B1" w:rsidRDefault="00A674FF" w:rsidP="00CC4246">
      <w:pPr>
        <w:pStyle w:val="TOC3"/>
        <w:rPr>
          <w:rFonts w:eastAsiaTheme="minorEastAsia"/>
          <w:kern w:val="2"/>
          <w:lang w:eastAsia="en-AU"/>
          <w14:ligatures w14:val="standardContextual"/>
        </w:rPr>
      </w:pPr>
      <w:hyperlink w:anchor="_Toc161400969" w:history="1">
        <w:r w:rsidR="006512B1" w:rsidRPr="008E14ED">
          <w:rPr>
            <w:rStyle w:val="Hyperlink"/>
          </w:rPr>
          <w:t>1.1</w:t>
        </w:r>
        <w:r w:rsidR="006512B1">
          <w:rPr>
            <w:rFonts w:eastAsiaTheme="minorEastAsia"/>
            <w:kern w:val="2"/>
            <w:lang w:eastAsia="en-AU"/>
            <w14:ligatures w14:val="standardContextual"/>
          </w:rPr>
          <w:tab/>
        </w:r>
        <w:r w:rsidR="006512B1" w:rsidRPr="008E14ED">
          <w:rPr>
            <w:rStyle w:val="Hyperlink"/>
          </w:rPr>
          <w:t>We are Victoria’s independent economic regulator</w:t>
        </w:r>
        <w:r w:rsidR="006512B1">
          <w:rPr>
            <w:webHidden/>
          </w:rPr>
          <w:tab/>
        </w:r>
        <w:r w:rsidR="006512B1">
          <w:rPr>
            <w:webHidden/>
          </w:rPr>
          <w:fldChar w:fldCharType="begin"/>
        </w:r>
        <w:r w:rsidR="006512B1">
          <w:rPr>
            <w:webHidden/>
          </w:rPr>
          <w:instrText xml:space="preserve"> PAGEREF _Toc161400969 \h </w:instrText>
        </w:r>
        <w:r w:rsidR="006512B1">
          <w:rPr>
            <w:webHidden/>
          </w:rPr>
        </w:r>
        <w:r w:rsidR="006512B1">
          <w:rPr>
            <w:webHidden/>
          </w:rPr>
          <w:fldChar w:fldCharType="separate"/>
        </w:r>
        <w:r w:rsidR="00721FA2">
          <w:rPr>
            <w:webHidden/>
          </w:rPr>
          <w:t>1</w:t>
        </w:r>
        <w:r w:rsidR="006512B1">
          <w:rPr>
            <w:webHidden/>
          </w:rPr>
          <w:fldChar w:fldCharType="end"/>
        </w:r>
      </w:hyperlink>
    </w:p>
    <w:p w14:paraId="5E8D8957" w14:textId="1B74082D" w:rsidR="006512B1" w:rsidRDefault="00A674FF" w:rsidP="00CC4246">
      <w:pPr>
        <w:pStyle w:val="TOC3"/>
        <w:rPr>
          <w:rFonts w:eastAsiaTheme="minorEastAsia"/>
          <w:kern w:val="2"/>
          <w:lang w:eastAsia="en-AU"/>
          <w14:ligatures w14:val="standardContextual"/>
        </w:rPr>
      </w:pPr>
      <w:hyperlink w:anchor="_Toc161400970" w:history="1">
        <w:r w:rsidR="006512B1" w:rsidRPr="008E14ED">
          <w:rPr>
            <w:rStyle w:val="Hyperlink"/>
          </w:rPr>
          <w:t>1.2</w:t>
        </w:r>
        <w:r w:rsidR="006512B1">
          <w:rPr>
            <w:rFonts w:eastAsiaTheme="minorEastAsia"/>
            <w:kern w:val="2"/>
            <w:lang w:eastAsia="en-AU"/>
            <w14:ligatures w14:val="standardContextual"/>
          </w:rPr>
          <w:tab/>
        </w:r>
        <w:r w:rsidR="006512B1" w:rsidRPr="008E14ED">
          <w:rPr>
            <w:rStyle w:val="Hyperlink"/>
          </w:rPr>
          <w:t>We are reviewing Greater Western Water’s proposed prices</w:t>
        </w:r>
        <w:r w:rsidR="006512B1">
          <w:rPr>
            <w:webHidden/>
          </w:rPr>
          <w:tab/>
        </w:r>
        <w:r w:rsidR="006512B1">
          <w:rPr>
            <w:webHidden/>
          </w:rPr>
          <w:fldChar w:fldCharType="begin"/>
        </w:r>
        <w:r w:rsidR="006512B1">
          <w:rPr>
            <w:webHidden/>
          </w:rPr>
          <w:instrText xml:space="preserve"> PAGEREF _Toc161400970 \h </w:instrText>
        </w:r>
        <w:r w:rsidR="006512B1">
          <w:rPr>
            <w:webHidden/>
          </w:rPr>
        </w:r>
        <w:r w:rsidR="006512B1">
          <w:rPr>
            <w:webHidden/>
          </w:rPr>
          <w:fldChar w:fldCharType="separate"/>
        </w:r>
        <w:r w:rsidR="00721FA2">
          <w:rPr>
            <w:webHidden/>
          </w:rPr>
          <w:t>1</w:t>
        </w:r>
        <w:r w:rsidR="006512B1">
          <w:rPr>
            <w:webHidden/>
          </w:rPr>
          <w:fldChar w:fldCharType="end"/>
        </w:r>
      </w:hyperlink>
    </w:p>
    <w:p w14:paraId="76DAB900" w14:textId="0332EEC5" w:rsidR="006512B1" w:rsidRDefault="00A674FF" w:rsidP="00CC4246">
      <w:pPr>
        <w:pStyle w:val="TOC3"/>
        <w:rPr>
          <w:rFonts w:eastAsiaTheme="minorEastAsia"/>
          <w:kern w:val="2"/>
          <w:lang w:eastAsia="en-AU"/>
          <w14:ligatures w14:val="standardContextual"/>
        </w:rPr>
      </w:pPr>
      <w:hyperlink w:anchor="_Toc161400971" w:history="1">
        <w:r w:rsidR="006512B1" w:rsidRPr="008E14ED">
          <w:rPr>
            <w:rStyle w:val="Hyperlink"/>
          </w:rPr>
          <w:t>1.3</w:t>
        </w:r>
        <w:r w:rsidR="006512B1">
          <w:rPr>
            <w:rFonts w:eastAsiaTheme="minorEastAsia"/>
            <w:kern w:val="2"/>
            <w:lang w:eastAsia="en-AU"/>
            <w14:ligatures w14:val="standardContextual"/>
          </w:rPr>
          <w:tab/>
        </w:r>
        <w:r w:rsidR="006512B1" w:rsidRPr="008E14ED">
          <w:rPr>
            <w:rStyle w:val="Hyperlink"/>
          </w:rPr>
          <w:t>We assess prices against the WIRO and other legal requirements</w:t>
        </w:r>
        <w:r w:rsidR="006512B1">
          <w:rPr>
            <w:webHidden/>
          </w:rPr>
          <w:tab/>
        </w:r>
        <w:r w:rsidR="006512B1">
          <w:rPr>
            <w:webHidden/>
          </w:rPr>
          <w:fldChar w:fldCharType="begin"/>
        </w:r>
        <w:r w:rsidR="006512B1">
          <w:rPr>
            <w:webHidden/>
          </w:rPr>
          <w:instrText xml:space="preserve"> PAGEREF _Toc161400971 \h </w:instrText>
        </w:r>
        <w:r w:rsidR="006512B1">
          <w:rPr>
            <w:webHidden/>
          </w:rPr>
        </w:r>
        <w:r w:rsidR="006512B1">
          <w:rPr>
            <w:webHidden/>
          </w:rPr>
          <w:fldChar w:fldCharType="separate"/>
        </w:r>
        <w:r w:rsidR="00721FA2">
          <w:rPr>
            <w:webHidden/>
          </w:rPr>
          <w:t>1</w:t>
        </w:r>
        <w:r w:rsidR="006512B1">
          <w:rPr>
            <w:webHidden/>
          </w:rPr>
          <w:fldChar w:fldCharType="end"/>
        </w:r>
      </w:hyperlink>
    </w:p>
    <w:p w14:paraId="3FF83281" w14:textId="6B93F5EB" w:rsidR="006512B1" w:rsidRDefault="00A674FF" w:rsidP="00CC4246">
      <w:pPr>
        <w:pStyle w:val="TOC3"/>
        <w:rPr>
          <w:rFonts w:eastAsiaTheme="minorEastAsia"/>
          <w:kern w:val="2"/>
          <w:lang w:eastAsia="en-AU"/>
          <w14:ligatures w14:val="standardContextual"/>
        </w:rPr>
      </w:pPr>
      <w:hyperlink w:anchor="_Toc161400972" w:history="1">
        <w:r w:rsidR="006512B1" w:rsidRPr="008E14ED">
          <w:rPr>
            <w:rStyle w:val="Hyperlink"/>
          </w:rPr>
          <w:t>1.4</w:t>
        </w:r>
        <w:r w:rsidR="006512B1">
          <w:rPr>
            <w:rFonts w:eastAsiaTheme="minorEastAsia"/>
            <w:kern w:val="2"/>
            <w:lang w:eastAsia="en-AU"/>
            <w14:ligatures w14:val="standardContextual"/>
          </w:rPr>
          <w:tab/>
        </w:r>
        <w:r w:rsidR="006512B1" w:rsidRPr="008E14ED">
          <w:rPr>
            <w:rStyle w:val="Hyperlink"/>
          </w:rPr>
          <w:t>PREMO</w:t>
        </w:r>
        <w:r w:rsidR="006512B1">
          <w:rPr>
            <w:webHidden/>
          </w:rPr>
          <w:tab/>
        </w:r>
        <w:r w:rsidR="006512B1">
          <w:rPr>
            <w:webHidden/>
          </w:rPr>
          <w:fldChar w:fldCharType="begin"/>
        </w:r>
        <w:r w:rsidR="006512B1">
          <w:rPr>
            <w:webHidden/>
          </w:rPr>
          <w:instrText xml:space="preserve"> PAGEREF _Toc161400972 \h </w:instrText>
        </w:r>
        <w:r w:rsidR="006512B1">
          <w:rPr>
            <w:webHidden/>
          </w:rPr>
        </w:r>
        <w:r w:rsidR="006512B1">
          <w:rPr>
            <w:webHidden/>
          </w:rPr>
          <w:fldChar w:fldCharType="separate"/>
        </w:r>
        <w:r w:rsidR="00721FA2">
          <w:rPr>
            <w:webHidden/>
          </w:rPr>
          <w:t>5</w:t>
        </w:r>
        <w:r w:rsidR="006512B1">
          <w:rPr>
            <w:webHidden/>
          </w:rPr>
          <w:fldChar w:fldCharType="end"/>
        </w:r>
      </w:hyperlink>
    </w:p>
    <w:p w14:paraId="2FB6624B" w14:textId="217B758C" w:rsidR="006512B1" w:rsidRDefault="00A674FF">
      <w:pPr>
        <w:pStyle w:val="TOC1"/>
        <w:rPr>
          <w:rFonts w:eastAsiaTheme="minorEastAsia"/>
          <w:b w:val="0"/>
          <w:noProof/>
          <w:kern w:val="2"/>
          <w:lang w:eastAsia="en-AU"/>
          <w14:ligatures w14:val="standardContextual"/>
        </w:rPr>
      </w:pPr>
      <w:hyperlink w:anchor="_Toc161400973" w:history="1">
        <w:r w:rsidR="006512B1" w:rsidRPr="008E14ED">
          <w:rPr>
            <w:rStyle w:val="Hyperlink"/>
            <w:noProof/>
          </w:rPr>
          <w:t>2.</w:t>
        </w:r>
        <w:r w:rsidR="006512B1">
          <w:rPr>
            <w:rFonts w:eastAsiaTheme="minorEastAsia"/>
            <w:b w:val="0"/>
            <w:noProof/>
            <w:kern w:val="2"/>
            <w:lang w:eastAsia="en-AU"/>
            <w14:ligatures w14:val="standardContextual"/>
          </w:rPr>
          <w:tab/>
        </w:r>
        <w:r w:rsidR="006512B1" w:rsidRPr="008E14ED">
          <w:rPr>
            <w:rStyle w:val="Hyperlink"/>
            <w:noProof/>
          </w:rPr>
          <w:t>Our assessment of Greater Western Water’s price submission</w:t>
        </w:r>
        <w:r w:rsidR="006512B1">
          <w:rPr>
            <w:noProof/>
            <w:webHidden/>
          </w:rPr>
          <w:tab/>
        </w:r>
        <w:r w:rsidR="006512B1">
          <w:rPr>
            <w:noProof/>
            <w:webHidden/>
          </w:rPr>
          <w:fldChar w:fldCharType="begin"/>
        </w:r>
        <w:r w:rsidR="006512B1">
          <w:rPr>
            <w:noProof/>
            <w:webHidden/>
          </w:rPr>
          <w:instrText xml:space="preserve"> PAGEREF _Toc161400973 \h </w:instrText>
        </w:r>
        <w:r w:rsidR="006512B1">
          <w:rPr>
            <w:noProof/>
            <w:webHidden/>
          </w:rPr>
        </w:r>
        <w:r w:rsidR="006512B1">
          <w:rPr>
            <w:noProof/>
            <w:webHidden/>
          </w:rPr>
          <w:fldChar w:fldCharType="separate"/>
        </w:r>
        <w:r w:rsidR="00721FA2">
          <w:rPr>
            <w:noProof/>
            <w:webHidden/>
          </w:rPr>
          <w:t>7</w:t>
        </w:r>
        <w:r w:rsidR="006512B1">
          <w:rPr>
            <w:noProof/>
            <w:webHidden/>
          </w:rPr>
          <w:fldChar w:fldCharType="end"/>
        </w:r>
      </w:hyperlink>
    </w:p>
    <w:p w14:paraId="02E5B283" w14:textId="3533F178" w:rsidR="006512B1" w:rsidRDefault="00A674FF" w:rsidP="00CC4246">
      <w:pPr>
        <w:pStyle w:val="TOC3"/>
        <w:rPr>
          <w:rFonts w:eastAsiaTheme="minorEastAsia"/>
          <w:kern w:val="2"/>
          <w:lang w:eastAsia="en-AU"/>
          <w14:ligatures w14:val="standardContextual"/>
        </w:rPr>
      </w:pPr>
      <w:hyperlink w:anchor="_Toc161400974" w:history="1">
        <w:r w:rsidR="006512B1" w:rsidRPr="008E14ED">
          <w:rPr>
            <w:rStyle w:val="Hyperlink"/>
          </w:rPr>
          <w:t>2.1</w:t>
        </w:r>
        <w:r w:rsidR="006512B1">
          <w:rPr>
            <w:rFonts w:eastAsiaTheme="minorEastAsia"/>
            <w:kern w:val="2"/>
            <w:lang w:eastAsia="en-AU"/>
            <w14:ligatures w14:val="standardContextual"/>
          </w:rPr>
          <w:tab/>
        </w:r>
        <w:r w:rsidR="006512B1" w:rsidRPr="008E14ED">
          <w:rPr>
            <w:rStyle w:val="Hyperlink"/>
          </w:rPr>
          <w:t>Draft decision paper outline</w:t>
        </w:r>
        <w:r w:rsidR="006512B1">
          <w:rPr>
            <w:webHidden/>
          </w:rPr>
          <w:tab/>
        </w:r>
        <w:r w:rsidR="006512B1">
          <w:rPr>
            <w:webHidden/>
          </w:rPr>
          <w:fldChar w:fldCharType="begin"/>
        </w:r>
        <w:r w:rsidR="006512B1">
          <w:rPr>
            <w:webHidden/>
          </w:rPr>
          <w:instrText xml:space="preserve"> PAGEREF _Toc161400974 \h </w:instrText>
        </w:r>
        <w:r w:rsidR="006512B1">
          <w:rPr>
            <w:webHidden/>
          </w:rPr>
        </w:r>
        <w:r w:rsidR="006512B1">
          <w:rPr>
            <w:webHidden/>
          </w:rPr>
          <w:fldChar w:fldCharType="separate"/>
        </w:r>
        <w:r w:rsidR="00721FA2">
          <w:rPr>
            <w:webHidden/>
          </w:rPr>
          <w:t>8</w:t>
        </w:r>
        <w:r w:rsidR="006512B1">
          <w:rPr>
            <w:webHidden/>
          </w:rPr>
          <w:fldChar w:fldCharType="end"/>
        </w:r>
      </w:hyperlink>
    </w:p>
    <w:p w14:paraId="40FE0835" w14:textId="75483DA4" w:rsidR="006512B1" w:rsidRDefault="00A674FF" w:rsidP="00CC4246">
      <w:pPr>
        <w:pStyle w:val="TOC3"/>
        <w:rPr>
          <w:rFonts w:eastAsiaTheme="minorEastAsia"/>
          <w:kern w:val="2"/>
          <w:lang w:eastAsia="en-AU"/>
          <w14:ligatures w14:val="standardContextual"/>
        </w:rPr>
      </w:pPr>
      <w:hyperlink w:anchor="_Toc161400975" w:history="1">
        <w:r w:rsidR="006512B1" w:rsidRPr="008E14ED">
          <w:rPr>
            <w:rStyle w:val="Hyperlink"/>
          </w:rPr>
          <w:t>2.2</w:t>
        </w:r>
        <w:r w:rsidR="006512B1">
          <w:rPr>
            <w:rFonts w:eastAsiaTheme="minorEastAsia"/>
            <w:kern w:val="2"/>
            <w:lang w:eastAsia="en-AU"/>
            <w14:ligatures w14:val="standardContextual"/>
          </w:rPr>
          <w:tab/>
        </w:r>
        <w:r w:rsidR="006512B1" w:rsidRPr="008E14ED">
          <w:rPr>
            <w:rStyle w:val="Hyperlink"/>
          </w:rPr>
          <w:t>Regulatory period</w:t>
        </w:r>
        <w:r w:rsidR="006512B1">
          <w:rPr>
            <w:webHidden/>
          </w:rPr>
          <w:tab/>
        </w:r>
        <w:r w:rsidR="006512B1">
          <w:rPr>
            <w:webHidden/>
          </w:rPr>
          <w:fldChar w:fldCharType="begin"/>
        </w:r>
        <w:r w:rsidR="006512B1">
          <w:rPr>
            <w:webHidden/>
          </w:rPr>
          <w:instrText xml:space="preserve"> PAGEREF _Toc161400975 \h </w:instrText>
        </w:r>
        <w:r w:rsidR="006512B1">
          <w:rPr>
            <w:webHidden/>
          </w:rPr>
        </w:r>
        <w:r w:rsidR="006512B1">
          <w:rPr>
            <w:webHidden/>
          </w:rPr>
          <w:fldChar w:fldCharType="separate"/>
        </w:r>
        <w:r w:rsidR="00721FA2">
          <w:rPr>
            <w:webHidden/>
          </w:rPr>
          <w:t>8</w:t>
        </w:r>
        <w:r w:rsidR="006512B1">
          <w:rPr>
            <w:webHidden/>
          </w:rPr>
          <w:fldChar w:fldCharType="end"/>
        </w:r>
      </w:hyperlink>
    </w:p>
    <w:p w14:paraId="6C8DB112" w14:textId="794FF73B" w:rsidR="006512B1" w:rsidRDefault="00A674FF">
      <w:pPr>
        <w:pStyle w:val="TOC1"/>
        <w:rPr>
          <w:rFonts w:eastAsiaTheme="minorEastAsia"/>
          <w:b w:val="0"/>
          <w:noProof/>
          <w:kern w:val="2"/>
          <w:lang w:eastAsia="en-AU"/>
          <w14:ligatures w14:val="standardContextual"/>
        </w:rPr>
      </w:pPr>
      <w:hyperlink w:anchor="_Toc161400976" w:history="1">
        <w:r w:rsidR="006512B1" w:rsidRPr="008E14ED">
          <w:rPr>
            <w:rStyle w:val="Hyperlink"/>
            <w:noProof/>
          </w:rPr>
          <w:t>3.</w:t>
        </w:r>
        <w:r w:rsidR="006512B1">
          <w:rPr>
            <w:rFonts w:eastAsiaTheme="minorEastAsia"/>
            <w:b w:val="0"/>
            <w:noProof/>
            <w:kern w:val="2"/>
            <w:lang w:eastAsia="en-AU"/>
            <w14:ligatures w14:val="standardContextual"/>
          </w:rPr>
          <w:tab/>
        </w:r>
        <w:r w:rsidR="006512B1" w:rsidRPr="008E14ED">
          <w:rPr>
            <w:rStyle w:val="Hyperlink"/>
            <w:noProof/>
          </w:rPr>
          <w:t>Customer outcomes</w:t>
        </w:r>
        <w:r w:rsidR="006512B1">
          <w:rPr>
            <w:noProof/>
            <w:webHidden/>
          </w:rPr>
          <w:tab/>
        </w:r>
        <w:r w:rsidR="006512B1">
          <w:rPr>
            <w:noProof/>
            <w:webHidden/>
          </w:rPr>
          <w:fldChar w:fldCharType="begin"/>
        </w:r>
        <w:r w:rsidR="006512B1">
          <w:rPr>
            <w:noProof/>
            <w:webHidden/>
          </w:rPr>
          <w:instrText xml:space="preserve"> PAGEREF _Toc161400976 \h </w:instrText>
        </w:r>
        <w:r w:rsidR="006512B1">
          <w:rPr>
            <w:noProof/>
            <w:webHidden/>
          </w:rPr>
        </w:r>
        <w:r w:rsidR="006512B1">
          <w:rPr>
            <w:noProof/>
            <w:webHidden/>
          </w:rPr>
          <w:fldChar w:fldCharType="separate"/>
        </w:r>
        <w:r w:rsidR="00721FA2">
          <w:rPr>
            <w:noProof/>
            <w:webHidden/>
          </w:rPr>
          <w:t>9</w:t>
        </w:r>
        <w:r w:rsidR="006512B1">
          <w:rPr>
            <w:noProof/>
            <w:webHidden/>
          </w:rPr>
          <w:fldChar w:fldCharType="end"/>
        </w:r>
      </w:hyperlink>
    </w:p>
    <w:p w14:paraId="12CEEBE3" w14:textId="40A6DA08" w:rsidR="006512B1" w:rsidRDefault="00A674FF" w:rsidP="00CC4246">
      <w:pPr>
        <w:pStyle w:val="TOC3"/>
        <w:rPr>
          <w:rFonts w:eastAsiaTheme="minorEastAsia"/>
          <w:kern w:val="2"/>
          <w:lang w:eastAsia="en-AU"/>
          <w14:ligatures w14:val="standardContextual"/>
        </w:rPr>
      </w:pPr>
      <w:hyperlink w:anchor="_Toc161400977" w:history="1">
        <w:r w:rsidR="006512B1" w:rsidRPr="008E14ED">
          <w:rPr>
            <w:rStyle w:val="Hyperlink"/>
          </w:rPr>
          <w:t>3.1</w:t>
        </w:r>
        <w:r w:rsidR="006512B1">
          <w:rPr>
            <w:rFonts w:eastAsiaTheme="minorEastAsia"/>
            <w:kern w:val="2"/>
            <w:lang w:eastAsia="en-AU"/>
            <w14:ligatures w14:val="standardContextual"/>
          </w:rPr>
          <w:tab/>
        </w:r>
        <w:r w:rsidR="006512B1" w:rsidRPr="008E14ED">
          <w:rPr>
            <w:rStyle w:val="Hyperlink"/>
          </w:rPr>
          <w:t>Customer engagement</w:t>
        </w:r>
        <w:r w:rsidR="006512B1">
          <w:rPr>
            <w:webHidden/>
          </w:rPr>
          <w:tab/>
        </w:r>
        <w:r w:rsidR="006512B1">
          <w:rPr>
            <w:webHidden/>
          </w:rPr>
          <w:fldChar w:fldCharType="begin"/>
        </w:r>
        <w:r w:rsidR="006512B1">
          <w:rPr>
            <w:webHidden/>
          </w:rPr>
          <w:instrText xml:space="preserve"> PAGEREF _Toc161400977 \h </w:instrText>
        </w:r>
        <w:r w:rsidR="006512B1">
          <w:rPr>
            <w:webHidden/>
          </w:rPr>
        </w:r>
        <w:r w:rsidR="006512B1">
          <w:rPr>
            <w:webHidden/>
          </w:rPr>
          <w:fldChar w:fldCharType="separate"/>
        </w:r>
        <w:r w:rsidR="00721FA2">
          <w:rPr>
            <w:webHidden/>
          </w:rPr>
          <w:t>9</w:t>
        </w:r>
        <w:r w:rsidR="006512B1">
          <w:rPr>
            <w:webHidden/>
          </w:rPr>
          <w:fldChar w:fldCharType="end"/>
        </w:r>
      </w:hyperlink>
    </w:p>
    <w:p w14:paraId="273C301E" w14:textId="1F017FE9" w:rsidR="006512B1" w:rsidRDefault="00A674FF" w:rsidP="00CC4246">
      <w:pPr>
        <w:pStyle w:val="TOC3"/>
        <w:rPr>
          <w:rFonts w:eastAsiaTheme="minorEastAsia"/>
          <w:kern w:val="2"/>
          <w:lang w:eastAsia="en-AU"/>
          <w14:ligatures w14:val="standardContextual"/>
        </w:rPr>
      </w:pPr>
      <w:hyperlink w:anchor="_Toc161400978" w:history="1">
        <w:r w:rsidR="006512B1" w:rsidRPr="008E14ED">
          <w:rPr>
            <w:rStyle w:val="Hyperlink"/>
          </w:rPr>
          <w:t>3.2</w:t>
        </w:r>
        <w:r w:rsidR="006512B1">
          <w:rPr>
            <w:rFonts w:eastAsiaTheme="minorEastAsia"/>
            <w:kern w:val="2"/>
            <w:lang w:eastAsia="en-AU"/>
            <w14:ligatures w14:val="standardContextual"/>
          </w:rPr>
          <w:tab/>
        </w:r>
        <w:r w:rsidR="006512B1" w:rsidRPr="008E14ED">
          <w:rPr>
            <w:rStyle w:val="Hyperlink"/>
          </w:rPr>
          <w:t>Outcomes</w:t>
        </w:r>
        <w:r w:rsidR="006512B1">
          <w:rPr>
            <w:webHidden/>
          </w:rPr>
          <w:tab/>
        </w:r>
        <w:r w:rsidR="006512B1">
          <w:rPr>
            <w:webHidden/>
          </w:rPr>
          <w:fldChar w:fldCharType="begin"/>
        </w:r>
        <w:r w:rsidR="006512B1">
          <w:rPr>
            <w:webHidden/>
          </w:rPr>
          <w:instrText xml:space="preserve"> PAGEREF _Toc161400978 \h </w:instrText>
        </w:r>
        <w:r w:rsidR="006512B1">
          <w:rPr>
            <w:webHidden/>
          </w:rPr>
        </w:r>
        <w:r w:rsidR="006512B1">
          <w:rPr>
            <w:webHidden/>
          </w:rPr>
          <w:fldChar w:fldCharType="separate"/>
        </w:r>
        <w:r w:rsidR="00721FA2">
          <w:rPr>
            <w:webHidden/>
          </w:rPr>
          <w:t>12</w:t>
        </w:r>
        <w:r w:rsidR="006512B1">
          <w:rPr>
            <w:webHidden/>
          </w:rPr>
          <w:fldChar w:fldCharType="end"/>
        </w:r>
      </w:hyperlink>
    </w:p>
    <w:p w14:paraId="15123A71" w14:textId="451FC1A0" w:rsidR="006512B1" w:rsidRDefault="00A674FF" w:rsidP="00CC4246">
      <w:pPr>
        <w:pStyle w:val="TOC3"/>
        <w:rPr>
          <w:rFonts w:eastAsiaTheme="minorEastAsia"/>
          <w:kern w:val="2"/>
          <w:lang w:eastAsia="en-AU"/>
          <w14:ligatures w14:val="standardContextual"/>
        </w:rPr>
      </w:pPr>
      <w:hyperlink w:anchor="_Toc161400981" w:history="1">
        <w:r w:rsidR="006512B1" w:rsidRPr="008E14ED">
          <w:rPr>
            <w:rStyle w:val="Hyperlink"/>
          </w:rPr>
          <w:t>3.3</w:t>
        </w:r>
        <w:r w:rsidR="006512B1">
          <w:rPr>
            <w:rFonts w:eastAsiaTheme="minorEastAsia"/>
            <w:kern w:val="2"/>
            <w:lang w:eastAsia="en-AU"/>
            <w14:ligatures w14:val="standardContextual"/>
          </w:rPr>
          <w:tab/>
        </w:r>
        <w:r w:rsidR="006512B1" w:rsidRPr="008E14ED">
          <w:rPr>
            <w:rStyle w:val="Hyperlink"/>
          </w:rPr>
          <w:t>Service standards related to service reliability and faults</w:t>
        </w:r>
        <w:r w:rsidR="006512B1">
          <w:rPr>
            <w:webHidden/>
          </w:rPr>
          <w:tab/>
        </w:r>
        <w:r w:rsidR="006512B1">
          <w:rPr>
            <w:webHidden/>
          </w:rPr>
          <w:fldChar w:fldCharType="begin"/>
        </w:r>
        <w:r w:rsidR="006512B1">
          <w:rPr>
            <w:webHidden/>
          </w:rPr>
          <w:instrText xml:space="preserve"> PAGEREF _Toc161400981 \h </w:instrText>
        </w:r>
        <w:r w:rsidR="006512B1">
          <w:rPr>
            <w:webHidden/>
          </w:rPr>
        </w:r>
        <w:r w:rsidR="006512B1">
          <w:rPr>
            <w:webHidden/>
          </w:rPr>
          <w:fldChar w:fldCharType="separate"/>
        </w:r>
        <w:r w:rsidR="00721FA2">
          <w:rPr>
            <w:webHidden/>
          </w:rPr>
          <w:t>18</w:t>
        </w:r>
        <w:r w:rsidR="006512B1">
          <w:rPr>
            <w:webHidden/>
          </w:rPr>
          <w:fldChar w:fldCharType="end"/>
        </w:r>
      </w:hyperlink>
    </w:p>
    <w:p w14:paraId="7758AC6E" w14:textId="26781815" w:rsidR="006512B1" w:rsidRDefault="00A674FF" w:rsidP="00CC4246">
      <w:pPr>
        <w:pStyle w:val="TOC3"/>
        <w:rPr>
          <w:rFonts w:eastAsiaTheme="minorEastAsia"/>
          <w:kern w:val="2"/>
          <w:lang w:eastAsia="en-AU"/>
          <w14:ligatures w14:val="standardContextual"/>
        </w:rPr>
      </w:pPr>
      <w:hyperlink w:anchor="_Toc161400982" w:history="1">
        <w:r w:rsidR="006512B1" w:rsidRPr="008E14ED">
          <w:rPr>
            <w:rStyle w:val="Hyperlink"/>
          </w:rPr>
          <w:t>3.4</w:t>
        </w:r>
        <w:r w:rsidR="006512B1">
          <w:rPr>
            <w:rFonts w:eastAsiaTheme="minorEastAsia"/>
            <w:kern w:val="2"/>
            <w:lang w:eastAsia="en-AU"/>
            <w14:ligatures w14:val="standardContextual"/>
          </w:rPr>
          <w:tab/>
        </w:r>
        <w:r w:rsidR="006512B1" w:rsidRPr="008E14ED">
          <w:rPr>
            <w:rStyle w:val="Hyperlink"/>
          </w:rPr>
          <w:t>Guaranteed service levels</w:t>
        </w:r>
        <w:r w:rsidR="006512B1">
          <w:rPr>
            <w:webHidden/>
          </w:rPr>
          <w:tab/>
        </w:r>
        <w:r w:rsidR="006512B1">
          <w:rPr>
            <w:webHidden/>
          </w:rPr>
          <w:fldChar w:fldCharType="begin"/>
        </w:r>
        <w:r w:rsidR="006512B1">
          <w:rPr>
            <w:webHidden/>
          </w:rPr>
          <w:instrText xml:space="preserve"> PAGEREF _Toc161400982 \h </w:instrText>
        </w:r>
        <w:r w:rsidR="006512B1">
          <w:rPr>
            <w:webHidden/>
          </w:rPr>
        </w:r>
        <w:r w:rsidR="006512B1">
          <w:rPr>
            <w:webHidden/>
          </w:rPr>
          <w:fldChar w:fldCharType="separate"/>
        </w:r>
        <w:r w:rsidR="00721FA2">
          <w:rPr>
            <w:webHidden/>
          </w:rPr>
          <w:t>19</w:t>
        </w:r>
        <w:r w:rsidR="006512B1">
          <w:rPr>
            <w:webHidden/>
          </w:rPr>
          <w:fldChar w:fldCharType="end"/>
        </w:r>
      </w:hyperlink>
    </w:p>
    <w:p w14:paraId="1FDBFEAF" w14:textId="155E0D2F" w:rsidR="006512B1" w:rsidRDefault="00A674FF">
      <w:pPr>
        <w:pStyle w:val="TOC1"/>
        <w:rPr>
          <w:rFonts w:eastAsiaTheme="minorEastAsia"/>
          <w:b w:val="0"/>
          <w:noProof/>
          <w:kern w:val="2"/>
          <w:lang w:eastAsia="en-AU"/>
          <w14:ligatures w14:val="standardContextual"/>
        </w:rPr>
      </w:pPr>
      <w:hyperlink w:anchor="_Toc161400983" w:history="1">
        <w:r w:rsidR="006512B1" w:rsidRPr="008E14ED">
          <w:rPr>
            <w:rStyle w:val="Hyperlink"/>
            <w:noProof/>
          </w:rPr>
          <w:t>4.</w:t>
        </w:r>
        <w:r w:rsidR="006512B1">
          <w:rPr>
            <w:rFonts w:eastAsiaTheme="minorEastAsia"/>
            <w:b w:val="0"/>
            <w:noProof/>
            <w:kern w:val="2"/>
            <w:lang w:eastAsia="en-AU"/>
            <w14:ligatures w14:val="standardContextual"/>
          </w:rPr>
          <w:tab/>
        </w:r>
        <w:r w:rsidR="006512B1" w:rsidRPr="008E14ED">
          <w:rPr>
            <w:rStyle w:val="Hyperlink"/>
            <w:noProof/>
          </w:rPr>
          <w:t>Revenue requirement</w:t>
        </w:r>
        <w:r w:rsidR="006512B1">
          <w:rPr>
            <w:noProof/>
            <w:webHidden/>
          </w:rPr>
          <w:tab/>
        </w:r>
        <w:r w:rsidR="006512B1">
          <w:rPr>
            <w:noProof/>
            <w:webHidden/>
          </w:rPr>
          <w:fldChar w:fldCharType="begin"/>
        </w:r>
        <w:r w:rsidR="006512B1">
          <w:rPr>
            <w:noProof/>
            <w:webHidden/>
          </w:rPr>
          <w:instrText xml:space="preserve"> PAGEREF _Toc161400983 \h </w:instrText>
        </w:r>
        <w:r w:rsidR="006512B1">
          <w:rPr>
            <w:noProof/>
            <w:webHidden/>
          </w:rPr>
        </w:r>
        <w:r w:rsidR="006512B1">
          <w:rPr>
            <w:noProof/>
            <w:webHidden/>
          </w:rPr>
          <w:fldChar w:fldCharType="separate"/>
        </w:r>
        <w:r w:rsidR="00721FA2">
          <w:rPr>
            <w:noProof/>
            <w:webHidden/>
          </w:rPr>
          <w:t>21</w:t>
        </w:r>
        <w:r w:rsidR="006512B1">
          <w:rPr>
            <w:noProof/>
            <w:webHidden/>
          </w:rPr>
          <w:fldChar w:fldCharType="end"/>
        </w:r>
      </w:hyperlink>
    </w:p>
    <w:p w14:paraId="55C649D4" w14:textId="495AA93D" w:rsidR="006512B1" w:rsidRDefault="00A674FF" w:rsidP="00CC4246">
      <w:pPr>
        <w:pStyle w:val="TOC3"/>
        <w:rPr>
          <w:rFonts w:eastAsiaTheme="minorEastAsia"/>
          <w:kern w:val="2"/>
          <w:lang w:eastAsia="en-AU"/>
          <w14:ligatures w14:val="standardContextual"/>
        </w:rPr>
      </w:pPr>
      <w:hyperlink w:anchor="_Toc161400984" w:history="1">
        <w:r w:rsidR="006512B1" w:rsidRPr="008E14ED">
          <w:rPr>
            <w:rStyle w:val="Hyperlink"/>
          </w:rPr>
          <w:t>4.1</w:t>
        </w:r>
        <w:r w:rsidR="006512B1">
          <w:rPr>
            <w:rFonts w:eastAsiaTheme="minorEastAsia"/>
            <w:kern w:val="2"/>
            <w:lang w:eastAsia="en-AU"/>
            <w14:ligatures w14:val="standardContextual"/>
          </w:rPr>
          <w:tab/>
        </w:r>
        <w:r w:rsidR="006512B1" w:rsidRPr="008E14ED">
          <w:rPr>
            <w:rStyle w:val="Hyperlink"/>
          </w:rPr>
          <w:t>Operating expenditure</w:t>
        </w:r>
        <w:r w:rsidR="006512B1">
          <w:rPr>
            <w:webHidden/>
          </w:rPr>
          <w:tab/>
        </w:r>
        <w:r w:rsidR="006512B1">
          <w:rPr>
            <w:webHidden/>
          </w:rPr>
          <w:fldChar w:fldCharType="begin"/>
        </w:r>
        <w:r w:rsidR="006512B1">
          <w:rPr>
            <w:webHidden/>
          </w:rPr>
          <w:instrText xml:space="preserve"> PAGEREF _Toc161400984 \h </w:instrText>
        </w:r>
        <w:r w:rsidR="006512B1">
          <w:rPr>
            <w:webHidden/>
          </w:rPr>
        </w:r>
        <w:r w:rsidR="006512B1">
          <w:rPr>
            <w:webHidden/>
          </w:rPr>
          <w:fldChar w:fldCharType="separate"/>
        </w:r>
        <w:r w:rsidR="00721FA2">
          <w:rPr>
            <w:webHidden/>
          </w:rPr>
          <w:t>23</w:t>
        </w:r>
        <w:r w:rsidR="006512B1">
          <w:rPr>
            <w:webHidden/>
          </w:rPr>
          <w:fldChar w:fldCharType="end"/>
        </w:r>
      </w:hyperlink>
    </w:p>
    <w:p w14:paraId="64CDF77C" w14:textId="546400A7" w:rsidR="006512B1" w:rsidRDefault="00A674FF" w:rsidP="00CC4246">
      <w:pPr>
        <w:pStyle w:val="TOC3"/>
        <w:rPr>
          <w:rFonts w:eastAsiaTheme="minorEastAsia"/>
          <w:kern w:val="2"/>
          <w:lang w:eastAsia="en-AU"/>
          <w14:ligatures w14:val="standardContextual"/>
        </w:rPr>
      </w:pPr>
      <w:hyperlink w:anchor="_Toc161400988" w:history="1">
        <w:r w:rsidR="006512B1" w:rsidRPr="008E14ED">
          <w:rPr>
            <w:rStyle w:val="Hyperlink"/>
          </w:rPr>
          <w:t xml:space="preserve">4.2 </w:t>
        </w:r>
        <w:r w:rsidR="006512B1">
          <w:rPr>
            <w:rFonts w:eastAsiaTheme="minorEastAsia"/>
            <w:kern w:val="2"/>
            <w:lang w:eastAsia="en-AU"/>
            <w14:ligatures w14:val="standardContextual"/>
          </w:rPr>
          <w:tab/>
        </w:r>
        <w:r w:rsidR="006512B1" w:rsidRPr="008E14ED">
          <w:rPr>
            <w:rStyle w:val="Hyperlink"/>
          </w:rPr>
          <w:t>Capital expenditure</w:t>
        </w:r>
        <w:r w:rsidR="006512B1">
          <w:rPr>
            <w:webHidden/>
          </w:rPr>
          <w:tab/>
        </w:r>
        <w:r w:rsidR="006512B1">
          <w:rPr>
            <w:webHidden/>
          </w:rPr>
          <w:fldChar w:fldCharType="begin"/>
        </w:r>
        <w:r w:rsidR="006512B1">
          <w:rPr>
            <w:webHidden/>
          </w:rPr>
          <w:instrText xml:space="preserve"> PAGEREF _Toc161400988 \h </w:instrText>
        </w:r>
        <w:r w:rsidR="006512B1">
          <w:rPr>
            <w:webHidden/>
          </w:rPr>
        </w:r>
        <w:r w:rsidR="006512B1">
          <w:rPr>
            <w:webHidden/>
          </w:rPr>
          <w:fldChar w:fldCharType="separate"/>
        </w:r>
        <w:r w:rsidR="00721FA2">
          <w:rPr>
            <w:webHidden/>
          </w:rPr>
          <w:t>36</w:t>
        </w:r>
        <w:r w:rsidR="006512B1">
          <w:rPr>
            <w:webHidden/>
          </w:rPr>
          <w:fldChar w:fldCharType="end"/>
        </w:r>
      </w:hyperlink>
    </w:p>
    <w:p w14:paraId="4C9C37AC" w14:textId="2F89972C" w:rsidR="006512B1" w:rsidRDefault="00A674FF" w:rsidP="00CC4246">
      <w:pPr>
        <w:pStyle w:val="TOC3"/>
        <w:rPr>
          <w:rFonts w:eastAsiaTheme="minorEastAsia"/>
          <w:kern w:val="2"/>
          <w:lang w:eastAsia="en-AU"/>
          <w14:ligatures w14:val="standardContextual"/>
        </w:rPr>
      </w:pPr>
      <w:hyperlink w:anchor="_Toc161400989" w:history="1">
        <w:r w:rsidR="006512B1" w:rsidRPr="008E14ED">
          <w:rPr>
            <w:rStyle w:val="Hyperlink"/>
          </w:rPr>
          <w:t>4.3</w:t>
        </w:r>
        <w:r w:rsidR="006512B1">
          <w:rPr>
            <w:rFonts w:eastAsiaTheme="minorEastAsia"/>
            <w:kern w:val="2"/>
            <w:lang w:eastAsia="en-AU"/>
            <w14:ligatures w14:val="standardContextual"/>
          </w:rPr>
          <w:tab/>
        </w:r>
        <w:r w:rsidR="006512B1" w:rsidRPr="008E14ED">
          <w:rPr>
            <w:rStyle w:val="Hyperlink"/>
          </w:rPr>
          <w:t>Regulatory asset base</w:t>
        </w:r>
        <w:r w:rsidR="006512B1">
          <w:rPr>
            <w:webHidden/>
          </w:rPr>
          <w:tab/>
        </w:r>
        <w:r w:rsidR="006512B1">
          <w:rPr>
            <w:webHidden/>
          </w:rPr>
          <w:fldChar w:fldCharType="begin"/>
        </w:r>
        <w:r w:rsidR="006512B1">
          <w:rPr>
            <w:webHidden/>
          </w:rPr>
          <w:instrText xml:space="preserve"> PAGEREF _Toc161400989 \h </w:instrText>
        </w:r>
        <w:r w:rsidR="006512B1">
          <w:rPr>
            <w:webHidden/>
          </w:rPr>
        </w:r>
        <w:r w:rsidR="006512B1">
          <w:rPr>
            <w:webHidden/>
          </w:rPr>
          <w:fldChar w:fldCharType="separate"/>
        </w:r>
        <w:r w:rsidR="00721FA2">
          <w:rPr>
            <w:webHidden/>
          </w:rPr>
          <w:t>44</w:t>
        </w:r>
        <w:r w:rsidR="006512B1">
          <w:rPr>
            <w:webHidden/>
          </w:rPr>
          <w:fldChar w:fldCharType="end"/>
        </w:r>
      </w:hyperlink>
    </w:p>
    <w:p w14:paraId="5EE60A57" w14:textId="642ED034" w:rsidR="006512B1" w:rsidRDefault="00A674FF" w:rsidP="00CC4246">
      <w:pPr>
        <w:pStyle w:val="TOC3"/>
        <w:rPr>
          <w:rFonts w:eastAsiaTheme="minorEastAsia"/>
          <w:kern w:val="2"/>
          <w:lang w:eastAsia="en-AU"/>
          <w14:ligatures w14:val="standardContextual"/>
        </w:rPr>
      </w:pPr>
      <w:hyperlink w:anchor="_Toc161400992" w:history="1">
        <w:r w:rsidR="006512B1" w:rsidRPr="008E14ED">
          <w:rPr>
            <w:rStyle w:val="Hyperlink"/>
          </w:rPr>
          <w:t xml:space="preserve">4.4 </w:t>
        </w:r>
        <w:r w:rsidR="006512B1">
          <w:rPr>
            <w:rFonts w:eastAsiaTheme="minorEastAsia"/>
            <w:kern w:val="2"/>
            <w:lang w:eastAsia="en-AU"/>
            <w14:ligatures w14:val="standardContextual"/>
          </w:rPr>
          <w:tab/>
        </w:r>
        <w:r w:rsidR="006512B1" w:rsidRPr="008E14ED">
          <w:rPr>
            <w:rStyle w:val="Hyperlink"/>
          </w:rPr>
          <w:t>Rate of return</w:t>
        </w:r>
        <w:r w:rsidR="006512B1">
          <w:rPr>
            <w:webHidden/>
          </w:rPr>
          <w:tab/>
        </w:r>
        <w:r w:rsidR="006512B1">
          <w:rPr>
            <w:webHidden/>
          </w:rPr>
          <w:fldChar w:fldCharType="begin"/>
        </w:r>
        <w:r w:rsidR="006512B1">
          <w:rPr>
            <w:webHidden/>
          </w:rPr>
          <w:instrText xml:space="preserve"> PAGEREF _Toc161400992 \h </w:instrText>
        </w:r>
        <w:r w:rsidR="006512B1">
          <w:rPr>
            <w:webHidden/>
          </w:rPr>
        </w:r>
        <w:r w:rsidR="006512B1">
          <w:rPr>
            <w:webHidden/>
          </w:rPr>
          <w:fldChar w:fldCharType="separate"/>
        </w:r>
        <w:r w:rsidR="00721FA2">
          <w:rPr>
            <w:webHidden/>
          </w:rPr>
          <w:t>48</w:t>
        </w:r>
        <w:r w:rsidR="006512B1">
          <w:rPr>
            <w:webHidden/>
          </w:rPr>
          <w:fldChar w:fldCharType="end"/>
        </w:r>
      </w:hyperlink>
    </w:p>
    <w:p w14:paraId="26F4ABD6" w14:textId="6B882DA3" w:rsidR="006512B1" w:rsidRDefault="00A674FF" w:rsidP="00CC4246">
      <w:pPr>
        <w:pStyle w:val="TOC3"/>
        <w:rPr>
          <w:rFonts w:eastAsiaTheme="minorEastAsia"/>
          <w:kern w:val="2"/>
          <w:lang w:eastAsia="en-AU"/>
          <w14:ligatures w14:val="standardContextual"/>
        </w:rPr>
      </w:pPr>
      <w:hyperlink w:anchor="_Toc161400995" w:history="1">
        <w:r w:rsidR="006512B1" w:rsidRPr="008E14ED">
          <w:rPr>
            <w:rStyle w:val="Hyperlink"/>
          </w:rPr>
          <w:t>4.5</w:t>
        </w:r>
        <w:r w:rsidR="006512B1">
          <w:rPr>
            <w:rFonts w:eastAsiaTheme="minorEastAsia"/>
            <w:kern w:val="2"/>
            <w:lang w:eastAsia="en-AU"/>
            <w14:ligatures w14:val="standardContextual"/>
          </w:rPr>
          <w:tab/>
        </w:r>
        <w:r w:rsidR="006512B1" w:rsidRPr="008E14ED">
          <w:rPr>
            <w:rStyle w:val="Hyperlink"/>
          </w:rPr>
          <w:t>Regulatory depreciation</w:t>
        </w:r>
        <w:r w:rsidR="006512B1">
          <w:rPr>
            <w:webHidden/>
          </w:rPr>
          <w:tab/>
        </w:r>
        <w:r w:rsidR="006512B1">
          <w:rPr>
            <w:webHidden/>
          </w:rPr>
          <w:fldChar w:fldCharType="begin"/>
        </w:r>
        <w:r w:rsidR="006512B1">
          <w:rPr>
            <w:webHidden/>
          </w:rPr>
          <w:instrText xml:space="preserve"> PAGEREF _Toc161400995 \h </w:instrText>
        </w:r>
        <w:r w:rsidR="006512B1">
          <w:rPr>
            <w:webHidden/>
          </w:rPr>
        </w:r>
        <w:r w:rsidR="006512B1">
          <w:rPr>
            <w:webHidden/>
          </w:rPr>
          <w:fldChar w:fldCharType="separate"/>
        </w:r>
        <w:r w:rsidR="00721FA2">
          <w:rPr>
            <w:webHidden/>
          </w:rPr>
          <w:t>50</w:t>
        </w:r>
        <w:r w:rsidR="006512B1">
          <w:rPr>
            <w:webHidden/>
          </w:rPr>
          <w:fldChar w:fldCharType="end"/>
        </w:r>
      </w:hyperlink>
    </w:p>
    <w:p w14:paraId="1370F3E2" w14:textId="0C86F0F9" w:rsidR="006512B1" w:rsidRDefault="00A674FF" w:rsidP="00CC4246">
      <w:pPr>
        <w:pStyle w:val="TOC3"/>
        <w:rPr>
          <w:rFonts w:eastAsiaTheme="minorEastAsia"/>
          <w:kern w:val="2"/>
          <w:lang w:eastAsia="en-AU"/>
          <w14:ligatures w14:val="standardContextual"/>
        </w:rPr>
      </w:pPr>
      <w:hyperlink w:anchor="_Toc161400996" w:history="1">
        <w:r w:rsidR="006512B1" w:rsidRPr="008E14ED">
          <w:rPr>
            <w:rStyle w:val="Hyperlink"/>
          </w:rPr>
          <w:t>4.6</w:t>
        </w:r>
        <w:r w:rsidR="006512B1">
          <w:rPr>
            <w:rFonts w:eastAsiaTheme="minorEastAsia"/>
            <w:kern w:val="2"/>
            <w:lang w:eastAsia="en-AU"/>
            <w14:ligatures w14:val="standardContextual"/>
          </w:rPr>
          <w:tab/>
        </w:r>
        <w:r w:rsidR="006512B1" w:rsidRPr="008E14ED">
          <w:rPr>
            <w:rStyle w:val="Hyperlink"/>
          </w:rPr>
          <w:t>Tax allowance</w:t>
        </w:r>
        <w:r w:rsidR="006512B1">
          <w:rPr>
            <w:webHidden/>
          </w:rPr>
          <w:tab/>
        </w:r>
        <w:r w:rsidR="006512B1">
          <w:rPr>
            <w:webHidden/>
          </w:rPr>
          <w:fldChar w:fldCharType="begin"/>
        </w:r>
        <w:r w:rsidR="006512B1">
          <w:rPr>
            <w:webHidden/>
          </w:rPr>
          <w:instrText xml:space="preserve"> PAGEREF _Toc161400996 \h </w:instrText>
        </w:r>
        <w:r w:rsidR="006512B1">
          <w:rPr>
            <w:webHidden/>
          </w:rPr>
        </w:r>
        <w:r w:rsidR="006512B1">
          <w:rPr>
            <w:webHidden/>
          </w:rPr>
          <w:fldChar w:fldCharType="separate"/>
        </w:r>
        <w:r w:rsidR="00721FA2">
          <w:rPr>
            <w:webHidden/>
          </w:rPr>
          <w:t>50</w:t>
        </w:r>
        <w:r w:rsidR="006512B1">
          <w:rPr>
            <w:webHidden/>
          </w:rPr>
          <w:fldChar w:fldCharType="end"/>
        </w:r>
      </w:hyperlink>
    </w:p>
    <w:p w14:paraId="6F48CEFC" w14:textId="6C215E51" w:rsidR="006512B1" w:rsidRDefault="00A674FF">
      <w:pPr>
        <w:pStyle w:val="TOC1"/>
        <w:rPr>
          <w:rFonts w:eastAsiaTheme="minorEastAsia"/>
          <w:b w:val="0"/>
          <w:noProof/>
          <w:kern w:val="2"/>
          <w:lang w:eastAsia="en-AU"/>
          <w14:ligatures w14:val="standardContextual"/>
        </w:rPr>
      </w:pPr>
      <w:hyperlink w:anchor="_Toc161400997" w:history="1">
        <w:r w:rsidR="006512B1" w:rsidRPr="008E14ED">
          <w:rPr>
            <w:rStyle w:val="Hyperlink"/>
            <w:noProof/>
          </w:rPr>
          <w:t>5.</w:t>
        </w:r>
        <w:r w:rsidR="006512B1">
          <w:rPr>
            <w:rFonts w:eastAsiaTheme="minorEastAsia"/>
            <w:b w:val="0"/>
            <w:noProof/>
            <w:kern w:val="2"/>
            <w:lang w:eastAsia="en-AU"/>
            <w14:ligatures w14:val="standardContextual"/>
          </w:rPr>
          <w:tab/>
        </w:r>
        <w:r w:rsidR="006512B1" w:rsidRPr="008E14ED">
          <w:rPr>
            <w:rStyle w:val="Hyperlink"/>
            <w:noProof/>
          </w:rPr>
          <w:t>Demand, tariffs and prices</w:t>
        </w:r>
        <w:r w:rsidR="006512B1">
          <w:rPr>
            <w:noProof/>
            <w:webHidden/>
          </w:rPr>
          <w:tab/>
        </w:r>
        <w:r w:rsidR="006512B1">
          <w:rPr>
            <w:noProof/>
            <w:webHidden/>
          </w:rPr>
          <w:fldChar w:fldCharType="begin"/>
        </w:r>
        <w:r w:rsidR="006512B1">
          <w:rPr>
            <w:noProof/>
            <w:webHidden/>
          </w:rPr>
          <w:instrText xml:space="preserve"> PAGEREF _Toc161400997 \h </w:instrText>
        </w:r>
        <w:r w:rsidR="006512B1">
          <w:rPr>
            <w:noProof/>
            <w:webHidden/>
          </w:rPr>
        </w:r>
        <w:r w:rsidR="006512B1">
          <w:rPr>
            <w:noProof/>
            <w:webHidden/>
          </w:rPr>
          <w:fldChar w:fldCharType="separate"/>
        </w:r>
        <w:r w:rsidR="00721FA2">
          <w:rPr>
            <w:noProof/>
            <w:webHidden/>
          </w:rPr>
          <w:t>51</w:t>
        </w:r>
        <w:r w:rsidR="006512B1">
          <w:rPr>
            <w:noProof/>
            <w:webHidden/>
          </w:rPr>
          <w:fldChar w:fldCharType="end"/>
        </w:r>
      </w:hyperlink>
    </w:p>
    <w:p w14:paraId="573987FD" w14:textId="54F2869F" w:rsidR="006512B1" w:rsidRDefault="00A674FF" w:rsidP="00CC4246">
      <w:pPr>
        <w:pStyle w:val="TOC3"/>
        <w:rPr>
          <w:rFonts w:eastAsiaTheme="minorEastAsia"/>
          <w:kern w:val="2"/>
          <w:lang w:eastAsia="en-AU"/>
          <w14:ligatures w14:val="standardContextual"/>
        </w:rPr>
      </w:pPr>
      <w:hyperlink w:anchor="_Toc161400998" w:history="1">
        <w:r w:rsidR="006512B1" w:rsidRPr="008E14ED">
          <w:rPr>
            <w:rStyle w:val="Hyperlink"/>
          </w:rPr>
          <w:t>5.1</w:t>
        </w:r>
        <w:r w:rsidR="006512B1">
          <w:rPr>
            <w:rFonts w:eastAsiaTheme="minorEastAsia"/>
            <w:kern w:val="2"/>
            <w:lang w:eastAsia="en-AU"/>
            <w14:ligatures w14:val="standardContextual"/>
          </w:rPr>
          <w:tab/>
        </w:r>
        <w:r w:rsidR="006512B1" w:rsidRPr="008E14ED">
          <w:rPr>
            <w:rStyle w:val="Hyperlink"/>
          </w:rPr>
          <w:t>Demand</w:t>
        </w:r>
        <w:r w:rsidR="006512B1">
          <w:rPr>
            <w:webHidden/>
          </w:rPr>
          <w:tab/>
        </w:r>
        <w:r w:rsidR="006512B1">
          <w:rPr>
            <w:webHidden/>
          </w:rPr>
          <w:fldChar w:fldCharType="begin"/>
        </w:r>
        <w:r w:rsidR="006512B1">
          <w:rPr>
            <w:webHidden/>
          </w:rPr>
          <w:instrText xml:space="preserve"> PAGEREF _Toc161400998 \h </w:instrText>
        </w:r>
        <w:r w:rsidR="006512B1">
          <w:rPr>
            <w:webHidden/>
          </w:rPr>
        </w:r>
        <w:r w:rsidR="006512B1">
          <w:rPr>
            <w:webHidden/>
          </w:rPr>
          <w:fldChar w:fldCharType="separate"/>
        </w:r>
        <w:r w:rsidR="00721FA2">
          <w:rPr>
            <w:webHidden/>
          </w:rPr>
          <w:t>51</w:t>
        </w:r>
        <w:r w:rsidR="006512B1">
          <w:rPr>
            <w:webHidden/>
          </w:rPr>
          <w:fldChar w:fldCharType="end"/>
        </w:r>
      </w:hyperlink>
    </w:p>
    <w:p w14:paraId="5522EB39" w14:textId="24DC7955" w:rsidR="006512B1" w:rsidRDefault="00A674FF" w:rsidP="00CC4246">
      <w:pPr>
        <w:pStyle w:val="TOC3"/>
        <w:rPr>
          <w:rFonts w:eastAsiaTheme="minorEastAsia"/>
          <w:kern w:val="2"/>
          <w:lang w:eastAsia="en-AU"/>
          <w14:ligatures w14:val="standardContextual"/>
        </w:rPr>
      </w:pPr>
      <w:hyperlink w:anchor="_Toc161400999" w:history="1">
        <w:r w:rsidR="006512B1" w:rsidRPr="008E14ED">
          <w:rPr>
            <w:rStyle w:val="Hyperlink"/>
          </w:rPr>
          <w:t>5.2</w:t>
        </w:r>
        <w:r w:rsidR="006512B1">
          <w:rPr>
            <w:rFonts w:eastAsiaTheme="minorEastAsia"/>
            <w:kern w:val="2"/>
            <w:lang w:eastAsia="en-AU"/>
            <w14:ligatures w14:val="standardContextual"/>
          </w:rPr>
          <w:tab/>
        </w:r>
        <w:r w:rsidR="006512B1" w:rsidRPr="008E14ED">
          <w:rPr>
            <w:rStyle w:val="Hyperlink"/>
          </w:rPr>
          <w:t>Form of price control</w:t>
        </w:r>
        <w:r w:rsidR="006512B1">
          <w:rPr>
            <w:webHidden/>
          </w:rPr>
          <w:tab/>
        </w:r>
        <w:r w:rsidR="006512B1">
          <w:rPr>
            <w:webHidden/>
          </w:rPr>
          <w:fldChar w:fldCharType="begin"/>
        </w:r>
        <w:r w:rsidR="006512B1">
          <w:rPr>
            <w:webHidden/>
          </w:rPr>
          <w:instrText xml:space="preserve"> PAGEREF _Toc161400999 \h </w:instrText>
        </w:r>
        <w:r w:rsidR="006512B1">
          <w:rPr>
            <w:webHidden/>
          </w:rPr>
        </w:r>
        <w:r w:rsidR="006512B1">
          <w:rPr>
            <w:webHidden/>
          </w:rPr>
          <w:fldChar w:fldCharType="separate"/>
        </w:r>
        <w:r w:rsidR="00721FA2">
          <w:rPr>
            <w:webHidden/>
          </w:rPr>
          <w:t>51</w:t>
        </w:r>
        <w:r w:rsidR="006512B1">
          <w:rPr>
            <w:webHidden/>
          </w:rPr>
          <w:fldChar w:fldCharType="end"/>
        </w:r>
      </w:hyperlink>
    </w:p>
    <w:p w14:paraId="37A6BC47" w14:textId="39455043" w:rsidR="006512B1" w:rsidRDefault="00A674FF" w:rsidP="00CC4246">
      <w:pPr>
        <w:pStyle w:val="TOC3"/>
        <w:rPr>
          <w:rFonts w:eastAsiaTheme="minorEastAsia"/>
          <w:kern w:val="2"/>
          <w:lang w:eastAsia="en-AU"/>
          <w14:ligatures w14:val="standardContextual"/>
        </w:rPr>
      </w:pPr>
      <w:hyperlink w:anchor="_Toc161401000" w:history="1">
        <w:r w:rsidR="006512B1" w:rsidRPr="008E14ED">
          <w:rPr>
            <w:rStyle w:val="Hyperlink"/>
          </w:rPr>
          <w:t>5.3</w:t>
        </w:r>
        <w:r w:rsidR="006512B1">
          <w:rPr>
            <w:rFonts w:eastAsiaTheme="minorEastAsia"/>
            <w:kern w:val="2"/>
            <w:lang w:eastAsia="en-AU"/>
            <w14:ligatures w14:val="standardContextual"/>
          </w:rPr>
          <w:tab/>
        </w:r>
        <w:r w:rsidR="006512B1" w:rsidRPr="008E14ED">
          <w:rPr>
            <w:rStyle w:val="Hyperlink"/>
          </w:rPr>
          <w:t>Tariff structures and prices</w:t>
        </w:r>
        <w:r w:rsidR="006512B1">
          <w:rPr>
            <w:webHidden/>
          </w:rPr>
          <w:tab/>
        </w:r>
        <w:r w:rsidR="006512B1">
          <w:rPr>
            <w:webHidden/>
          </w:rPr>
          <w:fldChar w:fldCharType="begin"/>
        </w:r>
        <w:r w:rsidR="006512B1">
          <w:rPr>
            <w:webHidden/>
          </w:rPr>
          <w:instrText xml:space="preserve"> PAGEREF _Toc161401000 \h </w:instrText>
        </w:r>
        <w:r w:rsidR="006512B1">
          <w:rPr>
            <w:webHidden/>
          </w:rPr>
        </w:r>
        <w:r w:rsidR="006512B1">
          <w:rPr>
            <w:webHidden/>
          </w:rPr>
          <w:fldChar w:fldCharType="separate"/>
        </w:r>
        <w:r w:rsidR="00721FA2">
          <w:rPr>
            <w:webHidden/>
          </w:rPr>
          <w:t>52</w:t>
        </w:r>
        <w:r w:rsidR="006512B1">
          <w:rPr>
            <w:webHidden/>
          </w:rPr>
          <w:fldChar w:fldCharType="end"/>
        </w:r>
      </w:hyperlink>
    </w:p>
    <w:p w14:paraId="60C5538F" w14:textId="2C9E500A" w:rsidR="006512B1" w:rsidRDefault="00A674FF" w:rsidP="00CC4246">
      <w:pPr>
        <w:pStyle w:val="TOC3"/>
        <w:rPr>
          <w:rFonts w:eastAsiaTheme="minorEastAsia"/>
          <w:kern w:val="2"/>
          <w:lang w:eastAsia="en-AU"/>
          <w14:ligatures w14:val="standardContextual"/>
        </w:rPr>
      </w:pPr>
      <w:hyperlink w:anchor="_Toc161401005" w:history="1">
        <w:r w:rsidR="006512B1" w:rsidRPr="008E14ED">
          <w:rPr>
            <w:rStyle w:val="Hyperlink"/>
          </w:rPr>
          <w:t>5.4</w:t>
        </w:r>
        <w:r w:rsidR="006512B1">
          <w:rPr>
            <w:rFonts w:eastAsiaTheme="minorEastAsia"/>
            <w:kern w:val="2"/>
            <w:lang w:eastAsia="en-AU"/>
            <w14:ligatures w14:val="standardContextual"/>
          </w:rPr>
          <w:tab/>
        </w:r>
        <w:r w:rsidR="006512B1" w:rsidRPr="008E14ED">
          <w:rPr>
            <w:rStyle w:val="Hyperlink"/>
          </w:rPr>
          <w:t>New customer contributions</w:t>
        </w:r>
        <w:r w:rsidR="006512B1">
          <w:rPr>
            <w:webHidden/>
          </w:rPr>
          <w:tab/>
        </w:r>
        <w:r w:rsidR="006512B1">
          <w:rPr>
            <w:webHidden/>
          </w:rPr>
          <w:fldChar w:fldCharType="begin"/>
        </w:r>
        <w:r w:rsidR="006512B1">
          <w:rPr>
            <w:webHidden/>
          </w:rPr>
          <w:instrText xml:space="preserve"> PAGEREF _Toc161401005 \h </w:instrText>
        </w:r>
        <w:r w:rsidR="006512B1">
          <w:rPr>
            <w:webHidden/>
          </w:rPr>
        </w:r>
        <w:r w:rsidR="006512B1">
          <w:rPr>
            <w:webHidden/>
          </w:rPr>
          <w:fldChar w:fldCharType="separate"/>
        </w:r>
        <w:r w:rsidR="00721FA2">
          <w:rPr>
            <w:webHidden/>
          </w:rPr>
          <w:t>58</w:t>
        </w:r>
        <w:r w:rsidR="006512B1">
          <w:rPr>
            <w:webHidden/>
          </w:rPr>
          <w:fldChar w:fldCharType="end"/>
        </w:r>
      </w:hyperlink>
    </w:p>
    <w:p w14:paraId="0D237BFB" w14:textId="266D00B9" w:rsidR="006512B1" w:rsidRDefault="00A674FF" w:rsidP="00CC4246">
      <w:pPr>
        <w:pStyle w:val="TOC3"/>
        <w:rPr>
          <w:rFonts w:eastAsiaTheme="minorEastAsia"/>
          <w:kern w:val="2"/>
          <w:lang w:eastAsia="en-AU"/>
          <w14:ligatures w14:val="standardContextual"/>
        </w:rPr>
      </w:pPr>
      <w:hyperlink w:anchor="_Toc161401006" w:history="1">
        <w:r w:rsidR="006512B1" w:rsidRPr="008E14ED">
          <w:rPr>
            <w:rStyle w:val="Hyperlink"/>
          </w:rPr>
          <w:t>5.5</w:t>
        </w:r>
        <w:r w:rsidR="006512B1">
          <w:rPr>
            <w:rFonts w:eastAsiaTheme="minorEastAsia"/>
            <w:kern w:val="2"/>
            <w:lang w:eastAsia="en-AU"/>
            <w14:ligatures w14:val="standardContextual"/>
          </w:rPr>
          <w:tab/>
        </w:r>
        <w:r w:rsidR="006512B1" w:rsidRPr="008E14ED">
          <w:rPr>
            <w:rStyle w:val="Hyperlink"/>
          </w:rPr>
          <w:t>Adjusting prices</w:t>
        </w:r>
        <w:r w:rsidR="006512B1">
          <w:rPr>
            <w:webHidden/>
          </w:rPr>
          <w:tab/>
        </w:r>
        <w:r w:rsidR="006512B1">
          <w:rPr>
            <w:webHidden/>
          </w:rPr>
          <w:fldChar w:fldCharType="begin"/>
        </w:r>
        <w:r w:rsidR="006512B1">
          <w:rPr>
            <w:webHidden/>
          </w:rPr>
          <w:instrText xml:space="preserve"> PAGEREF _Toc161401006 \h </w:instrText>
        </w:r>
        <w:r w:rsidR="006512B1">
          <w:rPr>
            <w:webHidden/>
          </w:rPr>
        </w:r>
        <w:r w:rsidR="006512B1">
          <w:rPr>
            <w:webHidden/>
          </w:rPr>
          <w:fldChar w:fldCharType="separate"/>
        </w:r>
        <w:r w:rsidR="00721FA2">
          <w:rPr>
            <w:webHidden/>
          </w:rPr>
          <w:t>63</w:t>
        </w:r>
        <w:r w:rsidR="006512B1">
          <w:rPr>
            <w:webHidden/>
          </w:rPr>
          <w:fldChar w:fldCharType="end"/>
        </w:r>
      </w:hyperlink>
    </w:p>
    <w:p w14:paraId="2557F64C" w14:textId="1F1CB41C" w:rsidR="006512B1" w:rsidRDefault="00A674FF">
      <w:pPr>
        <w:pStyle w:val="TOC1"/>
        <w:rPr>
          <w:rFonts w:eastAsiaTheme="minorEastAsia"/>
          <w:b w:val="0"/>
          <w:noProof/>
          <w:kern w:val="2"/>
          <w:lang w:eastAsia="en-AU"/>
          <w14:ligatures w14:val="standardContextual"/>
        </w:rPr>
      </w:pPr>
      <w:hyperlink w:anchor="_Toc161401007" w:history="1">
        <w:r w:rsidR="006512B1" w:rsidRPr="008E14ED">
          <w:rPr>
            <w:rStyle w:val="Hyperlink"/>
            <w:noProof/>
          </w:rPr>
          <w:t>6.</w:t>
        </w:r>
        <w:r w:rsidR="006512B1">
          <w:rPr>
            <w:rFonts w:eastAsiaTheme="minorEastAsia"/>
            <w:b w:val="0"/>
            <w:noProof/>
            <w:kern w:val="2"/>
            <w:lang w:eastAsia="en-AU"/>
            <w14:ligatures w14:val="standardContextual"/>
          </w:rPr>
          <w:tab/>
        </w:r>
        <w:r w:rsidR="006512B1" w:rsidRPr="008E14ED">
          <w:rPr>
            <w:rStyle w:val="Hyperlink"/>
            <w:noProof/>
          </w:rPr>
          <w:t>Financial position</w:t>
        </w:r>
        <w:r w:rsidR="006512B1">
          <w:rPr>
            <w:noProof/>
            <w:webHidden/>
          </w:rPr>
          <w:tab/>
        </w:r>
        <w:r w:rsidR="006512B1">
          <w:rPr>
            <w:noProof/>
            <w:webHidden/>
          </w:rPr>
          <w:fldChar w:fldCharType="begin"/>
        </w:r>
        <w:r w:rsidR="006512B1">
          <w:rPr>
            <w:noProof/>
            <w:webHidden/>
          </w:rPr>
          <w:instrText xml:space="preserve"> PAGEREF _Toc161401007 \h </w:instrText>
        </w:r>
        <w:r w:rsidR="006512B1">
          <w:rPr>
            <w:noProof/>
            <w:webHidden/>
          </w:rPr>
        </w:r>
        <w:r w:rsidR="006512B1">
          <w:rPr>
            <w:noProof/>
            <w:webHidden/>
          </w:rPr>
          <w:fldChar w:fldCharType="separate"/>
        </w:r>
        <w:r w:rsidR="00721FA2">
          <w:rPr>
            <w:noProof/>
            <w:webHidden/>
          </w:rPr>
          <w:t>65</w:t>
        </w:r>
        <w:r w:rsidR="006512B1">
          <w:rPr>
            <w:noProof/>
            <w:webHidden/>
          </w:rPr>
          <w:fldChar w:fldCharType="end"/>
        </w:r>
      </w:hyperlink>
    </w:p>
    <w:p w14:paraId="3A90783C" w14:textId="5D387107" w:rsidR="006512B1" w:rsidRDefault="00A674FF">
      <w:pPr>
        <w:pStyle w:val="TOC1"/>
        <w:rPr>
          <w:rFonts w:eastAsiaTheme="minorEastAsia"/>
          <w:b w:val="0"/>
          <w:noProof/>
          <w:kern w:val="2"/>
          <w:lang w:eastAsia="en-AU"/>
          <w14:ligatures w14:val="standardContextual"/>
        </w:rPr>
      </w:pPr>
      <w:hyperlink w:anchor="_Toc161401008" w:history="1">
        <w:r w:rsidR="006512B1" w:rsidRPr="008E14ED">
          <w:rPr>
            <w:rStyle w:val="Hyperlink"/>
            <w:noProof/>
          </w:rPr>
          <w:t>7.</w:t>
        </w:r>
        <w:r w:rsidR="006512B1">
          <w:rPr>
            <w:rFonts w:eastAsiaTheme="minorEastAsia"/>
            <w:b w:val="0"/>
            <w:noProof/>
            <w:kern w:val="2"/>
            <w:lang w:eastAsia="en-AU"/>
            <w14:ligatures w14:val="standardContextual"/>
          </w:rPr>
          <w:tab/>
        </w:r>
        <w:r w:rsidR="006512B1" w:rsidRPr="008E14ED">
          <w:rPr>
            <w:rStyle w:val="Hyperlink"/>
            <w:noProof/>
          </w:rPr>
          <w:t>PREMO rating</w:t>
        </w:r>
        <w:r w:rsidR="006512B1">
          <w:rPr>
            <w:noProof/>
            <w:webHidden/>
          </w:rPr>
          <w:tab/>
        </w:r>
        <w:r w:rsidR="006512B1">
          <w:rPr>
            <w:noProof/>
            <w:webHidden/>
          </w:rPr>
          <w:fldChar w:fldCharType="begin"/>
        </w:r>
        <w:r w:rsidR="006512B1">
          <w:rPr>
            <w:noProof/>
            <w:webHidden/>
          </w:rPr>
          <w:instrText xml:space="preserve"> PAGEREF _Toc161401008 \h </w:instrText>
        </w:r>
        <w:r w:rsidR="006512B1">
          <w:rPr>
            <w:noProof/>
            <w:webHidden/>
          </w:rPr>
        </w:r>
        <w:r w:rsidR="006512B1">
          <w:rPr>
            <w:noProof/>
            <w:webHidden/>
          </w:rPr>
          <w:fldChar w:fldCharType="separate"/>
        </w:r>
        <w:r w:rsidR="00721FA2">
          <w:rPr>
            <w:noProof/>
            <w:webHidden/>
          </w:rPr>
          <w:t>67</w:t>
        </w:r>
        <w:r w:rsidR="006512B1">
          <w:rPr>
            <w:noProof/>
            <w:webHidden/>
          </w:rPr>
          <w:fldChar w:fldCharType="end"/>
        </w:r>
      </w:hyperlink>
    </w:p>
    <w:p w14:paraId="5361593B" w14:textId="2B4EC52C" w:rsidR="006512B1" w:rsidRDefault="00A674FF" w:rsidP="00CC4246">
      <w:pPr>
        <w:pStyle w:val="TOC3"/>
        <w:rPr>
          <w:rFonts w:eastAsiaTheme="minorEastAsia"/>
          <w:kern w:val="2"/>
          <w:lang w:eastAsia="en-AU"/>
          <w14:ligatures w14:val="standardContextual"/>
        </w:rPr>
      </w:pPr>
      <w:hyperlink w:anchor="_Toc161401009" w:history="1">
        <w:r w:rsidR="006512B1" w:rsidRPr="008E14ED">
          <w:rPr>
            <w:rStyle w:val="Hyperlink"/>
          </w:rPr>
          <w:t>7.1</w:t>
        </w:r>
        <w:r w:rsidR="006512B1">
          <w:rPr>
            <w:rFonts w:eastAsiaTheme="minorEastAsia"/>
            <w:kern w:val="2"/>
            <w:lang w:eastAsia="en-AU"/>
            <w14:ligatures w14:val="standardContextual"/>
          </w:rPr>
          <w:tab/>
        </w:r>
        <w:r w:rsidR="006512B1" w:rsidRPr="008E14ED">
          <w:rPr>
            <w:rStyle w:val="Hyperlink"/>
          </w:rPr>
          <w:t>Our PREMO assessment of Greater Western Water’s price submission</w:t>
        </w:r>
        <w:r w:rsidR="006512B1">
          <w:rPr>
            <w:webHidden/>
          </w:rPr>
          <w:tab/>
        </w:r>
        <w:r w:rsidR="00852F40">
          <w:rPr>
            <w:webHidden/>
          </w:rPr>
          <w:tab/>
        </w:r>
        <w:r w:rsidR="006512B1">
          <w:rPr>
            <w:webHidden/>
          </w:rPr>
          <w:fldChar w:fldCharType="begin"/>
        </w:r>
        <w:r w:rsidR="006512B1">
          <w:rPr>
            <w:webHidden/>
          </w:rPr>
          <w:instrText xml:space="preserve"> PAGEREF _Toc161401009 \h </w:instrText>
        </w:r>
        <w:r w:rsidR="006512B1">
          <w:rPr>
            <w:webHidden/>
          </w:rPr>
        </w:r>
        <w:r w:rsidR="006512B1">
          <w:rPr>
            <w:webHidden/>
          </w:rPr>
          <w:fldChar w:fldCharType="separate"/>
        </w:r>
        <w:r w:rsidR="00721FA2">
          <w:rPr>
            <w:webHidden/>
          </w:rPr>
          <w:t>67</w:t>
        </w:r>
        <w:r w:rsidR="006512B1">
          <w:rPr>
            <w:webHidden/>
          </w:rPr>
          <w:fldChar w:fldCharType="end"/>
        </w:r>
      </w:hyperlink>
    </w:p>
    <w:p w14:paraId="1D7DF0FC" w14:textId="73E81161" w:rsidR="006512B1" w:rsidRDefault="00A674FF">
      <w:pPr>
        <w:pStyle w:val="TOC1"/>
        <w:rPr>
          <w:rFonts w:eastAsiaTheme="minorEastAsia"/>
          <w:b w:val="0"/>
          <w:noProof/>
          <w:kern w:val="2"/>
          <w:lang w:eastAsia="en-AU"/>
          <w14:ligatures w14:val="standardContextual"/>
        </w:rPr>
      </w:pPr>
      <w:hyperlink w:anchor="_Toc161401015" w:history="1">
        <w:r w:rsidR="006512B1" w:rsidRPr="008E14ED">
          <w:rPr>
            <w:rStyle w:val="Hyperlink"/>
            <w:noProof/>
          </w:rPr>
          <w:t>Appendix A — Submissions received</w:t>
        </w:r>
        <w:r w:rsidR="006512B1">
          <w:rPr>
            <w:noProof/>
            <w:webHidden/>
          </w:rPr>
          <w:tab/>
        </w:r>
        <w:r w:rsidR="006512B1">
          <w:rPr>
            <w:noProof/>
            <w:webHidden/>
          </w:rPr>
          <w:fldChar w:fldCharType="begin"/>
        </w:r>
        <w:r w:rsidR="006512B1">
          <w:rPr>
            <w:noProof/>
            <w:webHidden/>
          </w:rPr>
          <w:instrText xml:space="preserve"> PAGEREF _Toc161401015 \h </w:instrText>
        </w:r>
        <w:r w:rsidR="006512B1">
          <w:rPr>
            <w:noProof/>
            <w:webHidden/>
          </w:rPr>
        </w:r>
        <w:r w:rsidR="006512B1">
          <w:rPr>
            <w:noProof/>
            <w:webHidden/>
          </w:rPr>
          <w:fldChar w:fldCharType="separate"/>
        </w:r>
        <w:r w:rsidR="00721FA2">
          <w:rPr>
            <w:noProof/>
            <w:webHidden/>
          </w:rPr>
          <w:t>74</w:t>
        </w:r>
        <w:r w:rsidR="006512B1">
          <w:rPr>
            <w:noProof/>
            <w:webHidden/>
          </w:rPr>
          <w:fldChar w:fldCharType="end"/>
        </w:r>
      </w:hyperlink>
    </w:p>
    <w:p w14:paraId="0392AAC6" w14:textId="0BEF8490" w:rsidR="006512B1" w:rsidRDefault="00A674FF">
      <w:pPr>
        <w:pStyle w:val="TOC1"/>
        <w:rPr>
          <w:rFonts w:eastAsiaTheme="minorEastAsia"/>
          <w:b w:val="0"/>
          <w:noProof/>
          <w:kern w:val="2"/>
          <w:lang w:eastAsia="en-AU"/>
          <w14:ligatures w14:val="standardContextual"/>
        </w:rPr>
      </w:pPr>
      <w:hyperlink w:anchor="_Toc161401016" w:history="1">
        <w:r w:rsidR="006512B1" w:rsidRPr="008E14ED">
          <w:rPr>
            <w:rStyle w:val="Hyperlink"/>
            <w:noProof/>
          </w:rPr>
          <w:t>Appendix B — Commission’s consideration of legal requirements</w:t>
        </w:r>
        <w:r w:rsidR="006512B1">
          <w:rPr>
            <w:noProof/>
            <w:webHidden/>
          </w:rPr>
          <w:tab/>
        </w:r>
        <w:r w:rsidR="006512B1">
          <w:rPr>
            <w:noProof/>
            <w:webHidden/>
          </w:rPr>
          <w:fldChar w:fldCharType="begin"/>
        </w:r>
        <w:r w:rsidR="006512B1">
          <w:rPr>
            <w:noProof/>
            <w:webHidden/>
          </w:rPr>
          <w:instrText xml:space="preserve"> PAGEREF _Toc161401016 \h </w:instrText>
        </w:r>
        <w:r w:rsidR="006512B1">
          <w:rPr>
            <w:noProof/>
            <w:webHidden/>
          </w:rPr>
        </w:r>
        <w:r w:rsidR="006512B1">
          <w:rPr>
            <w:noProof/>
            <w:webHidden/>
          </w:rPr>
          <w:fldChar w:fldCharType="separate"/>
        </w:r>
        <w:r w:rsidR="00721FA2">
          <w:rPr>
            <w:noProof/>
            <w:webHidden/>
          </w:rPr>
          <w:t>75</w:t>
        </w:r>
        <w:r w:rsidR="006512B1">
          <w:rPr>
            <w:noProof/>
            <w:webHidden/>
          </w:rPr>
          <w:fldChar w:fldCharType="end"/>
        </w:r>
      </w:hyperlink>
    </w:p>
    <w:p w14:paraId="2119D22A" w14:textId="4505BF8E" w:rsidR="00D3670C" w:rsidRDefault="00782E55" w:rsidP="00D3670C">
      <w:r>
        <w:rPr>
          <w:color w:val="236192" w:themeColor="accent1"/>
        </w:rPr>
        <w:fldChar w:fldCharType="end"/>
      </w:r>
    </w:p>
    <w:p w14:paraId="76A05F22" w14:textId="77777777" w:rsidR="003A30F3" w:rsidRDefault="003A30F3" w:rsidP="003A30F3"/>
    <w:p w14:paraId="016E9F4E" w14:textId="77777777" w:rsidR="003A30F3" w:rsidRPr="003A30F3" w:rsidRDefault="003A30F3" w:rsidP="003A30F3">
      <w:pPr>
        <w:sectPr w:rsidR="003A30F3" w:rsidRPr="003A30F3" w:rsidSect="00736B75">
          <w:footerReference w:type="default" r:id="rId21"/>
          <w:type w:val="continuous"/>
          <w:pgSz w:w="11906" w:h="16838" w:code="9"/>
          <w:pgMar w:top="1134" w:right="1558" w:bottom="1134" w:left="1134" w:header="709" w:footer="692" w:gutter="0"/>
          <w:pgNumType w:fmt="lowerRoman"/>
          <w:cols w:space="708"/>
          <w:docGrid w:linePitch="360"/>
        </w:sectPr>
      </w:pPr>
    </w:p>
    <w:p w14:paraId="0BE221DF" w14:textId="5CA4B77A" w:rsidR="00710792" w:rsidRDefault="00710792" w:rsidP="00710792">
      <w:pPr>
        <w:pStyle w:val="Heading1"/>
      </w:pPr>
      <w:bookmarkStart w:id="11" w:name="_Toc161400957"/>
      <w:r>
        <w:lastRenderedPageBreak/>
        <w:t>Summary</w:t>
      </w:r>
      <w:bookmarkEnd w:id="11"/>
    </w:p>
    <w:p w14:paraId="25670C8B" w14:textId="37F4472B" w:rsidR="00B503C2" w:rsidRDefault="00496F65" w:rsidP="003E5DB7">
      <w:pPr>
        <w:pStyle w:val="Heading2"/>
      </w:pPr>
      <w:bookmarkStart w:id="12" w:name="_Toc117178651"/>
      <w:bookmarkStart w:id="13" w:name="_Toc118289104"/>
      <w:bookmarkStart w:id="14" w:name="_Toc122514835"/>
      <w:bookmarkStart w:id="15" w:name="_Toc150515663"/>
      <w:bookmarkStart w:id="16" w:name="_Toc161400958"/>
      <w:r w:rsidRPr="00216857">
        <w:t xml:space="preserve">Our draft decision considers </w:t>
      </w:r>
      <w:r w:rsidR="00AA1D9F" w:rsidRPr="00216857">
        <w:t>Greater Western Water</w:t>
      </w:r>
      <w:r w:rsidRPr="00216857">
        <w:t xml:space="preserve">’s proposed prices for a </w:t>
      </w:r>
      <w:r w:rsidR="008C506D" w:rsidRPr="00216857">
        <w:t>four</w:t>
      </w:r>
      <w:r w:rsidR="004C4290" w:rsidRPr="00216857">
        <w:t>-</w:t>
      </w:r>
      <w:r w:rsidRPr="00216857">
        <w:t>year period starting 1 July 202</w:t>
      </w:r>
      <w:bookmarkEnd w:id="12"/>
      <w:bookmarkEnd w:id="13"/>
      <w:bookmarkEnd w:id="14"/>
      <w:r w:rsidR="008C506D" w:rsidRPr="00216857">
        <w:t>4</w:t>
      </w:r>
      <w:bookmarkEnd w:id="15"/>
      <w:bookmarkEnd w:id="16"/>
    </w:p>
    <w:p w14:paraId="58E919B4" w14:textId="7347669F" w:rsidR="00B503C2" w:rsidRDefault="00F569BD" w:rsidP="00B503C2">
      <w:pPr>
        <w:sectPr w:rsidR="00B503C2" w:rsidSect="00736B75">
          <w:footerReference w:type="default" r:id="rId22"/>
          <w:type w:val="continuous"/>
          <w:pgSz w:w="11906" w:h="16838" w:code="9"/>
          <w:pgMar w:top="1134" w:right="1134" w:bottom="1134" w:left="1134" w:header="709" w:footer="692" w:gutter="0"/>
          <w:pgNumType w:fmt="lowerRoman"/>
          <w:cols w:space="708"/>
          <w:docGrid w:linePitch="360"/>
        </w:sectPr>
      </w:pPr>
      <w:r>
        <w:rPr>
          <w:noProof/>
        </w:rPr>
        <mc:AlternateContent>
          <mc:Choice Requires="wpc">
            <w:drawing>
              <wp:anchor distT="0" distB="0" distL="114300" distR="114300" simplePos="0" relativeHeight="251658243" behindDoc="1" locked="0" layoutInCell="1" allowOverlap="1" wp14:anchorId="26C8E462" wp14:editId="63D6C4D8">
                <wp:simplePos x="0" y="0"/>
                <wp:positionH relativeFrom="column">
                  <wp:posOffset>-5715</wp:posOffset>
                </wp:positionH>
                <wp:positionV relativeFrom="paragraph">
                  <wp:posOffset>532130</wp:posOffset>
                </wp:positionV>
                <wp:extent cx="6113780" cy="1095375"/>
                <wp:effectExtent l="0" t="0" r="1270" b="9525"/>
                <wp:wrapNone/>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2">
                            <a:lumMod val="40000"/>
                            <a:lumOff val="60000"/>
                          </a:schemeClr>
                        </a:solidFill>
                      </wpc:bg>
                      <wpc:whole>
                        <a:ln w="3175"/>
                      </wpc:whole>
                    </wpc:wpc>
                  </a:graphicData>
                </a:graphic>
                <wp14:sizeRelH relativeFrom="margin">
                  <wp14:pctWidth>0</wp14:pctWidth>
                </wp14:sizeRelH>
                <wp14:sizeRelV relativeFrom="margin">
                  <wp14:pctHeight>0</wp14:pctHeight>
                </wp14:sizeRelV>
              </wp:anchor>
            </w:drawing>
          </mc:Choice>
          <mc:Fallback>
            <w:pict>
              <v:group w14:anchorId="147DC4D5" id="Canvas 10" o:spid="_x0000_s1026" editas="canvas" style="position:absolute;margin-left:-.45pt;margin-top:41.9pt;width:481.4pt;height:86.25pt;z-index:-251658237;mso-width-relative:margin;mso-height-relative:margin" coordsize="61137,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137;height:10953;visibility:visible;mso-wrap-style:square" filled="t" fillcolor="#c7c8ca [1310]" strokeweight=".25pt">
                  <v:fill o:detectmouseclick="t"/>
                  <v:path o:connecttype="none"/>
                </v:shape>
              </v:group>
            </w:pict>
          </mc:Fallback>
        </mc:AlternateContent>
      </w:r>
      <w:r w:rsidR="009D01C0" w:rsidRPr="009D01C0">
        <w:t xml:space="preserve">This draft decision sets out our preliminary views on </w:t>
      </w:r>
      <w:r w:rsidR="00AA1D9F">
        <w:t>Greater Western Water</w:t>
      </w:r>
      <w:r w:rsidR="009D01C0" w:rsidRPr="009D01C0">
        <w:t>’s price submission.</w:t>
      </w:r>
      <w:r w:rsidR="00D6527C">
        <w:rPr>
          <w:rStyle w:val="FootnoteReference"/>
        </w:rPr>
        <w:footnoteReference w:id="2"/>
      </w:r>
      <w:r w:rsidR="009D01C0" w:rsidRPr="009D01C0">
        <w:t xml:space="preserve"> Our draft decision should be read together with </w:t>
      </w:r>
      <w:r w:rsidR="00AA1D9F">
        <w:t>Greater Western Water</w:t>
      </w:r>
      <w:r w:rsidR="009D01C0" w:rsidRPr="009D01C0">
        <w:t>’s price submission.</w:t>
      </w:r>
    </w:p>
    <w:p w14:paraId="412B7D28" w14:textId="000A2D4E" w:rsidR="008F7E2D" w:rsidRDefault="00352275" w:rsidP="00040B8E">
      <w:pPr>
        <w:spacing w:before="360"/>
        <w:ind w:left="1559" w:right="284"/>
      </w:pPr>
      <w:r>
        <w:rPr>
          <w:noProof/>
        </w:rPr>
        <w:drawing>
          <wp:anchor distT="0" distB="0" distL="114300" distR="114300" simplePos="0" relativeHeight="251658242" behindDoc="0" locked="0" layoutInCell="1" allowOverlap="1" wp14:anchorId="05A22946" wp14:editId="0849FBC5">
            <wp:simplePos x="0" y="0"/>
            <wp:positionH relativeFrom="column">
              <wp:posOffset>57785</wp:posOffset>
            </wp:positionH>
            <wp:positionV relativeFrom="paragraph">
              <wp:posOffset>24765</wp:posOffset>
            </wp:positionV>
            <wp:extent cx="934720" cy="934720"/>
            <wp:effectExtent l="0" t="0" r="0" b="0"/>
            <wp:wrapSquare wrapText="bothSides"/>
            <wp:docPr id="9" name="Graphic 9" descr="Penc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encil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34720" cy="934720"/>
                    </a:xfrm>
                    <a:prstGeom prst="rect">
                      <a:avLst/>
                    </a:prstGeom>
                  </pic:spPr>
                </pic:pic>
              </a:graphicData>
            </a:graphic>
            <wp14:sizeRelH relativeFrom="page">
              <wp14:pctWidth>0</wp14:pctWidth>
            </wp14:sizeRelH>
            <wp14:sizeRelV relativeFrom="page">
              <wp14:pctHeight>0</wp14:pctHeight>
            </wp14:sizeRelV>
          </wp:anchor>
        </w:drawing>
      </w:r>
      <w:r w:rsidR="006B7693" w:rsidRPr="006B7693">
        <w:t xml:space="preserve">We invite interested parties to comment on our preliminary views in this draft </w:t>
      </w:r>
      <w:r w:rsidR="006B7693" w:rsidRPr="00216857">
        <w:t>decision before we make a final decision and issue a price determination in June 202</w:t>
      </w:r>
      <w:r w:rsidR="00966B28" w:rsidRPr="00216857">
        <w:t>4</w:t>
      </w:r>
      <w:r w:rsidR="006B7693" w:rsidRPr="00216857">
        <w:t>.</w:t>
      </w:r>
      <w:r w:rsidR="006B7693" w:rsidRPr="006B7693">
        <w:t xml:space="preserve"> </w:t>
      </w:r>
      <w:r w:rsidR="005D76E8">
        <w:t>F</w:t>
      </w:r>
      <w:r w:rsidR="007074C4">
        <w:t>or details of how to provide feedback</w:t>
      </w:r>
      <w:r w:rsidR="005D76E8">
        <w:t>,</w:t>
      </w:r>
      <w:r w:rsidR="00485315">
        <w:t xml:space="preserve"> </w:t>
      </w:r>
      <w:r w:rsidR="005D76E8">
        <w:t>s</w:t>
      </w:r>
      <w:r w:rsidR="004954BF">
        <w:t>ee our dedicated Engage Victoria page</w:t>
      </w:r>
      <w:r w:rsidR="005D76E8">
        <w:t>:</w:t>
      </w:r>
      <w:r w:rsidR="004954BF">
        <w:t xml:space="preserve"> </w:t>
      </w:r>
      <w:hyperlink r:id="rId25" w:history="1">
        <w:r w:rsidR="00011469">
          <w:rPr>
            <w:rStyle w:val="Hyperlink"/>
          </w:rPr>
          <w:t>https://engage.vic.gov.au/water-price-review-2024</w:t>
        </w:r>
      </w:hyperlink>
      <w:r w:rsidR="006B7693" w:rsidRPr="006B7693">
        <w:t>.</w:t>
      </w:r>
    </w:p>
    <w:p w14:paraId="56132FF8" w14:textId="53460409" w:rsidR="005204E0" w:rsidRPr="00216857" w:rsidRDefault="00CA7647" w:rsidP="005204E0">
      <w:pPr>
        <w:pStyle w:val="Heading2"/>
      </w:pPr>
      <w:bookmarkStart w:id="17" w:name="_Toc161400959"/>
      <w:bookmarkStart w:id="18" w:name="_Toc117178652"/>
      <w:bookmarkStart w:id="19" w:name="_Toc118289106"/>
      <w:bookmarkStart w:id="20" w:name="_Toc122514837"/>
      <w:bookmarkStart w:id="21" w:name="_Toc150515664"/>
      <w:r>
        <w:t xml:space="preserve">This will be our first determination for </w:t>
      </w:r>
      <w:r w:rsidR="005204E0" w:rsidRPr="00216857">
        <w:t>Greater Western Water</w:t>
      </w:r>
      <w:bookmarkEnd w:id="17"/>
    </w:p>
    <w:p w14:paraId="46B9AC4B" w14:textId="049FF346" w:rsidR="008D7855" w:rsidRPr="00216857" w:rsidRDefault="008D7855" w:rsidP="008D7855">
      <w:r w:rsidRPr="00216857">
        <w:t>On 1</w:t>
      </w:r>
      <w:r w:rsidR="00D94DCA">
        <w:t> </w:t>
      </w:r>
      <w:r w:rsidRPr="00216857">
        <w:t xml:space="preserve">July 2021, City West Water and Western Water integrated to form Greater Western Water. </w:t>
      </w:r>
      <w:r w:rsidR="003A76D2" w:rsidRPr="00216857">
        <w:t>The existing price determinations set for City West Water in 2018 and Western Water in 2020</w:t>
      </w:r>
      <w:r w:rsidR="00301351">
        <w:t>,</w:t>
      </w:r>
      <w:r w:rsidR="003A76D2" w:rsidRPr="00216857">
        <w:t xml:space="preserve"> </w:t>
      </w:r>
      <w:r w:rsidR="000F367B" w:rsidRPr="00216857">
        <w:t xml:space="preserve">and </w:t>
      </w:r>
      <w:r w:rsidR="00DB0157">
        <w:t xml:space="preserve">with </w:t>
      </w:r>
      <w:r w:rsidR="000F367B" w:rsidRPr="00216857">
        <w:t>which Greater Western Water must comply</w:t>
      </w:r>
      <w:r w:rsidR="00013370" w:rsidRPr="00216857">
        <w:t>,</w:t>
      </w:r>
      <w:r w:rsidR="003A76D2" w:rsidRPr="00216857">
        <w:t xml:space="preserve"> originally applied until 30</w:t>
      </w:r>
      <w:r w:rsidR="00D94DCA">
        <w:t> </w:t>
      </w:r>
      <w:r w:rsidR="003A76D2" w:rsidRPr="00216857">
        <w:t>June 2023.</w:t>
      </w:r>
    </w:p>
    <w:p w14:paraId="35CEEFDC" w14:textId="427E2F73" w:rsidR="00C17894" w:rsidRDefault="00377817" w:rsidP="008D7855">
      <w:r w:rsidRPr="00216857">
        <w:t>On 14</w:t>
      </w:r>
      <w:r w:rsidR="00D94DCA">
        <w:t> </w:t>
      </w:r>
      <w:r w:rsidRPr="00216857">
        <w:t>October 2021, we received a request from Greater Western Water to have the determinations for City West Water and Western Water extended by one year to 30</w:t>
      </w:r>
      <w:r w:rsidR="004814E7">
        <w:t> </w:t>
      </w:r>
      <w:r w:rsidRPr="00216857">
        <w:t>June 2024.</w:t>
      </w:r>
      <w:r w:rsidR="003807D5" w:rsidRPr="00216857">
        <w:rPr>
          <w:rStyle w:val="FootnoteReference"/>
        </w:rPr>
        <w:footnoteReference w:id="3"/>
      </w:r>
      <w:r w:rsidR="00B73E7B" w:rsidRPr="00216857">
        <w:t xml:space="preserve"> Greater Western Water requested the additional </w:t>
      </w:r>
      <w:r w:rsidR="00A428EF">
        <w:t xml:space="preserve">time </w:t>
      </w:r>
      <w:r w:rsidR="00654D78">
        <w:t>‘</w:t>
      </w:r>
      <w:r w:rsidR="00B73E7B" w:rsidRPr="00216857">
        <w:t>to develop a greater level of understanding of the unique circumstances of integration, and how it can deliver long-term benefits to its customers</w:t>
      </w:r>
      <w:r w:rsidR="00654D78">
        <w:t>’</w:t>
      </w:r>
      <w:r w:rsidR="002A12EB">
        <w:t>.</w:t>
      </w:r>
      <w:r w:rsidR="00B73E7B" w:rsidRPr="00216857">
        <w:t xml:space="preserve"> </w:t>
      </w:r>
      <w:r w:rsidR="002A12EB">
        <w:t>We</w:t>
      </w:r>
      <w:r w:rsidR="00B73E7B" w:rsidRPr="00216857">
        <w:t xml:space="preserve"> approved Greater Western Water’s request</w:t>
      </w:r>
      <w:r w:rsidR="0029121C">
        <w:t xml:space="preserve"> given these benefits</w:t>
      </w:r>
      <w:r w:rsidR="00C17894">
        <w:t>.</w:t>
      </w:r>
      <w:r w:rsidR="00E250CB" w:rsidRPr="00216857">
        <w:rPr>
          <w:rStyle w:val="FootnoteReference"/>
        </w:rPr>
        <w:footnoteReference w:id="4"/>
      </w:r>
    </w:p>
    <w:p w14:paraId="7791B4F9" w14:textId="505742C0" w:rsidR="00AC5A2F" w:rsidRDefault="00145ADD" w:rsidP="008D7855">
      <w:r>
        <w:t xml:space="preserve">In September 2022 we issued </w:t>
      </w:r>
      <w:r w:rsidR="00C17894">
        <w:t xml:space="preserve">guidance </w:t>
      </w:r>
      <w:r w:rsidR="005545F4">
        <w:t xml:space="preserve">to </w:t>
      </w:r>
      <w:r w:rsidR="00C17894">
        <w:t xml:space="preserve">Greater Western Water </w:t>
      </w:r>
      <w:r w:rsidR="004E383E">
        <w:t>set</w:t>
      </w:r>
      <w:r w:rsidR="005545F4">
        <w:t>ting</w:t>
      </w:r>
      <w:r w:rsidR="004E383E">
        <w:t xml:space="preserve"> out </w:t>
      </w:r>
      <w:r w:rsidR="00C17894">
        <w:t xml:space="preserve">our information requirements for </w:t>
      </w:r>
      <w:r w:rsidR="005545F4">
        <w:t xml:space="preserve">its </w:t>
      </w:r>
      <w:r w:rsidR="00C17894">
        <w:t>price submission.</w:t>
      </w:r>
      <w:r w:rsidR="004E383E">
        <w:t xml:space="preserve"> </w:t>
      </w:r>
      <w:r w:rsidR="00704FD6">
        <w:t>While</w:t>
      </w:r>
      <w:r w:rsidR="00630945">
        <w:t xml:space="preserve"> </w:t>
      </w:r>
      <w:proofErr w:type="gramStart"/>
      <w:r w:rsidR="00630945">
        <w:t>similar</w:t>
      </w:r>
      <w:r w:rsidR="00704FD6">
        <w:t xml:space="preserve"> </w:t>
      </w:r>
      <w:r w:rsidR="00630945">
        <w:t>to</w:t>
      </w:r>
      <w:proofErr w:type="gramEnd"/>
      <w:r w:rsidR="00630945">
        <w:t xml:space="preserve"> </w:t>
      </w:r>
      <w:r w:rsidR="00704FD6">
        <w:t xml:space="preserve">the </w:t>
      </w:r>
      <w:r w:rsidR="00C17894">
        <w:t xml:space="preserve">guidance we issued businesses </w:t>
      </w:r>
      <w:r w:rsidR="004E383E">
        <w:t>for</w:t>
      </w:r>
      <w:r w:rsidR="00C17894">
        <w:t xml:space="preserve"> the 2023 water price review, </w:t>
      </w:r>
      <w:r w:rsidR="006821B0">
        <w:t xml:space="preserve">it included </w:t>
      </w:r>
      <w:r w:rsidR="00C17894">
        <w:t xml:space="preserve">modifications to address specific matters arising from the one-year extension to the regulatory period and the integration of </w:t>
      </w:r>
      <w:r w:rsidR="00F61DC6">
        <w:t xml:space="preserve">the </w:t>
      </w:r>
      <w:r w:rsidR="00A62410">
        <w:t xml:space="preserve">two </w:t>
      </w:r>
      <w:r w:rsidR="00F61DC6">
        <w:t>business</w:t>
      </w:r>
      <w:r w:rsidR="00A62410">
        <w:t>es</w:t>
      </w:r>
      <w:r w:rsidR="00C17894">
        <w:t xml:space="preserve">. </w:t>
      </w:r>
      <w:r w:rsidR="00AC5A2F">
        <w:t xml:space="preserve">We consulted </w:t>
      </w:r>
      <w:r w:rsidR="00C17894">
        <w:t>with Greater Western Water in developing the modifications</w:t>
      </w:r>
      <w:r w:rsidR="000C2FB6">
        <w:t xml:space="preserve"> to the guidance</w:t>
      </w:r>
      <w:r w:rsidR="00C17894">
        <w:t xml:space="preserve">. </w:t>
      </w:r>
    </w:p>
    <w:p w14:paraId="56C4561D" w14:textId="5205A56B" w:rsidR="00AC284E" w:rsidRPr="00686F99" w:rsidRDefault="00212501" w:rsidP="003D3570">
      <w:r>
        <w:t xml:space="preserve">In September 2023, Greater Western Water lodged its </w:t>
      </w:r>
      <w:r w:rsidR="009834E4">
        <w:t xml:space="preserve">first </w:t>
      </w:r>
      <w:r>
        <w:t xml:space="preserve">price submission </w:t>
      </w:r>
      <w:r w:rsidR="00D31A5D">
        <w:t xml:space="preserve">for our assessment. </w:t>
      </w:r>
      <w:r w:rsidR="00016D22" w:rsidRPr="00686F99">
        <w:t>This set out its proposals relating to customer outcomes</w:t>
      </w:r>
      <w:r w:rsidR="0089436F" w:rsidRPr="00686F99">
        <w:t xml:space="preserve"> and prices</w:t>
      </w:r>
      <w:r w:rsidR="00016D22" w:rsidRPr="00686F99">
        <w:t xml:space="preserve">, </w:t>
      </w:r>
      <w:r w:rsidR="00C94D5C" w:rsidRPr="00686F99">
        <w:t xml:space="preserve">in the context of </w:t>
      </w:r>
      <w:r w:rsidR="002B74F6" w:rsidRPr="00686F99">
        <w:t xml:space="preserve">it </w:t>
      </w:r>
      <w:r w:rsidR="00EB5E8E" w:rsidRPr="00686F99">
        <w:t xml:space="preserve">needing to </w:t>
      </w:r>
      <w:r w:rsidR="002B74F6" w:rsidRPr="00686F99">
        <w:t xml:space="preserve">consider </w:t>
      </w:r>
      <w:r w:rsidR="00AD6EF0" w:rsidRPr="00686F99">
        <w:t xml:space="preserve">issues resulting from the </w:t>
      </w:r>
      <w:r w:rsidR="00A8146A" w:rsidRPr="00686F99">
        <w:t xml:space="preserve">merger </w:t>
      </w:r>
      <w:r w:rsidR="00016D22" w:rsidRPr="00686F99">
        <w:t xml:space="preserve">such as </w:t>
      </w:r>
      <w:r w:rsidR="00862445" w:rsidRPr="00686F99">
        <w:t xml:space="preserve">the different </w:t>
      </w:r>
      <w:r w:rsidR="003D133A" w:rsidRPr="00686F99">
        <w:t xml:space="preserve">prices and </w:t>
      </w:r>
      <w:r w:rsidR="00ED22DF" w:rsidRPr="00686F99">
        <w:t>tariff</w:t>
      </w:r>
      <w:r w:rsidR="003D133A" w:rsidRPr="00686F99">
        <w:t xml:space="preserve"> </w:t>
      </w:r>
      <w:r w:rsidR="00EB5E8E" w:rsidRPr="00686F99">
        <w:t>structure</w:t>
      </w:r>
      <w:r w:rsidR="003D133A" w:rsidRPr="00686F99">
        <w:t>s</w:t>
      </w:r>
      <w:r w:rsidR="00653247" w:rsidRPr="00686F99">
        <w:t xml:space="preserve"> </w:t>
      </w:r>
      <w:r w:rsidR="00862445" w:rsidRPr="00686F99">
        <w:t xml:space="preserve">applying </w:t>
      </w:r>
      <w:r w:rsidR="00862445" w:rsidRPr="00686F99">
        <w:lastRenderedPageBreak/>
        <w:t xml:space="preserve">in the </w:t>
      </w:r>
      <w:r w:rsidR="00D043BA" w:rsidRPr="00686F99">
        <w:t xml:space="preserve">regions </w:t>
      </w:r>
      <w:r w:rsidR="00270103" w:rsidRPr="00686F99">
        <w:t xml:space="preserve">previously </w:t>
      </w:r>
      <w:r w:rsidR="00D841CA" w:rsidRPr="00686F99">
        <w:t>serviced</w:t>
      </w:r>
      <w:r w:rsidR="00D043BA" w:rsidRPr="00686F99">
        <w:t xml:space="preserve"> by City West Water and Western Water</w:t>
      </w:r>
      <w:r w:rsidR="007504B8" w:rsidRPr="00686F99">
        <w:t xml:space="preserve">, </w:t>
      </w:r>
      <w:r w:rsidR="00612F33" w:rsidRPr="00686F99">
        <w:t xml:space="preserve">different </w:t>
      </w:r>
      <w:r w:rsidR="00C77A85" w:rsidRPr="00686F99">
        <w:t>service commitments</w:t>
      </w:r>
      <w:r w:rsidR="00D865DA" w:rsidRPr="00686F99">
        <w:t xml:space="preserve"> and levels</w:t>
      </w:r>
      <w:r w:rsidR="00C77A85" w:rsidRPr="00686F99">
        <w:t xml:space="preserve">, </w:t>
      </w:r>
      <w:r w:rsidR="007504B8" w:rsidRPr="00686F99">
        <w:t xml:space="preserve">and reconsideration of expenditure </w:t>
      </w:r>
      <w:r w:rsidR="009B4D81" w:rsidRPr="00686F99">
        <w:t xml:space="preserve">levels and </w:t>
      </w:r>
      <w:r w:rsidR="009A3BEC" w:rsidRPr="00686F99">
        <w:t>priorities for the merged business</w:t>
      </w:r>
      <w:r w:rsidR="00961F62" w:rsidRPr="00686F99">
        <w:t xml:space="preserve">. </w:t>
      </w:r>
    </w:p>
    <w:p w14:paraId="1010106F" w14:textId="4D8F4BEE" w:rsidR="00592DD3" w:rsidRDefault="000A67E4" w:rsidP="003D3570">
      <w:r w:rsidRPr="00686F99">
        <w:t xml:space="preserve">The business </w:t>
      </w:r>
      <w:r w:rsidR="00D728C7" w:rsidRPr="00686F99">
        <w:t xml:space="preserve">also </w:t>
      </w:r>
      <w:r w:rsidRPr="00686F99">
        <w:t xml:space="preserve">undertook a comprehensive engagement program to explore </w:t>
      </w:r>
      <w:r w:rsidR="00814D09" w:rsidRPr="00686F99">
        <w:t xml:space="preserve">these </w:t>
      </w:r>
      <w:r w:rsidRPr="00686F99">
        <w:t>issues</w:t>
      </w:r>
      <w:r w:rsidR="00336F4A" w:rsidRPr="00686F99">
        <w:t xml:space="preserve"> for its price submission. </w:t>
      </w:r>
      <w:r w:rsidR="00D34F42" w:rsidRPr="00686F99">
        <w:t xml:space="preserve">We recognise </w:t>
      </w:r>
      <w:r w:rsidR="002313C6" w:rsidRPr="00686F99">
        <w:t xml:space="preserve">addressing </w:t>
      </w:r>
      <w:r w:rsidR="00D34F42" w:rsidRPr="00686F99">
        <w:t>t</w:t>
      </w:r>
      <w:r w:rsidR="001E454D" w:rsidRPr="00686F99">
        <w:t>hese matters</w:t>
      </w:r>
      <w:r w:rsidR="001B5D91" w:rsidRPr="00686F99">
        <w:t xml:space="preserve"> </w:t>
      </w:r>
      <w:r w:rsidR="002313C6" w:rsidRPr="00686F99">
        <w:t xml:space="preserve">can </w:t>
      </w:r>
      <w:r w:rsidR="001E454D" w:rsidRPr="00686F99">
        <w:t>be challenging</w:t>
      </w:r>
      <w:r w:rsidR="00653247" w:rsidRPr="00686F99">
        <w:t xml:space="preserve">, and </w:t>
      </w:r>
      <w:r w:rsidR="00490583" w:rsidRPr="00686F99">
        <w:t xml:space="preserve">for </w:t>
      </w:r>
      <w:r w:rsidR="00653247" w:rsidRPr="00686F99">
        <w:t>issues such as tariff structures</w:t>
      </w:r>
      <w:r w:rsidR="00490583" w:rsidRPr="00686F99">
        <w:t xml:space="preserve"> </w:t>
      </w:r>
      <w:r w:rsidR="00545332" w:rsidRPr="00686F99">
        <w:t xml:space="preserve">it </w:t>
      </w:r>
      <w:r w:rsidR="00653247" w:rsidRPr="00686F99">
        <w:t xml:space="preserve">can take </w:t>
      </w:r>
      <w:r w:rsidR="00490583" w:rsidRPr="00686F99">
        <w:t xml:space="preserve">some </w:t>
      </w:r>
      <w:r w:rsidR="00653247" w:rsidRPr="00686F99">
        <w:t>time to transition</w:t>
      </w:r>
      <w:r w:rsidR="00490583" w:rsidRPr="00686F99">
        <w:t xml:space="preserve"> to consistent arrangements</w:t>
      </w:r>
      <w:r w:rsidR="00336F4A" w:rsidRPr="00686F99">
        <w:t xml:space="preserve"> and balance </w:t>
      </w:r>
      <w:r w:rsidR="00B41E32" w:rsidRPr="00686F99">
        <w:t xml:space="preserve">the </w:t>
      </w:r>
      <w:r w:rsidR="00336F4A" w:rsidRPr="00686F99">
        <w:t>impacts on affected customers</w:t>
      </w:r>
      <w:r w:rsidR="001E454D" w:rsidRPr="00686F99">
        <w:t>.</w:t>
      </w:r>
    </w:p>
    <w:p w14:paraId="40C07DE2" w14:textId="674B5BCF" w:rsidR="008F4111" w:rsidRDefault="008F4111" w:rsidP="008F4111">
      <w:pPr>
        <w:pStyle w:val="Heading2"/>
      </w:pPr>
      <w:bookmarkStart w:id="22" w:name="_Toc161400960"/>
      <w:r>
        <w:t xml:space="preserve">Greater Western Water </w:t>
      </w:r>
      <w:r w:rsidRPr="00E154BD">
        <w:t xml:space="preserve">has committed to delivering outcomes that reflect customer </w:t>
      </w:r>
      <w:proofErr w:type="gramStart"/>
      <w:r w:rsidRPr="00E154BD">
        <w:t>priorities</w:t>
      </w:r>
      <w:bookmarkEnd w:id="22"/>
      <w:proofErr w:type="gramEnd"/>
    </w:p>
    <w:bookmarkEnd w:id="18"/>
    <w:bookmarkEnd w:id="19"/>
    <w:bookmarkEnd w:id="20"/>
    <w:bookmarkEnd w:id="21"/>
    <w:p w14:paraId="0CB62440" w14:textId="6A7017D3" w:rsidR="00865000" w:rsidRPr="00EB4086" w:rsidRDefault="00865000" w:rsidP="00865000">
      <w:r w:rsidRPr="00EB4086">
        <w:t>Greater Western Water plans to deliver the following outcomes for customers:</w:t>
      </w:r>
    </w:p>
    <w:p w14:paraId="1FBF7982" w14:textId="5C420CA1" w:rsidR="00865000" w:rsidRPr="00EB4086" w:rsidRDefault="005B6BD0" w:rsidP="00ED1290">
      <w:pPr>
        <w:pStyle w:val="ListBullet"/>
      </w:pPr>
      <w:r w:rsidRPr="00EB4086">
        <w:t>y</w:t>
      </w:r>
      <w:r w:rsidR="00865000" w:rsidRPr="00EB4086">
        <w:t xml:space="preserve">our water is safe, consistent and </w:t>
      </w:r>
      <w:proofErr w:type="gramStart"/>
      <w:r w:rsidR="00865000" w:rsidRPr="00EB4086">
        <w:t>resilient</w:t>
      </w:r>
      <w:proofErr w:type="gramEnd"/>
    </w:p>
    <w:p w14:paraId="0FA52C79" w14:textId="6CEB6204" w:rsidR="00865000" w:rsidRPr="00EB4086" w:rsidRDefault="005B6BD0" w:rsidP="00ED1290">
      <w:pPr>
        <w:pStyle w:val="ListBullet"/>
      </w:pPr>
      <w:r w:rsidRPr="00EB4086">
        <w:t>w</w:t>
      </w:r>
      <w:r w:rsidR="00865000" w:rsidRPr="00EB4086">
        <w:t xml:space="preserve">hen things go wrong, we fix </w:t>
      </w:r>
      <w:proofErr w:type="gramStart"/>
      <w:r w:rsidR="00865000" w:rsidRPr="00EB4086">
        <w:t>them</w:t>
      </w:r>
      <w:proofErr w:type="gramEnd"/>
    </w:p>
    <w:p w14:paraId="4EA7D2EE" w14:textId="1D1C1204" w:rsidR="00865000" w:rsidRPr="00EB4086" w:rsidRDefault="005B6BD0" w:rsidP="00ED1290">
      <w:pPr>
        <w:pStyle w:val="ListBullet"/>
      </w:pPr>
      <w:r w:rsidRPr="00EB4086">
        <w:t>w</w:t>
      </w:r>
      <w:r w:rsidR="00865000" w:rsidRPr="00EB4086">
        <w:t xml:space="preserve">e support our diverse communities and </w:t>
      </w:r>
      <w:proofErr w:type="gramStart"/>
      <w:r w:rsidR="00865000" w:rsidRPr="00EB4086">
        <w:t>customers</w:t>
      </w:r>
      <w:proofErr w:type="gramEnd"/>
    </w:p>
    <w:p w14:paraId="1753DE6A" w14:textId="58EBDFEB" w:rsidR="00865000" w:rsidRPr="00EB4086" w:rsidRDefault="005B6BD0" w:rsidP="00ED1290">
      <w:pPr>
        <w:pStyle w:val="ListBullet"/>
      </w:pPr>
      <w:r w:rsidRPr="00EB4086">
        <w:t>w</w:t>
      </w:r>
      <w:r w:rsidR="00865000" w:rsidRPr="00EB4086">
        <w:t xml:space="preserve">e enable growth and help businesses </w:t>
      </w:r>
      <w:proofErr w:type="gramStart"/>
      <w:r w:rsidR="00865000" w:rsidRPr="00EB4086">
        <w:t>thrive</w:t>
      </w:r>
      <w:proofErr w:type="gramEnd"/>
    </w:p>
    <w:p w14:paraId="078835D8" w14:textId="6BFA2A9C" w:rsidR="00865000" w:rsidRPr="00EB4086" w:rsidRDefault="005B6BD0" w:rsidP="00ED1290">
      <w:pPr>
        <w:pStyle w:val="ListBullet"/>
      </w:pPr>
      <w:r w:rsidRPr="00EB4086">
        <w:t>w</w:t>
      </w:r>
      <w:r w:rsidR="00865000" w:rsidRPr="00EB4086">
        <w:t xml:space="preserve">e </w:t>
      </w:r>
      <w:r w:rsidR="00865000" w:rsidRPr="00DA5231">
        <w:t>heal</w:t>
      </w:r>
      <w:r w:rsidR="00865000" w:rsidRPr="00EB4086">
        <w:t xml:space="preserve"> and care for Country.</w:t>
      </w:r>
    </w:p>
    <w:p w14:paraId="2E8AC6B3" w14:textId="71713457" w:rsidR="00865000" w:rsidRDefault="00627CD2" w:rsidP="00A220FF">
      <w:r w:rsidRPr="007D2E34">
        <w:t xml:space="preserve">Among key initiatives to deliver on its commitments, Greater Western Water will </w:t>
      </w:r>
      <w:r w:rsidR="003C4B3C" w:rsidRPr="007D2E34">
        <w:t xml:space="preserve">invest to </w:t>
      </w:r>
      <w:r w:rsidRPr="007D2E34">
        <w:t xml:space="preserve">increase the resilience of its infrastructure to deal with challenges including climate </w:t>
      </w:r>
      <w:r w:rsidR="00E3372B" w:rsidRPr="007D2E34">
        <w:t>change and population growth.</w:t>
      </w:r>
      <w:r w:rsidRPr="007D2E34">
        <w:t xml:space="preserve"> </w:t>
      </w:r>
      <w:r w:rsidR="001E2B2E" w:rsidRPr="007D2E34">
        <w:t>It will also increase</w:t>
      </w:r>
      <w:r w:rsidR="009908EC" w:rsidRPr="007D2E34">
        <w:t xml:space="preserve"> </w:t>
      </w:r>
      <w:r w:rsidR="003D39C4" w:rsidRPr="007D2E34">
        <w:t>financial</w:t>
      </w:r>
      <w:r w:rsidR="009908EC" w:rsidRPr="007D2E34">
        <w:t xml:space="preserve"> support </w:t>
      </w:r>
      <w:r w:rsidR="00090DEF" w:rsidRPr="007D2E34">
        <w:t>for</w:t>
      </w:r>
      <w:r w:rsidR="009908EC" w:rsidRPr="007D2E34">
        <w:t xml:space="preserve"> customers experiencing vulnerability</w:t>
      </w:r>
      <w:r w:rsidR="003D39C4" w:rsidRPr="007D2E34">
        <w:t xml:space="preserve"> and for small businesses</w:t>
      </w:r>
      <w:r w:rsidR="000D22BD" w:rsidRPr="007D2E34">
        <w:t xml:space="preserve"> experiencing hardship</w:t>
      </w:r>
      <w:r w:rsidR="008915E1" w:rsidRPr="007D2E34">
        <w:t>.</w:t>
      </w:r>
      <w:r w:rsidR="009908EC" w:rsidRPr="007D2E34">
        <w:t xml:space="preserve"> </w:t>
      </w:r>
      <w:r w:rsidR="009A3492" w:rsidRPr="007D2E34">
        <w:t>Building on its engagement, Greater Western Water will take a caring-for-Country approach</w:t>
      </w:r>
      <w:r w:rsidR="00847133" w:rsidRPr="007D2E34">
        <w:t xml:space="preserve"> to its land and waterways in partnership with Traditional Owners, agencies</w:t>
      </w:r>
      <w:r w:rsidR="00EE77C1">
        <w:t>,</w:t>
      </w:r>
      <w:r w:rsidR="00847133" w:rsidRPr="007D2E34">
        <w:t xml:space="preserve"> </w:t>
      </w:r>
      <w:r w:rsidR="00EE77C1">
        <w:t xml:space="preserve">and </w:t>
      </w:r>
      <w:r w:rsidR="00847133" w:rsidRPr="007D2E34">
        <w:t xml:space="preserve">community members, </w:t>
      </w:r>
      <w:r w:rsidR="00C01615" w:rsidRPr="007D2E34">
        <w:t>supported by its</w:t>
      </w:r>
      <w:r w:rsidR="0043739D" w:rsidRPr="007D2E34">
        <w:t xml:space="preserve"> new outcome ‘heal and care for Country’</w:t>
      </w:r>
      <w:r w:rsidR="0038122B">
        <w:t>.</w:t>
      </w:r>
      <w:r w:rsidR="00501B11" w:rsidRPr="007D2E34">
        <w:t xml:space="preserve"> </w:t>
      </w:r>
      <w:r w:rsidRPr="007D2E34">
        <w:t xml:space="preserve"> </w:t>
      </w:r>
    </w:p>
    <w:p w14:paraId="69AD8278" w14:textId="3F07FD04" w:rsidR="00432A4F" w:rsidRDefault="00432A4F" w:rsidP="00432A4F">
      <w:pPr>
        <w:pStyle w:val="Heading2"/>
      </w:pPr>
      <w:bookmarkStart w:id="23" w:name="_Toc161400961"/>
      <w:r w:rsidRPr="00EB553C">
        <w:t xml:space="preserve">Our draft decision approves a </w:t>
      </w:r>
      <w:r w:rsidR="00660726">
        <w:t xml:space="preserve">lower </w:t>
      </w:r>
      <w:r w:rsidRPr="00EB553C">
        <w:t xml:space="preserve">revenue requirement than </w:t>
      </w:r>
      <w:r w:rsidR="00660257">
        <w:t xml:space="preserve">proposed by </w:t>
      </w:r>
      <w:r w:rsidRPr="00EB553C">
        <w:t>Greater Western Water</w:t>
      </w:r>
      <w:bookmarkEnd w:id="23"/>
      <w:r w:rsidRPr="00EB553C">
        <w:t xml:space="preserve"> </w:t>
      </w:r>
    </w:p>
    <w:p w14:paraId="40732610" w14:textId="04F89F94" w:rsidR="00432A4F" w:rsidRDefault="00432A4F" w:rsidP="00432A4F">
      <w:r w:rsidRPr="00213DEB">
        <w:t>Our draft decision approve</w:t>
      </w:r>
      <w:r w:rsidR="0053267F">
        <w:t>s</w:t>
      </w:r>
      <w:r>
        <w:t xml:space="preserve"> a revenue requirement that will allow Greater Western Water to deliver on its customer service commitments, government policy, and obligations monitored by the Environment Protection Authority Victoria and the Department of Health.</w:t>
      </w:r>
    </w:p>
    <w:p w14:paraId="0750F76B" w14:textId="44A1D373" w:rsidR="00F14D97" w:rsidRDefault="00432A4F" w:rsidP="00432A4F">
      <w:r w:rsidRPr="0052792C">
        <w:t xml:space="preserve">Our draft decision is to approve a revenue requirement of $3,439 million for Greater Western Water over </w:t>
      </w:r>
      <w:r w:rsidR="007562C0">
        <w:t>a</w:t>
      </w:r>
      <w:r w:rsidRPr="0052792C">
        <w:t xml:space="preserve"> four</w:t>
      </w:r>
      <w:r w:rsidRPr="0052792C">
        <w:noBreakHyphen/>
        <w:t>year period starting 1</w:t>
      </w:r>
      <w:r w:rsidR="00B96924">
        <w:t> </w:t>
      </w:r>
      <w:r w:rsidRPr="0052792C">
        <w:t>July 2024 (Chapter</w:t>
      </w:r>
      <w:r w:rsidR="00243C20">
        <w:t> </w:t>
      </w:r>
      <w:r w:rsidRPr="0052792C">
        <w:t>4).</w:t>
      </w:r>
      <w:r w:rsidRPr="0052792C">
        <w:rPr>
          <w:rStyle w:val="FootnoteReference"/>
        </w:rPr>
        <w:footnoteReference w:id="5"/>
      </w:r>
      <w:r w:rsidRPr="0052792C">
        <w:t xml:space="preserve"> This figure is $44.0 million or </w:t>
      </w:r>
      <w:r w:rsidRPr="0052792C">
        <w:lastRenderedPageBreak/>
        <w:t>1.3 per</w:t>
      </w:r>
      <w:r w:rsidR="00481173">
        <w:t xml:space="preserve"> </w:t>
      </w:r>
      <w:r w:rsidRPr="0052792C">
        <w:t xml:space="preserve">cent lower than proposed by Greater Western Water, </w:t>
      </w:r>
      <w:r w:rsidR="00FC79D5" w:rsidRPr="0052792C">
        <w:t xml:space="preserve">mainly </w:t>
      </w:r>
      <w:r w:rsidRPr="0052792C">
        <w:t>reflect</w:t>
      </w:r>
      <w:r w:rsidR="00FC79D5" w:rsidRPr="0052792C">
        <w:t xml:space="preserve">ing </w:t>
      </w:r>
      <w:r w:rsidRPr="0052792C">
        <w:t xml:space="preserve">our </w:t>
      </w:r>
      <w:r w:rsidR="00FC79D5" w:rsidRPr="0052792C">
        <w:t xml:space="preserve">proposed </w:t>
      </w:r>
      <w:r w:rsidRPr="0052792C">
        <w:t xml:space="preserve">adjustments to Greater Western Water’s </w:t>
      </w:r>
      <w:r w:rsidR="00F66CD0">
        <w:t xml:space="preserve">controllable </w:t>
      </w:r>
      <w:r w:rsidRPr="0052792C">
        <w:t>operating expenditure</w:t>
      </w:r>
      <w:r w:rsidR="00B372D2">
        <w:t xml:space="preserve"> benchmark</w:t>
      </w:r>
      <w:r w:rsidR="00254BF2">
        <w:t>s</w:t>
      </w:r>
      <w:r w:rsidR="00296BD5" w:rsidRPr="0052792C">
        <w:t xml:space="preserve">. </w:t>
      </w:r>
    </w:p>
    <w:p w14:paraId="1C87FFF1" w14:textId="4E24AA3A" w:rsidR="00432A4F" w:rsidRDefault="00296BD5" w:rsidP="00B372D2">
      <w:r w:rsidRPr="0052792C">
        <w:t>Th</w:t>
      </w:r>
      <w:r w:rsidR="00D32C14">
        <w:t>is</w:t>
      </w:r>
      <w:r w:rsidRPr="0052792C">
        <w:t xml:space="preserve"> </w:t>
      </w:r>
      <w:r w:rsidR="00B372D2">
        <w:t>reduction</w:t>
      </w:r>
      <w:r w:rsidR="00460EAD">
        <w:t xml:space="preserve"> </w:t>
      </w:r>
      <w:r w:rsidR="00B372D2" w:rsidRPr="00755EF5">
        <w:t xml:space="preserve">is partly offset by the impact of our update to </w:t>
      </w:r>
      <w:r w:rsidR="00254BF2">
        <w:t xml:space="preserve">the forecast </w:t>
      </w:r>
      <w:r w:rsidR="00B372D2" w:rsidRPr="00755EF5">
        <w:t xml:space="preserve">long-term inflation rate, </w:t>
      </w:r>
      <w:r w:rsidR="00432A4F" w:rsidRPr="00755EF5">
        <w:t>from 3.5</w:t>
      </w:r>
      <w:r w:rsidR="00E517F1">
        <w:t> </w:t>
      </w:r>
      <w:r w:rsidR="00432A4F" w:rsidRPr="00755EF5">
        <w:t>per cent to 3</w:t>
      </w:r>
      <w:r w:rsidR="004462D2">
        <w:t>.0</w:t>
      </w:r>
      <w:r w:rsidR="00E517F1">
        <w:t> </w:t>
      </w:r>
      <w:r w:rsidR="00432A4F" w:rsidRPr="00755EF5">
        <w:t>per cent.</w:t>
      </w:r>
      <w:r w:rsidR="00432A4F" w:rsidRPr="00755EF5">
        <w:rPr>
          <w:rStyle w:val="FootnoteReference"/>
        </w:rPr>
        <w:footnoteReference w:id="6"/>
      </w:r>
      <w:r w:rsidR="00432A4F" w:rsidRPr="00755EF5">
        <w:t xml:space="preserve"> The main impact of this</w:t>
      </w:r>
      <w:r w:rsidR="00755EF5" w:rsidRPr="00755EF5">
        <w:t xml:space="preserve"> update to </w:t>
      </w:r>
      <w:r w:rsidR="00254BF2">
        <w:t xml:space="preserve">long-term </w:t>
      </w:r>
      <w:r w:rsidR="00755EF5" w:rsidRPr="00755EF5">
        <w:t xml:space="preserve">inflation is to </w:t>
      </w:r>
      <w:r w:rsidR="00432A4F" w:rsidRPr="00755EF5">
        <w:t>increase the real cost of debt included in the revenue requirement.</w:t>
      </w:r>
    </w:p>
    <w:p w14:paraId="09663210" w14:textId="77777777" w:rsidR="00E55547" w:rsidRDefault="00E56540" w:rsidP="00432A4F">
      <w:r>
        <w:t>T</w:t>
      </w:r>
      <w:r w:rsidR="00F93590" w:rsidRPr="00E93CB7">
        <w:t xml:space="preserve">he </w:t>
      </w:r>
      <w:r w:rsidR="00C55C17">
        <w:t>lower</w:t>
      </w:r>
      <w:r w:rsidR="00F93590" w:rsidRPr="00E93CB7">
        <w:t xml:space="preserve"> revenue requirement </w:t>
      </w:r>
      <w:r w:rsidR="00003582">
        <w:t xml:space="preserve">we have proposed in our draft decision </w:t>
      </w:r>
      <w:r w:rsidR="00F93590" w:rsidRPr="00E93CB7">
        <w:t xml:space="preserve">means </w:t>
      </w:r>
      <w:r>
        <w:t>Greater Western Water will need to reconsider its maximum prices, which will flow through to customer bills.</w:t>
      </w:r>
      <w:r w:rsidR="005F6228">
        <w:t xml:space="preserve"> </w:t>
      </w:r>
    </w:p>
    <w:p w14:paraId="797BFF46" w14:textId="77777777" w:rsidR="00911A10" w:rsidRDefault="00432A4F" w:rsidP="00432A4F">
      <w:r w:rsidRPr="00E93CB7">
        <w:t>Greater Western Water must respond to our draft decision and propose individual tariffs that consider our initial views on the revenue requirement</w:t>
      </w:r>
      <w:r w:rsidR="00B324FA">
        <w:t xml:space="preserve">. </w:t>
      </w:r>
      <w:r w:rsidR="00C14DA0">
        <w:t xml:space="preserve">Prior to our final decision, </w:t>
      </w:r>
      <w:r w:rsidR="00705DFE">
        <w:t xml:space="preserve">maximum </w:t>
      </w:r>
      <w:r w:rsidR="00C14DA0">
        <w:t>p</w:t>
      </w:r>
      <w:r w:rsidR="00B324FA">
        <w:t xml:space="preserve">rices will also need to be updated to reflect </w:t>
      </w:r>
      <w:r w:rsidRPr="00E93CB7">
        <w:t>our upcoming updates to inflation and the cost of debt</w:t>
      </w:r>
      <w:r w:rsidR="005F6228">
        <w:t xml:space="preserve">, and approved Melbourne Water bulk </w:t>
      </w:r>
      <w:r w:rsidR="002C4F35">
        <w:t xml:space="preserve">water and sewerage </w:t>
      </w:r>
      <w:r w:rsidR="00C14DA0">
        <w:t xml:space="preserve">tariffs </w:t>
      </w:r>
      <w:r w:rsidR="00525D2E">
        <w:t>for</w:t>
      </w:r>
      <w:r w:rsidR="00C14DA0">
        <w:t xml:space="preserve"> 2024-25</w:t>
      </w:r>
      <w:r w:rsidRPr="00E93CB7">
        <w:t>.</w:t>
      </w:r>
      <w:r w:rsidR="00F66CD0">
        <w:t xml:space="preserve"> </w:t>
      </w:r>
    </w:p>
    <w:p w14:paraId="65D99439" w14:textId="68175739" w:rsidR="00F66CD0" w:rsidRDefault="00F66CD0" w:rsidP="00432A4F">
      <w:r>
        <w:t xml:space="preserve">Our draft decision also provides an opportunity for </w:t>
      </w:r>
      <w:r w:rsidR="002A15D4">
        <w:t>Greater Western Water</w:t>
      </w:r>
      <w:r>
        <w:t xml:space="preserve"> to provide further information </w:t>
      </w:r>
      <w:r w:rsidR="004F3619">
        <w:t xml:space="preserve">where we have formed a </w:t>
      </w:r>
      <w:r w:rsidR="002A15D4">
        <w:t xml:space="preserve">different </w:t>
      </w:r>
      <w:r w:rsidR="004F3619">
        <w:t xml:space="preserve">preliminary </w:t>
      </w:r>
      <w:r w:rsidR="00764F93">
        <w:t xml:space="preserve">view </w:t>
      </w:r>
      <w:r w:rsidR="002A15D4">
        <w:t>in our draft decision</w:t>
      </w:r>
      <w:r w:rsidR="003B1D6E">
        <w:t>, compared to its proposals.</w:t>
      </w:r>
    </w:p>
    <w:p w14:paraId="4CFEDE01" w14:textId="77777777" w:rsidR="00432A4F" w:rsidRDefault="00432A4F" w:rsidP="00432A4F">
      <w:r w:rsidRPr="00003582">
        <w:t>In June 2024, we intend to determine prices for Greater Western Water in $2024-25 terms. This means the annual change in the March Quarter 2024 consumer price index (published by the Australian Bureau of Statistics) needs to be used to calculate 2024-25 maximum approved prices.</w:t>
      </w:r>
      <w:r>
        <w:t xml:space="preserve"> </w:t>
      </w:r>
    </w:p>
    <w:p w14:paraId="71E90258" w14:textId="72B5A4DE" w:rsidR="00490E47" w:rsidRPr="00607D6F" w:rsidRDefault="00490E47" w:rsidP="00490E47">
      <w:pPr>
        <w:pStyle w:val="Heading2"/>
      </w:pPr>
      <w:bookmarkStart w:id="24" w:name="_Toc150515665"/>
      <w:bookmarkStart w:id="25" w:name="_Toc161400962"/>
      <w:r w:rsidRPr="00607D6F">
        <w:t xml:space="preserve">Greater Western Water’s proposal </w:t>
      </w:r>
      <w:r w:rsidR="00182BCB">
        <w:t>resulted in generally lower</w:t>
      </w:r>
      <w:r w:rsidRPr="00607D6F">
        <w:t xml:space="preserve"> customer bills in 2024</w:t>
      </w:r>
      <w:r w:rsidR="009A006B" w:rsidRPr="00607D6F">
        <w:noBreakHyphen/>
      </w:r>
      <w:proofErr w:type="gramStart"/>
      <w:r w:rsidRPr="00607D6F">
        <w:t>25</w:t>
      </w:r>
      <w:bookmarkEnd w:id="24"/>
      <w:bookmarkEnd w:id="25"/>
      <w:proofErr w:type="gramEnd"/>
    </w:p>
    <w:p w14:paraId="4C3C8FCC" w14:textId="56FAB011" w:rsidR="00F4579C" w:rsidRDefault="00490E47" w:rsidP="00490E47">
      <w:r w:rsidRPr="007E1AAC">
        <w:t xml:space="preserve">Based on Greater Western Water’s price submission, the typical annual water and sewerage bill for a residential owner-occupier who uses both water and sewerage services in its central </w:t>
      </w:r>
      <w:r w:rsidR="002915BC">
        <w:t>region</w:t>
      </w:r>
      <w:r w:rsidRPr="007E1AAC">
        <w:t xml:space="preserve"> </w:t>
      </w:r>
      <w:r w:rsidR="003566D1" w:rsidRPr="007E1AAC">
        <w:t>would</w:t>
      </w:r>
      <w:r w:rsidRPr="007E1AAC">
        <w:t xml:space="preserve"> fall from $1,007 to $996 in 2024</w:t>
      </w:r>
      <w:r w:rsidRPr="007E1AAC">
        <w:noBreakHyphen/>
        <w:t>25 and then increase to $1,005 by 2027</w:t>
      </w:r>
      <w:r w:rsidR="000479A2">
        <w:noBreakHyphen/>
      </w:r>
      <w:r w:rsidRPr="007E1AAC">
        <w:t>28</w:t>
      </w:r>
      <w:r w:rsidR="007E1AAC">
        <w:t xml:space="preserve"> </w:t>
      </w:r>
      <w:r w:rsidR="007E1AAC" w:rsidRPr="007E1AAC">
        <w:t>(Table</w:t>
      </w:r>
      <w:r w:rsidR="00712152">
        <w:t> </w:t>
      </w:r>
      <w:r w:rsidR="007E1AAC" w:rsidRPr="007E1AAC">
        <w:t>A)</w:t>
      </w:r>
      <w:r w:rsidRPr="007E1AAC">
        <w:t xml:space="preserve">. In its western </w:t>
      </w:r>
      <w:r w:rsidR="002915BC">
        <w:t>region</w:t>
      </w:r>
      <w:r w:rsidRPr="007E1AAC">
        <w:t xml:space="preserve">, </w:t>
      </w:r>
      <w:r w:rsidR="00922CBE">
        <w:t xml:space="preserve">a typical bill for an </w:t>
      </w:r>
      <w:r w:rsidRPr="007E1AAC">
        <w:t xml:space="preserve">owner occupier </w:t>
      </w:r>
      <w:r w:rsidR="006C7BC0" w:rsidRPr="007E1AAC">
        <w:t xml:space="preserve">would </w:t>
      </w:r>
      <w:r w:rsidRPr="007E1AAC">
        <w:t>fall from $1,099 to $1,092 in 2024</w:t>
      </w:r>
      <w:r w:rsidRPr="007E1AAC">
        <w:noBreakHyphen/>
        <w:t>25</w:t>
      </w:r>
      <w:r w:rsidR="00922CBE">
        <w:t xml:space="preserve">, reducing </w:t>
      </w:r>
      <w:r w:rsidRPr="007E1AAC">
        <w:t>to $1,052 by 2027</w:t>
      </w:r>
      <w:r w:rsidR="008D6EC4" w:rsidRPr="007E1AAC">
        <w:noBreakHyphen/>
      </w:r>
      <w:r w:rsidRPr="007E1AAC">
        <w:t xml:space="preserve">28. </w:t>
      </w:r>
      <w:r w:rsidR="00C13721" w:rsidRPr="007E1AAC">
        <w:t xml:space="preserve">These estimates </w:t>
      </w:r>
      <w:r w:rsidR="00051738">
        <w:t>are in $202</w:t>
      </w:r>
      <w:r w:rsidR="00F526E3">
        <w:t>3</w:t>
      </w:r>
      <w:r w:rsidR="00F526E3">
        <w:noBreakHyphen/>
        <w:t xml:space="preserve">24 and </w:t>
      </w:r>
      <w:r w:rsidR="00C13721" w:rsidRPr="007E1AAC">
        <w:t>exclude inflation.</w:t>
      </w:r>
    </w:p>
    <w:p w14:paraId="318CD284" w14:textId="345B9E03" w:rsidR="00513566" w:rsidRDefault="00490E47" w:rsidP="00490E47">
      <w:r w:rsidRPr="007E1AAC">
        <w:t xml:space="preserve">The </w:t>
      </w:r>
      <w:r w:rsidR="00B46914">
        <w:t>typical</w:t>
      </w:r>
      <w:r w:rsidR="00B46914" w:rsidRPr="007E1AAC">
        <w:t xml:space="preserve"> </w:t>
      </w:r>
      <w:r w:rsidRPr="007E1AAC">
        <w:t xml:space="preserve">tenant bill in the central </w:t>
      </w:r>
      <w:r w:rsidR="002915BC">
        <w:t>region</w:t>
      </w:r>
      <w:r w:rsidR="002915BC" w:rsidRPr="007E1AAC">
        <w:t xml:space="preserve"> </w:t>
      </w:r>
      <w:r w:rsidRPr="007E1AAC">
        <w:t xml:space="preserve">area </w:t>
      </w:r>
      <w:r w:rsidR="00F13D53" w:rsidRPr="007E1AAC">
        <w:t>would</w:t>
      </w:r>
      <w:r w:rsidRPr="007E1AAC">
        <w:t xml:space="preserve"> decrease from $531 to $511 in 2024</w:t>
      </w:r>
      <w:r w:rsidRPr="007E1AAC">
        <w:noBreakHyphen/>
        <w:t xml:space="preserve">25 and remain </w:t>
      </w:r>
      <w:r w:rsidR="002B14F1" w:rsidRPr="007E1AAC">
        <w:t>flat in real terms</w:t>
      </w:r>
      <w:r w:rsidRPr="007E1AAC">
        <w:t xml:space="preserve"> for the remaining years. In the western </w:t>
      </w:r>
      <w:r w:rsidR="002915BC">
        <w:t>region</w:t>
      </w:r>
      <w:r w:rsidRPr="007E1AAC">
        <w:t xml:space="preserve">, the </w:t>
      </w:r>
      <w:r w:rsidR="00E32812">
        <w:t>typical</w:t>
      </w:r>
      <w:r w:rsidRPr="007E1AAC">
        <w:t xml:space="preserve"> tenant bill </w:t>
      </w:r>
      <w:r w:rsidR="00C674E7">
        <w:t>would</w:t>
      </w:r>
      <w:r w:rsidR="00C674E7" w:rsidRPr="007E1AAC">
        <w:t xml:space="preserve"> </w:t>
      </w:r>
      <w:r w:rsidRPr="007E1AAC">
        <w:t xml:space="preserve">increase </w:t>
      </w:r>
      <w:r w:rsidRPr="00F4030C">
        <w:t>from $348 to $355 in 2024</w:t>
      </w:r>
      <w:r w:rsidRPr="00F4030C">
        <w:noBreakHyphen/>
        <w:t>25 and then increase to $374 by 2027</w:t>
      </w:r>
      <w:r w:rsidRPr="00F4030C">
        <w:noBreakHyphen/>
        <w:t>28</w:t>
      </w:r>
      <w:r w:rsidRPr="007E1AAC">
        <w:t>.</w:t>
      </w:r>
      <w:r w:rsidR="00207D5B">
        <w:rPr>
          <w:rStyle w:val="FootnoteReference"/>
        </w:rPr>
        <w:footnoteReference w:id="7"/>
      </w:r>
      <w:r w:rsidRPr="007E1AAC">
        <w:t xml:space="preserve"> This increase is </w:t>
      </w:r>
      <w:r w:rsidR="0047779E">
        <w:t>impacted by</w:t>
      </w:r>
      <w:r w:rsidRPr="007E1AAC">
        <w:t xml:space="preserve"> </w:t>
      </w:r>
      <w:r w:rsidR="00BF4F0E">
        <w:t xml:space="preserve">a shift to higher variable charges </w:t>
      </w:r>
      <w:r w:rsidR="00A032E4">
        <w:t>(</w:t>
      </w:r>
      <w:r w:rsidR="00BF4F0E">
        <w:t>and lower fixed charges</w:t>
      </w:r>
      <w:r w:rsidR="00A032E4">
        <w:t>)</w:t>
      </w:r>
      <w:r w:rsidR="00BF4F0E">
        <w:t xml:space="preserve"> </w:t>
      </w:r>
      <w:r w:rsidR="00A032E4">
        <w:t>in the western</w:t>
      </w:r>
      <w:r w:rsidR="00BF4F0E">
        <w:t xml:space="preserve"> </w:t>
      </w:r>
      <w:r w:rsidR="002F6544">
        <w:t>region</w:t>
      </w:r>
      <w:r w:rsidR="00BF4F0E">
        <w:t xml:space="preserve"> to </w:t>
      </w:r>
      <w:proofErr w:type="gramStart"/>
      <w:r w:rsidR="00BF4F0E">
        <w:t xml:space="preserve">more closely align </w:t>
      </w:r>
      <w:r w:rsidR="00E32812">
        <w:t xml:space="preserve">with </w:t>
      </w:r>
      <w:r w:rsidR="00BF4F0E">
        <w:t>tariffs</w:t>
      </w:r>
      <w:proofErr w:type="gramEnd"/>
      <w:r w:rsidR="00BF4F0E">
        <w:t xml:space="preserve"> </w:t>
      </w:r>
      <w:r w:rsidR="00FE7A8B">
        <w:t>in</w:t>
      </w:r>
      <w:r w:rsidR="00BF4F0E">
        <w:t xml:space="preserve"> the central region</w:t>
      </w:r>
      <w:r w:rsidR="00F648A2">
        <w:t>.</w:t>
      </w:r>
      <w:r w:rsidRPr="007E1AAC">
        <w:t xml:space="preserve"> Estimated annual water and sewerage bills for </w:t>
      </w:r>
      <w:r w:rsidRPr="007E1AAC">
        <w:lastRenderedPageBreak/>
        <w:t xml:space="preserve">non-residential customers </w:t>
      </w:r>
      <w:r w:rsidR="00110F68">
        <w:t>(</w:t>
      </w:r>
      <w:r w:rsidR="00290207">
        <w:t xml:space="preserve">by </w:t>
      </w:r>
      <w:r w:rsidR="00110F68">
        <w:t xml:space="preserve">selected </w:t>
      </w:r>
      <w:r w:rsidR="00A75C76">
        <w:t xml:space="preserve">water </w:t>
      </w:r>
      <w:r w:rsidR="00110F68">
        <w:t xml:space="preserve">consumption levels) </w:t>
      </w:r>
      <w:r w:rsidR="00126F8B">
        <w:t xml:space="preserve">based on Greater Western Water’s price submission proposals, </w:t>
      </w:r>
      <w:r w:rsidRPr="007E1AAC">
        <w:t xml:space="preserve">are also shown below. </w:t>
      </w:r>
    </w:p>
    <w:p w14:paraId="50C26B4D" w14:textId="7A63E23A" w:rsidR="00490E47" w:rsidRPr="000205F7" w:rsidRDefault="00546648" w:rsidP="00490E47">
      <w:pPr>
        <w:rPr>
          <w:highlight w:val="green"/>
        </w:rPr>
      </w:pPr>
      <w:r>
        <w:t xml:space="preserve">As noted above, </w:t>
      </w:r>
      <w:r w:rsidR="00561C82">
        <w:t>maximum prices will need to be updated following our draft decision, which will impact the estimates for customer bills.</w:t>
      </w:r>
    </w:p>
    <w:p w14:paraId="4D9B4AC1" w14:textId="78517B70" w:rsidR="00490E47" w:rsidRPr="00830414" w:rsidRDefault="00490E47" w:rsidP="00AB28F1">
      <w:pPr>
        <w:pStyle w:val="Figure-Table-BoxHeading"/>
        <w:keepNext/>
        <w:keepLines/>
        <w:spacing w:before="360" w:line="288" w:lineRule="auto"/>
        <w:ind w:left="1418" w:hanging="1418"/>
      </w:pPr>
      <w:r>
        <w:t>Table A</w:t>
      </w:r>
      <w:r>
        <w:tab/>
        <w:t xml:space="preserve">Estimated typical water and sewerage bills </w:t>
      </w:r>
      <w:r w:rsidR="007F6B55">
        <w:t xml:space="preserve">based on Greater Western Water’s proposal </w:t>
      </w:r>
      <w:r>
        <w:t>($2023</w:t>
      </w:r>
      <w:r w:rsidR="003B7A62">
        <w:noBreakHyphen/>
      </w:r>
      <w:r>
        <w:t>24)</w:t>
      </w:r>
    </w:p>
    <w:tbl>
      <w:tblPr>
        <w:tblStyle w:val="TableGrid"/>
        <w:tblW w:w="9923" w:type="dxa"/>
        <w:tblLayout w:type="fixed"/>
        <w:tblLook w:val="04A0" w:firstRow="1" w:lastRow="0" w:firstColumn="1" w:lastColumn="0" w:noHBand="0" w:noVBand="1"/>
      </w:tblPr>
      <w:tblGrid>
        <w:gridCol w:w="6"/>
        <w:gridCol w:w="3303"/>
        <w:gridCol w:w="1724"/>
        <w:gridCol w:w="1616"/>
        <w:gridCol w:w="1615"/>
        <w:gridCol w:w="1659"/>
      </w:tblGrid>
      <w:tr w:rsidR="00490E47" w:rsidRPr="00972F3F" w14:paraId="2F79F2DD" w14:textId="77777777" w:rsidTr="00ED41A8">
        <w:trPr>
          <w:gridBefore w:val="1"/>
          <w:cnfStyle w:val="100000000000" w:firstRow="1" w:lastRow="0" w:firstColumn="0" w:lastColumn="0" w:oddVBand="0" w:evenVBand="0" w:oddHBand="0" w:evenHBand="0" w:firstRowFirstColumn="0" w:firstRowLastColumn="0" w:lastRowFirstColumn="0" w:lastRowLastColumn="0"/>
          <w:wBefore w:w="6" w:type="dxa"/>
          <w:trHeight w:val="329"/>
        </w:trPr>
        <w:tc>
          <w:tcPr>
            <w:tcW w:w="3303" w:type="dxa"/>
            <w:hideMark/>
          </w:tcPr>
          <w:p w14:paraId="598FA986" w14:textId="77777777" w:rsidR="00490E47" w:rsidRPr="00D67979" w:rsidRDefault="00490E47">
            <w:pPr>
              <w:spacing w:before="60" w:after="60" w:line="240" w:lineRule="auto"/>
              <w:rPr>
                <w:rFonts w:ascii="Arial" w:eastAsia="Times New Roman" w:hAnsi="Arial" w:cs="Arial"/>
                <w:b w:val="0"/>
                <w:color w:val="FFFFFF"/>
                <w:lang w:eastAsia="en-AU"/>
              </w:rPr>
            </w:pPr>
            <w:r w:rsidRPr="00D67979">
              <w:rPr>
                <w:rFonts w:ascii="Arial" w:eastAsia="Times New Roman" w:hAnsi="Arial" w:cs="Arial"/>
                <w:color w:val="FFFFFF"/>
                <w:lang w:eastAsia="en-AU"/>
              </w:rPr>
              <w:t> </w:t>
            </w:r>
          </w:p>
        </w:tc>
        <w:tc>
          <w:tcPr>
            <w:tcW w:w="1724" w:type="dxa"/>
          </w:tcPr>
          <w:p w14:paraId="77676A98" w14:textId="77777777" w:rsidR="00490E47" w:rsidRPr="00D67979" w:rsidRDefault="00490E47">
            <w:pPr>
              <w:spacing w:before="60" w:after="60" w:line="240" w:lineRule="auto"/>
              <w:rPr>
                <w:rFonts w:ascii="Arial" w:eastAsia="Times New Roman" w:hAnsi="Arial" w:cs="Arial"/>
                <w:b w:val="0"/>
                <w:color w:val="FFFFFF"/>
                <w:lang w:eastAsia="en-AU"/>
              </w:rPr>
            </w:pPr>
            <w:r w:rsidRPr="00D67979">
              <w:rPr>
                <w:rFonts w:ascii="Arial" w:eastAsia="Times New Roman" w:hAnsi="Arial" w:cs="Arial"/>
                <w:color w:val="FFFFFF"/>
                <w:lang w:eastAsia="en-AU"/>
              </w:rPr>
              <w:t>Average consumption (</w:t>
            </w:r>
            <w:proofErr w:type="spellStart"/>
            <w:r w:rsidRPr="00D67979">
              <w:rPr>
                <w:rFonts w:ascii="Arial" w:eastAsia="Times New Roman" w:hAnsi="Arial" w:cs="Arial"/>
                <w:color w:val="FFFFFF"/>
                <w:lang w:eastAsia="en-AU"/>
              </w:rPr>
              <w:t>kL</w:t>
            </w:r>
            <w:proofErr w:type="spellEnd"/>
            <w:r w:rsidRPr="00D67979">
              <w:rPr>
                <w:rFonts w:ascii="Arial" w:eastAsia="Times New Roman" w:hAnsi="Arial" w:cs="Arial"/>
                <w:color w:val="FFFFFF"/>
                <w:lang w:eastAsia="en-AU"/>
              </w:rPr>
              <w:t xml:space="preserve"> p.a.)</w:t>
            </w:r>
          </w:p>
        </w:tc>
        <w:tc>
          <w:tcPr>
            <w:tcW w:w="1616" w:type="dxa"/>
          </w:tcPr>
          <w:p w14:paraId="55713F28" w14:textId="77777777" w:rsidR="00490E47" w:rsidRPr="00D67979" w:rsidRDefault="00490E47">
            <w:pPr>
              <w:spacing w:before="60" w:after="60" w:line="240" w:lineRule="auto"/>
              <w:rPr>
                <w:rFonts w:ascii="Arial" w:eastAsia="Times New Roman" w:hAnsi="Arial" w:cs="Arial"/>
                <w:b w:val="0"/>
                <w:color w:val="FFFFFF"/>
                <w:lang w:eastAsia="en-AU"/>
              </w:rPr>
            </w:pPr>
            <w:r w:rsidRPr="00D67979">
              <w:rPr>
                <w:rFonts w:ascii="Arial" w:eastAsia="Times New Roman" w:hAnsi="Arial" w:cs="Arial"/>
                <w:color w:val="FFFFFF"/>
                <w:lang w:eastAsia="en-AU"/>
              </w:rPr>
              <w:t>202</w:t>
            </w:r>
            <w:r>
              <w:rPr>
                <w:rFonts w:ascii="Arial" w:eastAsia="Times New Roman" w:hAnsi="Arial" w:cs="Arial"/>
                <w:color w:val="FFFFFF"/>
                <w:lang w:eastAsia="en-AU"/>
              </w:rPr>
              <w:t>3</w:t>
            </w:r>
            <w:r w:rsidRPr="00D67979">
              <w:rPr>
                <w:rFonts w:ascii="Arial" w:eastAsia="Times New Roman" w:hAnsi="Arial" w:cs="Arial"/>
                <w:color w:val="FFFFFF"/>
                <w:lang w:eastAsia="en-AU"/>
              </w:rPr>
              <w:t>-2</w:t>
            </w:r>
            <w:r>
              <w:rPr>
                <w:rFonts w:ascii="Arial" w:eastAsia="Times New Roman" w:hAnsi="Arial" w:cs="Arial"/>
                <w:color w:val="FFFFFF"/>
                <w:lang w:eastAsia="en-AU"/>
              </w:rPr>
              <w:t>4</w:t>
            </w:r>
            <w:r w:rsidRPr="00D67979">
              <w:rPr>
                <w:rFonts w:ascii="Arial" w:eastAsia="Times New Roman" w:hAnsi="Arial" w:cs="Arial"/>
                <w:color w:val="FFFFFF"/>
                <w:lang w:eastAsia="en-AU"/>
              </w:rPr>
              <w:br/>
              <w:t>(current)</w:t>
            </w:r>
          </w:p>
        </w:tc>
        <w:tc>
          <w:tcPr>
            <w:tcW w:w="1615" w:type="dxa"/>
            <w:hideMark/>
          </w:tcPr>
          <w:p w14:paraId="7490B7C5" w14:textId="77777777" w:rsidR="00490E47" w:rsidRPr="00D67979" w:rsidRDefault="00490E47">
            <w:pPr>
              <w:spacing w:before="60" w:after="60" w:line="240" w:lineRule="auto"/>
              <w:rPr>
                <w:rFonts w:ascii="Arial" w:eastAsia="Times New Roman" w:hAnsi="Arial" w:cs="Arial"/>
                <w:b w:val="0"/>
                <w:color w:val="FFFFFF"/>
                <w:lang w:eastAsia="en-AU"/>
              </w:rPr>
            </w:pPr>
            <w:r w:rsidRPr="00D67979">
              <w:rPr>
                <w:rFonts w:ascii="Arial" w:eastAsia="Times New Roman" w:hAnsi="Arial" w:cs="Arial"/>
                <w:color w:val="FFFFFF"/>
                <w:lang w:eastAsia="en-AU"/>
              </w:rPr>
              <w:t>20</w:t>
            </w:r>
            <w:r>
              <w:rPr>
                <w:rFonts w:ascii="Arial" w:eastAsia="Times New Roman" w:hAnsi="Arial" w:cs="Arial"/>
                <w:color w:val="FFFFFF"/>
                <w:lang w:eastAsia="en-AU"/>
              </w:rPr>
              <w:t>24</w:t>
            </w:r>
            <w:r w:rsidRPr="00D67979">
              <w:rPr>
                <w:rFonts w:ascii="Arial" w:eastAsia="Times New Roman" w:hAnsi="Arial" w:cs="Arial"/>
                <w:color w:val="FFFFFF"/>
                <w:lang w:eastAsia="en-AU"/>
              </w:rPr>
              <w:t>-2</w:t>
            </w:r>
            <w:r>
              <w:rPr>
                <w:rFonts w:ascii="Arial" w:eastAsia="Times New Roman" w:hAnsi="Arial" w:cs="Arial"/>
                <w:color w:val="FFFFFF"/>
                <w:lang w:eastAsia="en-AU"/>
              </w:rPr>
              <w:t>5</w:t>
            </w:r>
          </w:p>
        </w:tc>
        <w:tc>
          <w:tcPr>
            <w:tcW w:w="1659" w:type="dxa"/>
            <w:hideMark/>
          </w:tcPr>
          <w:p w14:paraId="6EE70364" w14:textId="77777777" w:rsidR="00490E47" w:rsidRPr="00D67979" w:rsidRDefault="00490E47">
            <w:pPr>
              <w:spacing w:before="60" w:after="60" w:line="240" w:lineRule="auto"/>
              <w:rPr>
                <w:rFonts w:ascii="Arial" w:eastAsia="Times New Roman" w:hAnsi="Arial" w:cs="Arial"/>
                <w:b w:val="0"/>
                <w:color w:val="FFFFFF"/>
                <w:lang w:eastAsia="en-AU"/>
              </w:rPr>
            </w:pPr>
            <w:r w:rsidRPr="00D67979">
              <w:rPr>
                <w:rFonts w:ascii="Arial" w:eastAsia="Times New Roman" w:hAnsi="Arial" w:cs="Arial"/>
                <w:color w:val="FFFFFF"/>
                <w:lang w:eastAsia="en-AU"/>
              </w:rPr>
              <w:t>2027-28</w:t>
            </w:r>
          </w:p>
        </w:tc>
      </w:tr>
      <w:tr w:rsidR="00490E47" w:rsidRPr="00972F3F" w14:paraId="33F2D03D" w14:textId="77777777" w:rsidTr="00ED41A8">
        <w:trPr>
          <w:gridBefore w:val="1"/>
          <w:cnfStyle w:val="000000100000" w:firstRow="0" w:lastRow="0" w:firstColumn="0" w:lastColumn="0" w:oddVBand="0" w:evenVBand="0" w:oddHBand="1" w:evenHBand="0" w:firstRowFirstColumn="0" w:firstRowLastColumn="0" w:lastRowFirstColumn="0" w:lastRowLastColumn="0"/>
          <w:wBefore w:w="6" w:type="dxa"/>
          <w:trHeight w:val="635"/>
        </w:trPr>
        <w:tc>
          <w:tcPr>
            <w:tcW w:w="3303" w:type="dxa"/>
            <w:hideMark/>
          </w:tcPr>
          <w:p w14:paraId="7466D289" w14:textId="77777777" w:rsidR="00490E47" w:rsidRPr="00D67979" w:rsidRDefault="00490E47">
            <w:pPr>
              <w:pStyle w:val="TableBody"/>
              <w:spacing w:before="60" w:after="60"/>
              <w:rPr>
                <w:lang w:eastAsia="en-AU"/>
              </w:rPr>
            </w:pPr>
            <w:r w:rsidRPr="00D67979">
              <w:rPr>
                <w:lang w:eastAsia="en-AU"/>
              </w:rPr>
              <w:t>Residential – owner occupier</w:t>
            </w:r>
            <w:r>
              <w:rPr>
                <w:lang w:eastAsia="en-AU"/>
              </w:rPr>
              <w:t xml:space="preserve"> – Central</w:t>
            </w:r>
          </w:p>
        </w:tc>
        <w:tc>
          <w:tcPr>
            <w:tcW w:w="1724" w:type="dxa"/>
          </w:tcPr>
          <w:p w14:paraId="27A7D233" w14:textId="77777777" w:rsidR="00490E47" w:rsidRPr="00D67979" w:rsidRDefault="00490E47">
            <w:pPr>
              <w:pStyle w:val="TableBody"/>
              <w:spacing w:before="60" w:after="60"/>
              <w:rPr>
                <w:lang w:eastAsia="en-AU"/>
              </w:rPr>
            </w:pPr>
            <w:r>
              <w:rPr>
                <w:lang w:eastAsia="en-AU"/>
              </w:rPr>
              <w:t>150</w:t>
            </w:r>
          </w:p>
        </w:tc>
        <w:tc>
          <w:tcPr>
            <w:tcW w:w="1616" w:type="dxa"/>
          </w:tcPr>
          <w:p w14:paraId="6C37AEE3" w14:textId="77777777" w:rsidR="00490E47" w:rsidRPr="00D67979" w:rsidRDefault="00490E47">
            <w:pPr>
              <w:pStyle w:val="TableBody"/>
              <w:spacing w:before="60" w:after="60"/>
              <w:rPr>
                <w:lang w:eastAsia="en-AU"/>
              </w:rPr>
            </w:pPr>
            <w:r>
              <w:rPr>
                <w:lang w:eastAsia="en-AU"/>
              </w:rPr>
              <w:t>$1,007</w:t>
            </w:r>
          </w:p>
        </w:tc>
        <w:tc>
          <w:tcPr>
            <w:tcW w:w="1615" w:type="dxa"/>
          </w:tcPr>
          <w:p w14:paraId="2F3D3BCB" w14:textId="77777777" w:rsidR="00490E47" w:rsidRPr="00D67979" w:rsidRDefault="00490E47">
            <w:pPr>
              <w:pStyle w:val="TableBody"/>
              <w:spacing w:before="60" w:after="60"/>
              <w:rPr>
                <w:lang w:eastAsia="en-AU"/>
              </w:rPr>
            </w:pPr>
            <w:r>
              <w:rPr>
                <w:lang w:eastAsia="en-AU"/>
              </w:rPr>
              <w:t>$996</w:t>
            </w:r>
          </w:p>
        </w:tc>
        <w:tc>
          <w:tcPr>
            <w:tcW w:w="1659" w:type="dxa"/>
          </w:tcPr>
          <w:p w14:paraId="5B2BA200" w14:textId="77777777" w:rsidR="00490E47" w:rsidRPr="00D67979" w:rsidRDefault="00490E47">
            <w:pPr>
              <w:pStyle w:val="TableBody"/>
              <w:spacing w:before="60" w:after="60"/>
              <w:rPr>
                <w:lang w:eastAsia="en-AU"/>
              </w:rPr>
            </w:pPr>
            <w:r>
              <w:rPr>
                <w:lang w:eastAsia="en-AU"/>
              </w:rPr>
              <w:t>$1,005</w:t>
            </w:r>
          </w:p>
        </w:tc>
      </w:tr>
      <w:tr w:rsidR="00490E47" w:rsidRPr="00972F3F" w14:paraId="59572CAC" w14:textId="77777777" w:rsidTr="00ED41A8">
        <w:trPr>
          <w:gridBefore w:val="1"/>
          <w:cnfStyle w:val="000000010000" w:firstRow="0" w:lastRow="0" w:firstColumn="0" w:lastColumn="0" w:oddVBand="0" w:evenVBand="0" w:oddHBand="0" w:evenHBand="1" w:firstRowFirstColumn="0" w:firstRowLastColumn="0" w:lastRowFirstColumn="0" w:lastRowLastColumn="0"/>
          <w:wBefore w:w="6" w:type="dxa"/>
          <w:trHeight w:val="635"/>
        </w:trPr>
        <w:tc>
          <w:tcPr>
            <w:tcW w:w="3303" w:type="dxa"/>
          </w:tcPr>
          <w:p w14:paraId="052B7FC4" w14:textId="77777777" w:rsidR="00490E47" w:rsidRPr="00D67979" w:rsidRDefault="00490E47">
            <w:pPr>
              <w:pStyle w:val="TableBody"/>
              <w:spacing w:before="60" w:after="60"/>
              <w:rPr>
                <w:lang w:eastAsia="en-AU"/>
              </w:rPr>
            </w:pPr>
            <w:r>
              <w:rPr>
                <w:lang w:eastAsia="en-AU"/>
              </w:rPr>
              <w:t>Residential – owner occupier –       Western</w:t>
            </w:r>
          </w:p>
        </w:tc>
        <w:tc>
          <w:tcPr>
            <w:tcW w:w="1724" w:type="dxa"/>
          </w:tcPr>
          <w:p w14:paraId="70D1403E" w14:textId="77777777" w:rsidR="00490E47" w:rsidRPr="00D67979" w:rsidRDefault="00490E47">
            <w:pPr>
              <w:pStyle w:val="TableBody"/>
              <w:spacing w:before="60" w:after="60"/>
              <w:rPr>
                <w:lang w:eastAsia="en-AU"/>
              </w:rPr>
            </w:pPr>
            <w:r>
              <w:rPr>
                <w:lang w:eastAsia="en-AU"/>
              </w:rPr>
              <w:t>150</w:t>
            </w:r>
          </w:p>
        </w:tc>
        <w:tc>
          <w:tcPr>
            <w:tcW w:w="1616" w:type="dxa"/>
          </w:tcPr>
          <w:p w14:paraId="269A73A6" w14:textId="77777777" w:rsidR="00490E47" w:rsidRDefault="00490E47">
            <w:pPr>
              <w:pStyle w:val="TableBody"/>
              <w:spacing w:before="60" w:after="60"/>
              <w:rPr>
                <w:noProof/>
                <w:lang w:eastAsia="en-AU"/>
              </w:rPr>
            </w:pPr>
            <w:r>
              <w:rPr>
                <w:noProof/>
                <w:lang w:eastAsia="en-AU"/>
              </w:rPr>
              <w:t>$1,099</w:t>
            </w:r>
          </w:p>
        </w:tc>
        <w:tc>
          <w:tcPr>
            <w:tcW w:w="1615" w:type="dxa"/>
          </w:tcPr>
          <w:p w14:paraId="0E537B27" w14:textId="77777777" w:rsidR="00490E47" w:rsidRPr="00D67979" w:rsidRDefault="00490E47">
            <w:pPr>
              <w:pStyle w:val="TableBody"/>
              <w:spacing w:before="60" w:after="60"/>
              <w:rPr>
                <w:lang w:eastAsia="en-AU"/>
              </w:rPr>
            </w:pPr>
            <w:r>
              <w:rPr>
                <w:lang w:eastAsia="en-AU"/>
              </w:rPr>
              <w:t>$1,092</w:t>
            </w:r>
          </w:p>
        </w:tc>
        <w:tc>
          <w:tcPr>
            <w:tcW w:w="1659" w:type="dxa"/>
          </w:tcPr>
          <w:p w14:paraId="33A84476" w14:textId="77777777" w:rsidR="00490E47" w:rsidRPr="00D67979" w:rsidRDefault="00490E47">
            <w:pPr>
              <w:pStyle w:val="TableBody"/>
              <w:spacing w:before="60" w:after="60"/>
              <w:rPr>
                <w:lang w:eastAsia="en-AU"/>
              </w:rPr>
            </w:pPr>
            <w:r>
              <w:rPr>
                <w:lang w:eastAsia="en-AU"/>
              </w:rPr>
              <w:t>$1,052</w:t>
            </w:r>
          </w:p>
        </w:tc>
      </w:tr>
      <w:tr w:rsidR="00490E47" w:rsidRPr="00972F3F" w14:paraId="1FF814CD" w14:textId="77777777" w:rsidTr="00ED41A8">
        <w:trPr>
          <w:gridBefore w:val="1"/>
          <w:cnfStyle w:val="000000100000" w:firstRow="0" w:lastRow="0" w:firstColumn="0" w:lastColumn="0" w:oddVBand="0" w:evenVBand="0" w:oddHBand="1" w:evenHBand="0" w:firstRowFirstColumn="0" w:firstRowLastColumn="0" w:lastRowFirstColumn="0" w:lastRowLastColumn="0"/>
          <w:wBefore w:w="6" w:type="dxa"/>
          <w:trHeight w:val="635"/>
        </w:trPr>
        <w:tc>
          <w:tcPr>
            <w:tcW w:w="3303" w:type="dxa"/>
            <w:hideMark/>
          </w:tcPr>
          <w:p w14:paraId="0059991B" w14:textId="77777777" w:rsidR="00490E47" w:rsidRDefault="00490E47">
            <w:pPr>
              <w:pStyle w:val="TableBody"/>
              <w:spacing w:before="60" w:after="60"/>
              <w:rPr>
                <w:lang w:eastAsia="en-AU"/>
              </w:rPr>
            </w:pPr>
            <w:r w:rsidRPr="00D67979">
              <w:rPr>
                <w:lang w:eastAsia="en-AU"/>
              </w:rPr>
              <w:t xml:space="preserve">Residential – tenant </w:t>
            </w:r>
            <w:r>
              <w:rPr>
                <w:lang w:eastAsia="en-AU"/>
              </w:rPr>
              <w:t xml:space="preserve">– </w:t>
            </w:r>
          </w:p>
          <w:p w14:paraId="08535364" w14:textId="77777777" w:rsidR="00490E47" w:rsidRPr="00D67979" w:rsidRDefault="00490E47">
            <w:pPr>
              <w:pStyle w:val="TableBody"/>
              <w:spacing w:before="60" w:after="60"/>
              <w:rPr>
                <w:lang w:eastAsia="en-AU"/>
              </w:rPr>
            </w:pPr>
            <w:r>
              <w:rPr>
                <w:lang w:eastAsia="en-AU"/>
              </w:rPr>
              <w:t>Central</w:t>
            </w:r>
          </w:p>
        </w:tc>
        <w:tc>
          <w:tcPr>
            <w:tcW w:w="1724" w:type="dxa"/>
          </w:tcPr>
          <w:p w14:paraId="7FB2C7BE" w14:textId="77777777" w:rsidR="00490E47" w:rsidRPr="00D67979" w:rsidRDefault="00490E47">
            <w:pPr>
              <w:pStyle w:val="TableBody"/>
              <w:spacing w:before="60" w:after="60"/>
              <w:rPr>
                <w:lang w:eastAsia="en-AU"/>
              </w:rPr>
            </w:pPr>
            <w:r>
              <w:rPr>
                <w:lang w:eastAsia="en-AU"/>
              </w:rPr>
              <w:t>150</w:t>
            </w:r>
          </w:p>
        </w:tc>
        <w:tc>
          <w:tcPr>
            <w:tcW w:w="1616" w:type="dxa"/>
          </w:tcPr>
          <w:p w14:paraId="08A5B6E2" w14:textId="77777777" w:rsidR="00490E47" w:rsidRPr="00D67979" w:rsidRDefault="00490E47">
            <w:pPr>
              <w:pStyle w:val="TableBody"/>
              <w:spacing w:before="60" w:after="60"/>
              <w:rPr>
                <w:lang w:eastAsia="en-AU"/>
              </w:rPr>
            </w:pPr>
            <w:r>
              <w:rPr>
                <w:lang w:eastAsia="en-AU"/>
              </w:rPr>
              <w:t>$531</w:t>
            </w:r>
          </w:p>
        </w:tc>
        <w:tc>
          <w:tcPr>
            <w:tcW w:w="1615" w:type="dxa"/>
          </w:tcPr>
          <w:p w14:paraId="5865B1D3" w14:textId="77777777" w:rsidR="00490E47" w:rsidRPr="00D67979" w:rsidRDefault="00490E47">
            <w:pPr>
              <w:pStyle w:val="TableBody"/>
              <w:spacing w:before="60" w:after="60"/>
              <w:rPr>
                <w:lang w:eastAsia="en-AU"/>
              </w:rPr>
            </w:pPr>
            <w:r>
              <w:rPr>
                <w:lang w:eastAsia="en-AU"/>
              </w:rPr>
              <w:t>$511</w:t>
            </w:r>
          </w:p>
        </w:tc>
        <w:tc>
          <w:tcPr>
            <w:tcW w:w="1659" w:type="dxa"/>
          </w:tcPr>
          <w:p w14:paraId="5063CE8F" w14:textId="77777777" w:rsidR="00490E47" w:rsidRPr="00D67979" w:rsidRDefault="00490E47">
            <w:pPr>
              <w:pStyle w:val="TableBody"/>
              <w:spacing w:before="60" w:after="60"/>
              <w:rPr>
                <w:lang w:eastAsia="en-AU"/>
              </w:rPr>
            </w:pPr>
            <w:r>
              <w:rPr>
                <w:lang w:eastAsia="en-AU"/>
              </w:rPr>
              <w:t>$511</w:t>
            </w:r>
          </w:p>
        </w:tc>
      </w:tr>
      <w:tr w:rsidR="00490E47" w:rsidRPr="00972F3F" w14:paraId="1A22F1AC" w14:textId="77777777" w:rsidTr="00ED41A8">
        <w:trPr>
          <w:cnfStyle w:val="000000010000" w:firstRow="0" w:lastRow="0" w:firstColumn="0" w:lastColumn="0" w:oddVBand="0" w:evenVBand="0" w:oddHBand="0" w:evenHBand="1" w:firstRowFirstColumn="0" w:firstRowLastColumn="0" w:lastRowFirstColumn="0" w:lastRowLastColumn="0"/>
          <w:trHeight w:val="635"/>
        </w:trPr>
        <w:tc>
          <w:tcPr>
            <w:tcW w:w="3309" w:type="dxa"/>
            <w:gridSpan w:val="2"/>
          </w:tcPr>
          <w:p w14:paraId="0B42AF94" w14:textId="77777777" w:rsidR="00490E47" w:rsidRDefault="00490E47">
            <w:pPr>
              <w:pStyle w:val="TableBody"/>
              <w:spacing w:before="60" w:after="60"/>
              <w:rPr>
                <w:lang w:eastAsia="en-AU"/>
              </w:rPr>
            </w:pPr>
            <w:r>
              <w:rPr>
                <w:lang w:eastAsia="en-AU"/>
              </w:rPr>
              <w:t xml:space="preserve">Residential – tenant – </w:t>
            </w:r>
          </w:p>
          <w:p w14:paraId="18566F99" w14:textId="00B4626E" w:rsidR="00490E47" w:rsidRPr="00D67979" w:rsidRDefault="00490E47">
            <w:pPr>
              <w:pStyle w:val="TableBody"/>
              <w:spacing w:before="60" w:after="60"/>
              <w:rPr>
                <w:lang w:eastAsia="en-AU"/>
              </w:rPr>
            </w:pPr>
            <w:r>
              <w:rPr>
                <w:lang w:eastAsia="en-AU"/>
              </w:rPr>
              <w:t>Western</w:t>
            </w:r>
            <w:r>
              <w:rPr>
                <w:rStyle w:val="FootnoteReference"/>
                <w:lang w:eastAsia="en-AU"/>
              </w:rPr>
              <w:footnoteReference w:id="8"/>
            </w:r>
          </w:p>
        </w:tc>
        <w:tc>
          <w:tcPr>
            <w:tcW w:w="1724" w:type="dxa"/>
          </w:tcPr>
          <w:p w14:paraId="47040837" w14:textId="77777777" w:rsidR="00490E47" w:rsidRDefault="00490E47">
            <w:pPr>
              <w:pStyle w:val="TableBody"/>
              <w:spacing w:before="60" w:after="60"/>
              <w:rPr>
                <w:lang w:eastAsia="en-AU"/>
              </w:rPr>
            </w:pPr>
            <w:r>
              <w:rPr>
                <w:noProof/>
                <w:lang w:eastAsia="en-AU"/>
              </w:rPr>
              <w:t>150</w:t>
            </w:r>
          </w:p>
        </w:tc>
        <w:tc>
          <w:tcPr>
            <w:tcW w:w="1616" w:type="dxa"/>
          </w:tcPr>
          <w:p w14:paraId="00BBF256" w14:textId="77777777" w:rsidR="00490E47" w:rsidRDefault="00490E47">
            <w:pPr>
              <w:pStyle w:val="TableBody"/>
              <w:spacing w:before="60" w:after="60"/>
              <w:rPr>
                <w:lang w:eastAsia="en-AU"/>
              </w:rPr>
            </w:pPr>
            <w:r>
              <w:rPr>
                <w:noProof/>
                <w:lang w:eastAsia="en-AU"/>
              </w:rPr>
              <w:t>$</w:t>
            </w:r>
            <w:r w:rsidRPr="4BF7B804">
              <w:rPr>
                <w:noProof/>
                <w:lang w:eastAsia="en-AU"/>
              </w:rPr>
              <w:t>348</w:t>
            </w:r>
          </w:p>
        </w:tc>
        <w:tc>
          <w:tcPr>
            <w:tcW w:w="1615" w:type="dxa"/>
          </w:tcPr>
          <w:p w14:paraId="454C843D" w14:textId="77777777" w:rsidR="00490E47" w:rsidRDefault="00490E47">
            <w:pPr>
              <w:pStyle w:val="TableBody"/>
              <w:spacing w:before="60" w:after="60"/>
              <w:rPr>
                <w:lang w:eastAsia="en-AU"/>
              </w:rPr>
            </w:pPr>
            <w:r>
              <w:rPr>
                <w:lang w:eastAsia="en-AU"/>
              </w:rPr>
              <w:t>$355</w:t>
            </w:r>
          </w:p>
        </w:tc>
        <w:tc>
          <w:tcPr>
            <w:tcW w:w="1659" w:type="dxa"/>
          </w:tcPr>
          <w:p w14:paraId="2379FE71" w14:textId="77777777" w:rsidR="00490E47" w:rsidRDefault="00490E47">
            <w:pPr>
              <w:pStyle w:val="TableBody"/>
              <w:spacing w:before="60" w:after="60"/>
              <w:rPr>
                <w:lang w:eastAsia="en-AU"/>
              </w:rPr>
            </w:pPr>
            <w:r>
              <w:rPr>
                <w:lang w:eastAsia="en-AU"/>
              </w:rPr>
              <w:t>$374</w:t>
            </w:r>
          </w:p>
        </w:tc>
      </w:tr>
      <w:tr w:rsidR="00490E47" w:rsidRPr="00972F3F" w14:paraId="6C875219" w14:textId="77777777" w:rsidTr="00ED41A8">
        <w:trPr>
          <w:gridBefore w:val="1"/>
          <w:cnfStyle w:val="000000100000" w:firstRow="0" w:lastRow="0" w:firstColumn="0" w:lastColumn="0" w:oddVBand="0" w:evenVBand="0" w:oddHBand="1" w:evenHBand="0" w:firstRowFirstColumn="0" w:firstRowLastColumn="0" w:lastRowFirstColumn="0" w:lastRowLastColumn="0"/>
          <w:wBefore w:w="6" w:type="dxa"/>
          <w:trHeight w:val="635"/>
        </w:trPr>
        <w:tc>
          <w:tcPr>
            <w:tcW w:w="3303" w:type="dxa"/>
          </w:tcPr>
          <w:p w14:paraId="4E304088" w14:textId="6CE7ACAF" w:rsidR="00490E47" w:rsidRPr="00D67979" w:rsidRDefault="00490E47" w:rsidP="00C36C63">
            <w:pPr>
              <w:pStyle w:val="TableBody"/>
              <w:spacing w:before="60" w:after="60"/>
              <w:rPr>
                <w:lang w:eastAsia="en-AU"/>
              </w:rPr>
            </w:pPr>
            <w:r>
              <w:rPr>
                <w:lang w:eastAsia="en-AU"/>
              </w:rPr>
              <w:t xml:space="preserve">Non-residential (small) </w:t>
            </w:r>
            <w:proofErr w:type="gramStart"/>
            <w:r>
              <w:rPr>
                <w:lang w:eastAsia="en-AU"/>
              </w:rPr>
              <w:t>–</w:t>
            </w:r>
            <w:r w:rsidR="00C36C63">
              <w:rPr>
                <w:lang w:eastAsia="en-AU"/>
              </w:rPr>
              <w:t xml:space="preserve">  </w:t>
            </w:r>
            <w:r>
              <w:rPr>
                <w:lang w:eastAsia="en-AU"/>
              </w:rPr>
              <w:t>Central</w:t>
            </w:r>
            <w:proofErr w:type="gramEnd"/>
          </w:p>
        </w:tc>
        <w:tc>
          <w:tcPr>
            <w:tcW w:w="1724" w:type="dxa"/>
          </w:tcPr>
          <w:p w14:paraId="2C2876FA" w14:textId="77777777" w:rsidR="00490E47" w:rsidRDefault="00490E47">
            <w:pPr>
              <w:pStyle w:val="TableBody"/>
              <w:spacing w:before="60" w:after="60"/>
              <w:rPr>
                <w:noProof/>
                <w:lang w:eastAsia="en-AU"/>
              </w:rPr>
            </w:pPr>
            <w:r>
              <w:rPr>
                <w:noProof/>
                <w:lang w:eastAsia="en-AU"/>
              </w:rPr>
              <w:t>100</w:t>
            </w:r>
          </w:p>
        </w:tc>
        <w:tc>
          <w:tcPr>
            <w:tcW w:w="1616" w:type="dxa"/>
          </w:tcPr>
          <w:p w14:paraId="276918EF" w14:textId="77777777" w:rsidR="00490E47" w:rsidRDefault="00490E47">
            <w:pPr>
              <w:pStyle w:val="TableBody"/>
              <w:spacing w:before="60" w:after="60"/>
              <w:rPr>
                <w:noProof/>
                <w:lang w:eastAsia="en-AU"/>
              </w:rPr>
            </w:pPr>
            <w:r>
              <w:rPr>
                <w:noProof/>
                <w:lang w:eastAsia="en-AU"/>
              </w:rPr>
              <w:t>$1,297</w:t>
            </w:r>
          </w:p>
        </w:tc>
        <w:tc>
          <w:tcPr>
            <w:tcW w:w="1615" w:type="dxa"/>
          </w:tcPr>
          <w:p w14:paraId="05EE4093" w14:textId="77777777" w:rsidR="00490E47" w:rsidRPr="00D67979" w:rsidRDefault="00490E47">
            <w:pPr>
              <w:pStyle w:val="TableBody"/>
              <w:spacing w:before="60" w:after="60"/>
              <w:rPr>
                <w:lang w:eastAsia="en-AU"/>
              </w:rPr>
            </w:pPr>
            <w:r>
              <w:rPr>
                <w:lang w:eastAsia="en-AU"/>
              </w:rPr>
              <w:t>$1,305</w:t>
            </w:r>
          </w:p>
        </w:tc>
        <w:tc>
          <w:tcPr>
            <w:tcW w:w="1659" w:type="dxa"/>
          </w:tcPr>
          <w:p w14:paraId="20300046" w14:textId="77777777" w:rsidR="00490E47" w:rsidRPr="00D67979" w:rsidRDefault="00490E47">
            <w:pPr>
              <w:pStyle w:val="TableBody"/>
              <w:spacing w:before="60" w:after="60"/>
              <w:rPr>
                <w:lang w:eastAsia="en-AU"/>
              </w:rPr>
            </w:pPr>
            <w:r>
              <w:rPr>
                <w:lang w:eastAsia="en-AU"/>
              </w:rPr>
              <w:t>$1,296</w:t>
            </w:r>
          </w:p>
        </w:tc>
      </w:tr>
      <w:tr w:rsidR="00490E47" w:rsidRPr="00972F3F" w14:paraId="68D78A90" w14:textId="77777777" w:rsidTr="00ED41A8">
        <w:trPr>
          <w:gridBefore w:val="1"/>
          <w:cnfStyle w:val="000000010000" w:firstRow="0" w:lastRow="0" w:firstColumn="0" w:lastColumn="0" w:oddVBand="0" w:evenVBand="0" w:oddHBand="0" w:evenHBand="1" w:firstRowFirstColumn="0" w:firstRowLastColumn="0" w:lastRowFirstColumn="0" w:lastRowLastColumn="0"/>
          <w:wBefore w:w="6" w:type="dxa"/>
          <w:trHeight w:val="635"/>
        </w:trPr>
        <w:tc>
          <w:tcPr>
            <w:tcW w:w="3303" w:type="dxa"/>
          </w:tcPr>
          <w:p w14:paraId="1E656CAA" w14:textId="77777777" w:rsidR="00490E47" w:rsidRPr="00D67979" w:rsidRDefault="00490E47">
            <w:pPr>
              <w:pStyle w:val="TableBody"/>
              <w:spacing w:before="60" w:after="60"/>
              <w:rPr>
                <w:lang w:eastAsia="en-AU"/>
              </w:rPr>
            </w:pPr>
            <w:r w:rsidRPr="00D67979">
              <w:rPr>
                <w:lang w:eastAsia="en-AU"/>
              </w:rPr>
              <w:t>Non-residential (small)</w:t>
            </w:r>
            <w:r>
              <w:rPr>
                <w:lang w:eastAsia="en-AU"/>
              </w:rPr>
              <w:t xml:space="preserve"> – Western</w:t>
            </w:r>
          </w:p>
        </w:tc>
        <w:tc>
          <w:tcPr>
            <w:tcW w:w="1724" w:type="dxa"/>
          </w:tcPr>
          <w:p w14:paraId="340678AB" w14:textId="77777777" w:rsidR="00490E47" w:rsidRDefault="00490E47">
            <w:pPr>
              <w:pStyle w:val="TableBody"/>
              <w:spacing w:before="60" w:after="60"/>
              <w:rPr>
                <w:noProof/>
                <w:lang w:eastAsia="en-AU"/>
              </w:rPr>
            </w:pPr>
            <w:r>
              <w:rPr>
                <w:noProof/>
                <w:lang w:eastAsia="en-AU"/>
              </w:rPr>
              <w:t>100</w:t>
            </w:r>
          </w:p>
        </w:tc>
        <w:tc>
          <w:tcPr>
            <w:tcW w:w="1616" w:type="dxa"/>
          </w:tcPr>
          <w:p w14:paraId="775019D3" w14:textId="77777777" w:rsidR="00490E47" w:rsidRDefault="00490E47">
            <w:pPr>
              <w:pStyle w:val="TableBody"/>
              <w:spacing w:before="60" w:after="60"/>
              <w:rPr>
                <w:noProof/>
                <w:lang w:eastAsia="en-AU"/>
              </w:rPr>
            </w:pPr>
            <w:r>
              <w:rPr>
                <w:noProof/>
                <w:lang w:eastAsia="en-AU"/>
              </w:rPr>
              <w:t>$1,</w:t>
            </w:r>
            <w:r>
              <w:rPr>
                <w:lang w:eastAsia="en-AU"/>
              </w:rPr>
              <w:t>057</w:t>
            </w:r>
          </w:p>
        </w:tc>
        <w:tc>
          <w:tcPr>
            <w:tcW w:w="1615" w:type="dxa"/>
          </w:tcPr>
          <w:p w14:paraId="56FBAE75" w14:textId="77777777" w:rsidR="00490E47" w:rsidRPr="00D67979" w:rsidRDefault="00490E47">
            <w:pPr>
              <w:pStyle w:val="TableBody"/>
              <w:spacing w:before="60" w:after="60"/>
              <w:rPr>
                <w:lang w:eastAsia="en-AU"/>
              </w:rPr>
            </w:pPr>
            <w:r>
              <w:rPr>
                <w:lang w:eastAsia="en-AU"/>
              </w:rPr>
              <w:t>$1,056</w:t>
            </w:r>
          </w:p>
        </w:tc>
        <w:tc>
          <w:tcPr>
            <w:tcW w:w="1659" w:type="dxa"/>
          </w:tcPr>
          <w:p w14:paraId="1060B39F" w14:textId="77777777" w:rsidR="00490E47" w:rsidRPr="00D67979" w:rsidRDefault="00490E47">
            <w:pPr>
              <w:pStyle w:val="TableBody"/>
              <w:spacing w:before="60" w:after="60"/>
              <w:rPr>
                <w:lang w:eastAsia="en-AU"/>
              </w:rPr>
            </w:pPr>
            <w:r>
              <w:rPr>
                <w:lang w:eastAsia="en-AU"/>
              </w:rPr>
              <w:t>$1,026</w:t>
            </w:r>
          </w:p>
        </w:tc>
      </w:tr>
      <w:tr w:rsidR="00490E47" w:rsidRPr="00972F3F" w14:paraId="01519BCF" w14:textId="77777777" w:rsidTr="00ED41A8">
        <w:trPr>
          <w:gridBefore w:val="1"/>
          <w:cnfStyle w:val="000000100000" w:firstRow="0" w:lastRow="0" w:firstColumn="0" w:lastColumn="0" w:oddVBand="0" w:evenVBand="0" w:oddHBand="1" w:evenHBand="0" w:firstRowFirstColumn="0" w:firstRowLastColumn="0" w:lastRowFirstColumn="0" w:lastRowLastColumn="0"/>
          <w:wBefore w:w="6" w:type="dxa"/>
          <w:trHeight w:val="635"/>
        </w:trPr>
        <w:tc>
          <w:tcPr>
            <w:tcW w:w="3303" w:type="dxa"/>
          </w:tcPr>
          <w:p w14:paraId="2FEBB22C" w14:textId="77777777" w:rsidR="00490E47" w:rsidRPr="00D67979" w:rsidRDefault="00490E47">
            <w:pPr>
              <w:pStyle w:val="TableBody"/>
              <w:spacing w:before="60" w:after="60"/>
              <w:rPr>
                <w:lang w:eastAsia="en-AU"/>
              </w:rPr>
            </w:pPr>
            <w:r w:rsidRPr="00D67979">
              <w:rPr>
                <w:lang w:eastAsia="en-AU"/>
              </w:rPr>
              <w:t>Non-residential (medium)</w:t>
            </w:r>
            <w:r>
              <w:rPr>
                <w:lang w:eastAsia="en-AU"/>
              </w:rPr>
              <w:t xml:space="preserve"> – Central</w:t>
            </w:r>
          </w:p>
        </w:tc>
        <w:tc>
          <w:tcPr>
            <w:tcW w:w="1724" w:type="dxa"/>
          </w:tcPr>
          <w:p w14:paraId="001EFF21" w14:textId="77777777" w:rsidR="00490E47" w:rsidRPr="00D67979" w:rsidRDefault="00490E47">
            <w:pPr>
              <w:pStyle w:val="TableBody"/>
              <w:spacing w:before="60" w:after="60"/>
              <w:rPr>
                <w:lang w:eastAsia="en-AU"/>
              </w:rPr>
            </w:pPr>
            <w:r>
              <w:rPr>
                <w:lang w:eastAsia="en-AU"/>
              </w:rPr>
              <w:t>1,000</w:t>
            </w:r>
          </w:p>
        </w:tc>
        <w:tc>
          <w:tcPr>
            <w:tcW w:w="1616" w:type="dxa"/>
          </w:tcPr>
          <w:p w14:paraId="402E50DB" w14:textId="77777777" w:rsidR="00490E47" w:rsidRPr="00D67979" w:rsidRDefault="00490E47">
            <w:pPr>
              <w:pStyle w:val="TableBody"/>
              <w:spacing w:before="60" w:after="60"/>
              <w:rPr>
                <w:lang w:eastAsia="en-AU"/>
              </w:rPr>
            </w:pPr>
            <w:r>
              <w:rPr>
                <w:lang w:eastAsia="en-AU"/>
              </w:rPr>
              <w:t>$5,694</w:t>
            </w:r>
          </w:p>
        </w:tc>
        <w:tc>
          <w:tcPr>
            <w:tcW w:w="1615" w:type="dxa"/>
          </w:tcPr>
          <w:p w14:paraId="4BE0C06B" w14:textId="77777777" w:rsidR="00490E47" w:rsidRPr="00D67979" w:rsidRDefault="00490E47">
            <w:pPr>
              <w:pStyle w:val="TableBody"/>
              <w:spacing w:before="60" w:after="60"/>
              <w:rPr>
                <w:lang w:eastAsia="en-AU"/>
              </w:rPr>
            </w:pPr>
            <w:r>
              <w:rPr>
                <w:lang w:eastAsia="en-AU"/>
              </w:rPr>
              <w:t>$5,722</w:t>
            </w:r>
          </w:p>
        </w:tc>
        <w:tc>
          <w:tcPr>
            <w:tcW w:w="1659" w:type="dxa"/>
          </w:tcPr>
          <w:p w14:paraId="0842AF74" w14:textId="77777777" w:rsidR="00490E47" w:rsidRPr="00D67979" w:rsidRDefault="00490E47">
            <w:pPr>
              <w:pStyle w:val="TableBody"/>
              <w:spacing w:before="60" w:after="60"/>
              <w:rPr>
                <w:lang w:eastAsia="en-AU"/>
              </w:rPr>
            </w:pPr>
            <w:r>
              <w:rPr>
                <w:lang w:eastAsia="en-AU"/>
              </w:rPr>
              <w:t>$5,714</w:t>
            </w:r>
          </w:p>
        </w:tc>
      </w:tr>
      <w:tr w:rsidR="00490E47" w:rsidRPr="00972F3F" w14:paraId="626BD155" w14:textId="77777777" w:rsidTr="00ED41A8">
        <w:trPr>
          <w:gridBefore w:val="1"/>
          <w:cnfStyle w:val="000000010000" w:firstRow="0" w:lastRow="0" w:firstColumn="0" w:lastColumn="0" w:oddVBand="0" w:evenVBand="0" w:oddHBand="0" w:evenHBand="1" w:firstRowFirstColumn="0" w:firstRowLastColumn="0" w:lastRowFirstColumn="0" w:lastRowLastColumn="0"/>
          <w:wBefore w:w="6" w:type="dxa"/>
          <w:trHeight w:val="635"/>
        </w:trPr>
        <w:tc>
          <w:tcPr>
            <w:tcW w:w="3303" w:type="dxa"/>
          </w:tcPr>
          <w:p w14:paraId="32D2FD30" w14:textId="77777777" w:rsidR="00490E47" w:rsidRPr="00D67979" w:rsidRDefault="00490E47">
            <w:pPr>
              <w:pStyle w:val="TableBody"/>
              <w:spacing w:before="60" w:after="60"/>
              <w:rPr>
                <w:lang w:eastAsia="en-AU"/>
              </w:rPr>
            </w:pPr>
            <w:r>
              <w:rPr>
                <w:lang w:eastAsia="en-AU"/>
              </w:rPr>
              <w:t>Non-residential (medium) – Western</w:t>
            </w:r>
          </w:p>
        </w:tc>
        <w:tc>
          <w:tcPr>
            <w:tcW w:w="1724" w:type="dxa"/>
          </w:tcPr>
          <w:p w14:paraId="6347DBA0" w14:textId="77777777" w:rsidR="00490E47" w:rsidRPr="00D67979" w:rsidRDefault="00490E47">
            <w:pPr>
              <w:pStyle w:val="TableBody"/>
              <w:spacing w:before="60" w:after="60"/>
              <w:rPr>
                <w:lang w:eastAsia="en-AU"/>
              </w:rPr>
            </w:pPr>
            <w:r>
              <w:rPr>
                <w:lang w:eastAsia="en-AU"/>
              </w:rPr>
              <w:t>1,000</w:t>
            </w:r>
          </w:p>
        </w:tc>
        <w:tc>
          <w:tcPr>
            <w:tcW w:w="1616" w:type="dxa"/>
          </w:tcPr>
          <w:p w14:paraId="56C16F83" w14:textId="77777777" w:rsidR="00490E47" w:rsidRPr="00D67979" w:rsidRDefault="00490E47">
            <w:pPr>
              <w:pStyle w:val="TableBody"/>
              <w:spacing w:before="60" w:after="60"/>
              <w:rPr>
                <w:lang w:eastAsia="en-AU"/>
              </w:rPr>
            </w:pPr>
            <w:r>
              <w:rPr>
                <w:lang w:eastAsia="en-AU"/>
              </w:rPr>
              <w:t>$3,812</w:t>
            </w:r>
          </w:p>
        </w:tc>
        <w:tc>
          <w:tcPr>
            <w:tcW w:w="1615" w:type="dxa"/>
          </w:tcPr>
          <w:p w14:paraId="55DFE9C7" w14:textId="77777777" w:rsidR="00490E47" w:rsidRPr="00D67979" w:rsidRDefault="00490E47">
            <w:pPr>
              <w:pStyle w:val="TableBody"/>
              <w:spacing w:before="60" w:after="60"/>
              <w:rPr>
                <w:lang w:eastAsia="en-AU"/>
              </w:rPr>
            </w:pPr>
            <w:r>
              <w:rPr>
                <w:lang w:eastAsia="en-AU"/>
              </w:rPr>
              <w:t>$3,830</w:t>
            </w:r>
          </w:p>
        </w:tc>
        <w:tc>
          <w:tcPr>
            <w:tcW w:w="1659" w:type="dxa"/>
          </w:tcPr>
          <w:p w14:paraId="0A18546F" w14:textId="77777777" w:rsidR="00490E47" w:rsidRPr="00D67979" w:rsidRDefault="00490E47">
            <w:pPr>
              <w:pStyle w:val="TableBody"/>
              <w:spacing w:before="60" w:after="60"/>
              <w:rPr>
                <w:lang w:eastAsia="en-AU"/>
              </w:rPr>
            </w:pPr>
            <w:r>
              <w:rPr>
                <w:lang w:eastAsia="en-AU"/>
              </w:rPr>
              <w:t>$3,801</w:t>
            </w:r>
          </w:p>
        </w:tc>
      </w:tr>
      <w:tr w:rsidR="00490E47" w:rsidRPr="00972F3F" w14:paraId="18AA0BD0" w14:textId="77777777" w:rsidTr="00ED41A8">
        <w:trPr>
          <w:gridBefore w:val="1"/>
          <w:cnfStyle w:val="000000100000" w:firstRow="0" w:lastRow="0" w:firstColumn="0" w:lastColumn="0" w:oddVBand="0" w:evenVBand="0" w:oddHBand="1" w:evenHBand="0" w:firstRowFirstColumn="0" w:firstRowLastColumn="0" w:lastRowFirstColumn="0" w:lastRowLastColumn="0"/>
          <w:wBefore w:w="6" w:type="dxa"/>
          <w:trHeight w:val="635"/>
        </w:trPr>
        <w:tc>
          <w:tcPr>
            <w:tcW w:w="3303" w:type="dxa"/>
          </w:tcPr>
          <w:p w14:paraId="5D4A8DC2" w14:textId="0ED8AAD7" w:rsidR="00490E47" w:rsidRPr="00D67979" w:rsidRDefault="00490E47">
            <w:pPr>
              <w:pStyle w:val="TableBody"/>
              <w:spacing w:before="60" w:after="60"/>
              <w:rPr>
                <w:lang w:eastAsia="en-AU"/>
              </w:rPr>
            </w:pPr>
            <w:r>
              <w:rPr>
                <w:lang w:eastAsia="en-AU"/>
              </w:rPr>
              <w:t xml:space="preserve">Non-residential (large) </w:t>
            </w:r>
            <w:proofErr w:type="gramStart"/>
            <w:r>
              <w:rPr>
                <w:lang w:eastAsia="en-AU"/>
              </w:rPr>
              <w:t xml:space="preserve">– </w:t>
            </w:r>
            <w:r w:rsidR="00C36C63">
              <w:rPr>
                <w:lang w:eastAsia="en-AU"/>
              </w:rPr>
              <w:t xml:space="preserve"> </w:t>
            </w:r>
            <w:r>
              <w:rPr>
                <w:lang w:eastAsia="en-AU"/>
              </w:rPr>
              <w:t>Central</w:t>
            </w:r>
            <w:proofErr w:type="gramEnd"/>
          </w:p>
        </w:tc>
        <w:tc>
          <w:tcPr>
            <w:tcW w:w="1724" w:type="dxa"/>
          </w:tcPr>
          <w:p w14:paraId="102D2A30" w14:textId="77777777" w:rsidR="00490E47" w:rsidRPr="00D67979" w:rsidRDefault="00490E47">
            <w:pPr>
              <w:pStyle w:val="TableBody"/>
              <w:spacing w:before="60" w:after="60"/>
              <w:rPr>
                <w:lang w:eastAsia="en-AU"/>
              </w:rPr>
            </w:pPr>
            <w:r>
              <w:rPr>
                <w:lang w:eastAsia="en-AU"/>
              </w:rPr>
              <w:t>5,000</w:t>
            </w:r>
          </w:p>
        </w:tc>
        <w:tc>
          <w:tcPr>
            <w:tcW w:w="1616" w:type="dxa"/>
          </w:tcPr>
          <w:p w14:paraId="2FB83DB1" w14:textId="77777777" w:rsidR="00490E47" w:rsidRPr="00D67979" w:rsidRDefault="00490E47">
            <w:pPr>
              <w:pStyle w:val="TableBody"/>
              <w:spacing w:before="60" w:after="60"/>
              <w:rPr>
                <w:lang w:eastAsia="en-AU"/>
              </w:rPr>
            </w:pPr>
            <w:r>
              <w:rPr>
                <w:lang w:eastAsia="en-AU"/>
              </w:rPr>
              <w:t>$25,233</w:t>
            </w:r>
          </w:p>
        </w:tc>
        <w:tc>
          <w:tcPr>
            <w:tcW w:w="1615" w:type="dxa"/>
          </w:tcPr>
          <w:p w14:paraId="4A23895D" w14:textId="77777777" w:rsidR="00490E47" w:rsidRPr="00D67979" w:rsidRDefault="00490E47">
            <w:pPr>
              <w:pStyle w:val="TableBody"/>
              <w:spacing w:before="60" w:after="60"/>
              <w:rPr>
                <w:lang w:eastAsia="en-AU"/>
              </w:rPr>
            </w:pPr>
            <w:r>
              <w:rPr>
                <w:lang w:eastAsia="en-AU"/>
              </w:rPr>
              <w:t>$25,354</w:t>
            </w:r>
          </w:p>
        </w:tc>
        <w:tc>
          <w:tcPr>
            <w:tcW w:w="1659" w:type="dxa"/>
          </w:tcPr>
          <w:p w14:paraId="50599B5C" w14:textId="77777777" w:rsidR="00490E47" w:rsidRPr="00D67979" w:rsidRDefault="00490E47">
            <w:pPr>
              <w:pStyle w:val="TableBody"/>
              <w:spacing w:before="60" w:after="60"/>
              <w:rPr>
                <w:lang w:eastAsia="en-AU"/>
              </w:rPr>
            </w:pPr>
            <w:r>
              <w:rPr>
                <w:lang w:eastAsia="en-AU"/>
              </w:rPr>
              <w:t>$25,346</w:t>
            </w:r>
          </w:p>
        </w:tc>
      </w:tr>
      <w:tr w:rsidR="00490E47" w:rsidRPr="00972F3F" w14:paraId="5CB51575" w14:textId="77777777" w:rsidTr="00ED41A8">
        <w:trPr>
          <w:gridBefore w:val="1"/>
          <w:cnfStyle w:val="000000010000" w:firstRow="0" w:lastRow="0" w:firstColumn="0" w:lastColumn="0" w:oddVBand="0" w:evenVBand="0" w:oddHBand="0" w:evenHBand="1" w:firstRowFirstColumn="0" w:firstRowLastColumn="0" w:lastRowFirstColumn="0" w:lastRowLastColumn="0"/>
          <w:wBefore w:w="6" w:type="dxa"/>
          <w:trHeight w:val="635"/>
        </w:trPr>
        <w:tc>
          <w:tcPr>
            <w:tcW w:w="3303" w:type="dxa"/>
          </w:tcPr>
          <w:p w14:paraId="4E93F9E9" w14:textId="77777777" w:rsidR="00490E47" w:rsidRPr="00D67979" w:rsidRDefault="00490E47">
            <w:pPr>
              <w:pStyle w:val="TableBody"/>
              <w:spacing w:before="60" w:after="60"/>
              <w:rPr>
                <w:lang w:eastAsia="en-AU"/>
              </w:rPr>
            </w:pPr>
            <w:r w:rsidRPr="00D67979">
              <w:rPr>
                <w:lang w:eastAsia="en-AU"/>
              </w:rPr>
              <w:t>Non-residential (large)</w:t>
            </w:r>
            <w:r>
              <w:rPr>
                <w:lang w:eastAsia="en-AU"/>
              </w:rPr>
              <w:t xml:space="preserve"> – Western</w:t>
            </w:r>
          </w:p>
        </w:tc>
        <w:tc>
          <w:tcPr>
            <w:tcW w:w="1724" w:type="dxa"/>
          </w:tcPr>
          <w:p w14:paraId="1DE74733" w14:textId="77777777" w:rsidR="00490E47" w:rsidRPr="00D67979" w:rsidRDefault="00490E47">
            <w:pPr>
              <w:pStyle w:val="TableBody"/>
              <w:spacing w:before="60" w:after="60"/>
              <w:rPr>
                <w:lang w:eastAsia="en-AU"/>
              </w:rPr>
            </w:pPr>
            <w:r>
              <w:rPr>
                <w:lang w:eastAsia="en-AU"/>
              </w:rPr>
              <w:t>5,000</w:t>
            </w:r>
          </w:p>
        </w:tc>
        <w:tc>
          <w:tcPr>
            <w:tcW w:w="1616" w:type="dxa"/>
          </w:tcPr>
          <w:p w14:paraId="4CA3240D" w14:textId="77777777" w:rsidR="00490E47" w:rsidRPr="00D67979" w:rsidRDefault="00490E47">
            <w:pPr>
              <w:pStyle w:val="TableBody"/>
              <w:spacing w:before="60" w:after="60"/>
              <w:rPr>
                <w:lang w:eastAsia="en-AU"/>
              </w:rPr>
            </w:pPr>
            <w:r>
              <w:rPr>
                <w:lang w:eastAsia="en-AU"/>
              </w:rPr>
              <w:t>$16,056</w:t>
            </w:r>
          </w:p>
        </w:tc>
        <w:tc>
          <w:tcPr>
            <w:tcW w:w="1615" w:type="dxa"/>
          </w:tcPr>
          <w:p w14:paraId="29AAED3A" w14:textId="77777777" w:rsidR="00490E47" w:rsidRPr="00D67979" w:rsidRDefault="00490E47">
            <w:pPr>
              <w:pStyle w:val="TableBody"/>
              <w:spacing w:before="60" w:after="60"/>
              <w:rPr>
                <w:lang w:eastAsia="en-AU"/>
              </w:rPr>
            </w:pPr>
            <w:r>
              <w:rPr>
                <w:lang w:eastAsia="en-AU"/>
              </w:rPr>
              <w:t>$16,162</w:t>
            </w:r>
          </w:p>
        </w:tc>
        <w:tc>
          <w:tcPr>
            <w:tcW w:w="1659" w:type="dxa"/>
          </w:tcPr>
          <w:p w14:paraId="1D5B9021" w14:textId="77777777" w:rsidR="00490E47" w:rsidRPr="00D67979" w:rsidRDefault="00490E47">
            <w:pPr>
              <w:pStyle w:val="TableBody"/>
              <w:spacing w:before="60" w:after="60"/>
              <w:rPr>
                <w:lang w:eastAsia="en-AU"/>
              </w:rPr>
            </w:pPr>
            <w:r>
              <w:rPr>
                <w:lang w:eastAsia="en-AU"/>
              </w:rPr>
              <w:t>$16,133</w:t>
            </w:r>
          </w:p>
        </w:tc>
      </w:tr>
    </w:tbl>
    <w:p w14:paraId="5B55962B" w14:textId="321E33A0" w:rsidR="00235183" w:rsidRPr="006D0CDA" w:rsidRDefault="00B85822" w:rsidP="00235183">
      <w:pPr>
        <w:pStyle w:val="Heading2"/>
      </w:pPr>
      <w:bookmarkStart w:id="26" w:name="_Toc118289109"/>
      <w:bookmarkStart w:id="27" w:name="_Toc122514840"/>
      <w:bookmarkStart w:id="28" w:name="_Toc150515667"/>
      <w:bookmarkStart w:id="29" w:name="_Toc161400963"/>
      <w:bookmarkStart w:id="30" w:name="_Toc117178655"/>
      <w:bookmarkStart w:id="31" w:name="_Toc118289110"/>
      <w:bookmarkStart w:id="32" w:name="_Toc122514841"/>
      <w:bookmarkStart w:id="33" w:name="_Toc150515668"/>
      <w:r w:rsidRPr="006D0CDA">
        <w:lastRenderedPageBreak/>
        <w:t xml:space="preserve">Greater Western Water </w:t>
      </w:r>
      <w:r w:rsidR="00BE6B98">
        <w:t xml:space="preserve">proposes </w:t>
      </w:r>
      <w:bookmarkEnd w:id="26"/>
      <w:bookmarkEnd w:id="27"/>
      <w:bookmarkEnd w:id="28"/>
      <w:r w:rsidR="00E17444">
        <w:t>reform</w:t>
      </w:r>
      <w:r w:rsidR="005E1ED8">
        <w:t>s to</w:t>
      </w:r>
      <w:r w:rsidR="00E17444">
        <w:t xml:space="preserve"> </w:t>
      </w:r>
      <w:r w:rsidR="005E1ED8">
        <w:t xml:space="preserve">support </w:t>
      </w:r>
      <w:r w:rsidR="00A65B59">
        <w:t xml:space="preserve">tariff </w:t>
      </w:r>
      <w:r w:rsidR="005239C9">
        <w:t xml:space="preserve">alignment across its </w:t>
      </w:r>
      <w:proofErr w:type="gramStart"/>
      <w:r w:rsidR="007A2E89">
        <w:t>regions</w:t>
      </w:r>
      <w:bookmarkEnd w:id="29"/>
      <w:proofErr w:type="gramEnd"/>
    </w:p>
    <w:p w14:paraId="7D6EDA77" w14:textId="056DB198" w:rsidR="00235183" w:rsidRPr="006D0CDA" w:rsidRDefault="00235183" w:rsidP="00235183">
      <w:r w:rsidRPr="006D0CDA">
        <w:t xml:space="preserve">Greater Western Water </w:t>
      </w:r>
      <w:r w:rsidR="006D12CE" w:rsidRPr="006D0CDA">
        <w:t xml:space="preserve">proposed to </w:t>
      </w:r>
      <w:r w:rsidR="00087653" w:rsidRPr="006D0CDA">
        <w:t xml:space="preserve">retain distinct </w:t>
      </w:r>
      <w:r w:rsidR="00476976" w:rsidRPr="006D0CDA">
        <w:t xml:space="preserve">pricing zones – the </w:t>
      </w:r>
      <w:r w:rsidR="002E03AA" w:rsidRPr="006D0CDA">
        <w:t>w</w:t>
      </w:r>
      <w:r w:rsidR="008D41E2" w:rsidRPr="006D0CDA">
        <w:t xml:space="preserve">estern </w:t>
      </w:r>
      <w:r w:rsidR="00053980">
        <w:t>region</w:t>
      </w:r>
      <w:r w:rsidR="00053980" w:rsidRPr="006D0CDA">
        <w:t xml:space="preserve"> </w:t>
      </w:r>
      <w:r w:rsidR="00476976" w:rsidRPr="006D0CDA">
        <w:t xml:space="preserve">covering the former Western Water region and the central </w:t>
      </w:r>
      <w:r w:rsidR="00053980">
        <w:t xml:space="preserve">region </w:t>
      </w:r>
      <w:r w:rsidR="00476976" w:rsidRPr="006D0CDA">
        <w:t>covering the former City West Water region</w:t>
      </w:r>
      <w:r w:rsidR="00BC44E1" w:rsidRPr="006D0CDA">
        <w:t>, in the next regulatory period</w:t>
      </w:r>
      <w:r w:rsidR="00476976" w:rsidRPr="006D0CDA">
        <w:t xml:space="preserve">. </w:t>
      </w:r>
      <w:r w:rsidR="00374E9B" w:rsidRPr="006D0CDA">
        <w:t>S</w:t>
      </w:r>
      <w:r w:rsidR="00476976" w:rsidRPr="006D0CDA">
        <w:t xml:space="preserve">ome proposals </w:t>
      </w:r>
      <w:r w:rsidR="002D481D" w:rsidRPr="006D0CDA">
        <w:t>further the</w:t>
      </w:r>
      <w:r w:rsidR="00025A1A" w:rsidRPr="006D0CDA">
        <w:t xml:space="preserve"> harmonisation </w:t>
      </w:r>
      <w:r w:rsidR="002D481D" w:rsidRPr="006D0CDA">
        <w:t xml:space="preserve">of </w:t>
      </w:r>
      <w:r w:rsidR="00BC44E1" w:rsidRPr="006D0CDA">
        <w:t xml:space="preserve">its </w:t>
      </w:r>
      <w:r w:rsidR="002D481D" w:rsidRPr="006D0CDA">
        <w:t xml:space="preserve">tariffs in the </w:t>
      </w:r>
      <w:r w:rsidR="00BC44E1" w:rsidRPr="006D0CDA">
        <w:t>next</w:t>
      </w:r>
      <w:r w:rsidR="002D481D" w:rsidRPr="006D0CDA">
        <w:t xml:space="preserve"> </w:t>
      </w:r>
      <w:r w:rsidR="00756BCE">
        <w:t>four-year</w:t>
      </w:r>
      <w:r w:rsidR="00F00CCE">
        <w:t xml:space="preserve"> </w:t>
      </w:r>
      <w:r w:rsidR="002D481D" w:rsidRPr="006D0CDA">
        <w:t>regulatory period</w:t>
      </w:r>
      <w:r w:rsidR="00374E9B" w:rsidRPr="006D0CDA">
        <w:t xml:space="preserve">, </w:t>
      </w:r>
      <w:r w:rsidR="00A40A2E">
        <w:t>supporting</w:t>
      </w:r>
      <w:r w:rsidR="00BB0250" w:rsidRPr="006D0CDA">
        <w:t xml:space="preserve"> </w:t>
      </w:r>
      <w:r w:rsidR="00876D1D">
        <w:t>a</w:t>
      </w:r>
      <w:r w:rsidR="00BB0250" w:rsidRPr="006D0CDA">
        <w:t xml:space="preserve"> </w:t>
      </w:r>
      <w:r w:rsidR="00374E9B" w:rsidRPr="006D0CDA">
        <w:t xml:space="preserve">transition to similar prices for similar services across </w:t>
      </w:r>
      <w:r w:rsidR="003C7869">
        <w:t xml:space="preserve">its </w:t>
      </w:r>
      <w:r w:rsidR="00053980">
        <w:t xml:space="preserve">entire </w:t>
      </w:r>
      <w:r w:rsidR="003C7869">
        <w:t>region</w:t>
      </w:r>
      <w:r w:rsidR="00BB0250" w:rsidRPr="006D0CDA">
        <w:t xml:space="preserve"> </w:t>
      </w:r>
      <w:r w:rsidR="00374E9B" w:rsidRPr="006D0CDA">
        <w:t>over the next eight years</w:t>
      </w:r>
      <w:r w:rsidR="00087653" w:rsidRPr="006D0CDA">
        <w:t xml:space="preserve">. </w:t>
      </w:r>
    </w:p>
    <w:p w14:paraId="26308829" w14:textId="7AD6E988" w:rsidR="008D54F9" w:rsidRDefault="00235183" w:rsidP="001F1E38">
      <w:r w:rsidRPr="006D0CDA">
        <w:t xml:space="preserve">For residential customers receiving both water and sewerage services in its central </w:t>
      </w:r>
      <w:r w:rsidR="00F82F6F">
        <w:t>region</w:t>
      </w:r>
      <w:r w:rsidRPr="006D0CDA">
        <w:t>, Great</w:t>
      </w:r>
      <w:r w:rsidR="00A94551">
        <w:t>er</w:t>
      </w:r>
      <w:r w:rsidRPr="006D0CDA">
        <w:t xml:space="preserve"> Western Water proposed to combine its residential sewage disposal charge and its residential variable water charge. </w:t>
      </w:r>
      <w:r w:rsidR="00E5177A">
        <w:t>This means b</w:t>
      </w:r>
      <w:r w:rsidR="00B507C0" w:rsidRPr="006D0CDA">
        <w:t xml:space="preserve">oth </w:t>
      </w:r>
      <w:r w:rsidR="00F82F6F">
        <w:t>regions</w:t>
      </w:r>
      <w:r w:rsidR="00F82F6F" w:rsidRPr="006D0CDA">
        <w:t xml:space="preserve"> </w:t>
      </w:r>
      <w:r w:rsidR="00B507C0" w:rsidRPr="006D0CDA">
        <w:t>will have only a fixed sewerage charge</w:t>
      </w:r>
      <w:r w:rsidR="00E5177A">
        <w:t>, supporting consistency</w:t>
      </w:r>
      <w:r w:rsidR="00B507C0" w:rsidRPr="006D0CDA">
        <w:t xml:space="preserve">. </w:t>
      </w:r>
      <w:r w:rsidR="00133277" w:rsidRPr="006D0CDA">
        <w:t xml:space="preserve">This is </w:t>
      </w:r>
      <w:r w:rsidRPr="006D0CDA">
        <w:t>support</w:t>
      </w:r>
      <w:r w:rsidR="00133277" w:rsidRPr="006D0CDA">
        <w:t>ed</w:t>
      </w:r>
      <w:r w:rsidRPr="006D0CDA">
        <w:t xml:space="preserve"> </w:t>
      </w:r>
      <w:r w:rsidR="00133277" w:rsidRPr="006D0CDA">
        <w:t>by</w:t>
      </w:r>
      <w:r w:rsidRPr="006D0CDA">
        <w:t xml:space="preserve"> customers </w:t>
      </w:r>
      <w:r w:rsidR="00C80E3D" w:rsidRPr="006D0CDA">
        <w:t xml:space="preserve">who sought </w:t>
      </w:r>
      <w:r w:rsidRPr="006D0CDA">
        <w:t xml:space="preserve">simpler tariffs and </w:t>
      </w:r>
      <w:r w:rsidR="003E7882" w:rsidRPr="006D0CDA">
        <w:t xml:space="preserve">it </w:t>
      </w:r>
      <w:r w:rsidRPr="006D0CDA">
        <w:t xml:space="preserve">will </w:t>
      </w:r>
      <w:r w:rsidR="00C80E3D" w:rsidRPr="006D0CDA">
        <w:t xml:space="preserve">send customers </w:t>
      </w:r>
      <w:r w:rsidR="00B66F4E" w:rsidRPr="006D0CDA">
        <w:t>signals about the efficient cost of the service</w:t>
      </w:r>
      <w:r w:rsidR="00190F50" w:rsidRPr="006D0CDA">
        <w:t xml:space="preserve">. </w:t>
      </w:r>
    </w:p>
    <w:p w14:paraId="789B6B3E" w14:textId="4A99A8E5" w:rsidR="001F1E38" w:rsidRDefault="00235183" w:rsidP="001F1E38">
      <w:r w:rsidRPr="003B0A15">
        <w:t xml:space="preserve">For </w:t>
      </w:r>
      <w:r w:rsidR="00172BF3" w:rsidRPr="003B0A15">
        <w:t xml:space="preserve">its </w:t>
      </w:r>
      <w:r w:rsidRPr="003B0A15">
        <w:t xml:space="preserve">western </w:t>
      </w:r>
      <w:r w:rsidR="00F82F6F">
        <w:t>region</w:t>
      </w:r>
      <w:r w:rsidRPr="003B0A15">
        <w:t xml:space="preserve">, </w:t>
      </w:r>
      <w:r w:rsidR="006967F7" w:rsidRPr="003B0A15">
        <w:t>Greater Western</w:t>
      </w:r>
      <w:r w:rsidR="00354E0C" w:rsidRPr="003B0A15">
        <w:t xml:space="preserve"> Water</w:t>
      </w:r>
      <w:r w:rsidRPr="003B0A15">
        <w:t xml:space="preserve"> proposed to remove the </w:t>
      </w:r>
      <w:r w:rsidR="00A05A50" w:rsidRPr="003B0A15">
        <w:t>th</w:t>
      </w:r>
      <w:r w:rsidR="00EA7BD2" w:rsidRPr="003B0A15">
        <w:t xml:space="preserve">ird </w:t>
      </w:r>
      <w:r w:rsidRPr="003B0A15">
        <w:t xml:space="preserve">tier </w:t>
      </w:r>
      <w:r w:rsidR="00EA7BD2" w:rsidRPr="003B0A15">
        <w:t xml:space="preserve">of its volumetric water </w:t>
      </w:r>
      <w:r w:rsidR="00D94547" w:rsidRPr="003B0A15">
        <w:t xml:space="preserve">usage </w:t>
      </w:r>
      <w:r w:rsidR="00EA7BD2" w:rsidRPr="003B0A15">
        <w:t>tariff for potable water customers</w:t>
      </w:r>
      <w:r w:rsidRPr="003B0A15">
        <w:t>.</w:t>
      </w:r>
      <w:r w:rsidR="0053518C" w:rsidRPr="003B0A15">
        <w:t xml:space="preserve"> This </w:t>
      </w:r>
      <w:r w:rsidR="00BA1C4E">
        <w:t xml:space="preserve">also </w:t>
      </w:r>
      <w:r w:rsidR="0053518C" w:rsidRPr="003B0A15">
        <w:t xml:space="preserve">aligns the approach across its western and central </w:t>
      </w:r>
      <w:r w:rsidR="00F82F6F">
        <w:t>regions</w:t>
      </w:r>
      <w:r w:rsidR="0053518C" w:rsidRPr="003B0A15">
        <w:t>.</w:t>
      </w:r>
      <w:r w:rsidR="001F1E38">
        <w:t xml:space="preserve"> </w:t>
      </w:r>
    </w:p>
    <w:p w14:paraId="57AB58CD" w14:textId="1FF3A540" w:rsidR="00235183" w:rsidRDefault="00235183" w:rsidP="00235183">
      <w:r w:rsidRPr="00E64572">
        <w:t xml:space="preserve">For non-residential customers, </w:t>
      </w:r>
      <w:r w:rsidR="00936857" w:rsidRPr="00E64572">
        <w:t>it proposed</w:t>
      </w:r>
      <w:r w:rsidRPr="00E64572">
        <w:t xml:space="preserve"> unchanged tariff structure</w:t>
      </w:r>
      <w:r w:rsidR="00936857" w:rsidRPr="00E64572">
        <w:t>s</w:t>
      </w:r>
      <w:r w:rsidRPr="00E64572">
        <w:t xml:space="preserve"> for both water and sewerage</w:t>
      </w:r>
      <w:r w:rsidR="00936857" w:rsidRPr="00E64572">
        <w:t xml:space="preserve"> services</w:t>
      </w:r>
      <w:r w:rsidRPr="00E64572">
        <w:t>.</w:t>
      </w:r>
      <w:r>
        <w:t xml:space="preserve"> </w:t>
      </w:r>
    </w:p>
    <w:p w14:paraId="6B77DDD1" w14:textId="5BF9F1FF" w:rsidR="002A67B6" w:rsidRPr="00E64572" w:rsidRDefault="00235183" w:rsidP="00235183">
      <w:r w:rsidRPr="00A65B59">
        <w:t>Our draft decision is to approve Greater Western Water’s proposed tariff structures, on the basis that they are a continuation of Greater Western Water’s current approach</w:t>
      </w:r>
      <w:r w:rsidR="000C786D" w:rsidRPr="00A65B59">
        <w:t>,</w:t>
      </w:r>
      <w:r w:rsidRPr="00A65B59">
        <w:t xml:space="preserve"> and </w:t>
      </w:r>
      <w:r w:rsidR="00153DC5" w:rsidRPr="00A65B59">
        <w:t xml:space="preserve">the </w:t>
      </w:r>
      <w:r w:rsidR="001172BE" w:rsidRPr="00A65B59">
        <w:t xml:space="preserve">proposed </w:t>
      </w:r>
      <w:r w:rsidR="00153DC5" w:rsidRPr="00A65B59">
        <w:t>tariff re</w:t>
      </w:r>
      <w:r w:rsidR="001172BE" w:rsidRPr="00A65B59">
        <w:t>fo</w:t>
      </w:r>
      <w:r w:rsidR="00153DC5" w:rsidRPr="00A65B59">
        <w:t>rms</w:t>
      </w:r>
      <w:r w:rsidRPr="00A65B59">
        <w:t xml:space="preserve"> meet the criteria in our guidance. Our review of Greater Western Water’s proposed tariff structures is set out in Section 5.3.1</w:t>
      </w:r>
      <w:r w:rsidR="000D0B2F" w:rsidRPr="00A65B59">
        <w:t>.</w:t>
      </w:r>
    </w:p>
    <w:p w14:paraId="4124A84A" w14:textId="19003F61" w:rsidR="003A2968" w:rsidRPr="00B41153" w:rsidRDefault="003A2968" w:rsidP="00121301">
      <w:pPr>
        <w:pStyle w:val="Heading2"/>
      </w:pPr>
      <w:bookmarkStart w:id="34" w:name="_Toc161400964"/>
      <w:r w:rsidRPr="00B41153">
        <w:t xml:space="preserve">Our draft decision rates </w:t>
      </w:r>
      <w:r w:rsidR="00AA1D9F" w:rsidRPr="00B41153">
        <w:t>Greater Western Water</w:t>
      </w:r>
      <w:r w:rsidRPr="00B41153">
        <w:t>’s price submission as ‘</w:t>
      </w:r>
      <w:r w:rsidR="00F77B44" w:rsidRPr="00B41153">
        <w:t>Standard</w:t>
      </w:r>
      <w:r w:rsidRPr="00B41153">
        <w:t xml:space="preserve">’ under </w:t>
      </w:r>
      <w:r w:rsidR="00D8616F" w:rsidRPr="00B41153">
        <w:t xml:space="preserve">the </w:t>
      </w:r>
      <w:r w:rsidRPr="00B41153">
        <w:t>PREMO</w:t>
      </w:r>
      <w:bookmarkEnd w:id="30"/>
      <w:r w:rsidR="00C32587" w:rsidRPr="00B41153">
        <w:t xml:space="preserve"> </w:t>
      </w:r>
      <w:r w:rsidR="00D8616F" w:rsidRPr="00B41153">
        <w:t>framework</w:t>
      </w:r>
      <w:bookmarkEnd w:id="31"/>
      <w:bookmarkEnd w:id="32"/>
      <w:bookmarkEnd w:id="33"/>
      <w:bookmarkEnd w:id="34"/>
    </w:p>
    <w:p w14:paraId="3658EDEF" w14:textId="6827F80C" w:rsidR="003A2968" w:rsidRDefault="003A2968" w:rsidP="003A2968">
      <w:r w:rsidRPr="00B41153">
        <w:t xml:space="preserve">Our draft decision is to rate </w:t>
      </w:r>
      <w:r w:rsidR="00AA1D9F" w:rsidRPr="00B41153">
        <w:t>Greater Western Water</w:t>
      </w:r>
      <w:r w:rsidRPr="00B41153">
        <w:t xml:space="preserve">’s price submission as </w:t>
      </w:r>
      <w:r w:rsidR="002C0094" w:rsidRPr="00B41153">
        <w:t>‘</w:t>
      </w:r>
      <w:r w:rsidR="00F77B44" w:rsidRPr="00B41153">
        <w:t>Standard</w:t>
      </w:r>
      <w:r w:rsidR="002C0094" w:rsidRPr="00B41153">
        <w:t>’</w:t>
      </w:r>
      <w:r w:rsidRPr="00B41153">
        <w:t xml:space="preserve"> under </w:t>
      </w:r>
      <w:r w:rsidR="00095403" w:rsidRPr="00B41153">
        <w:t xml:space="preserve">the </w:t>
      </w:r>
      <w:r w:rsidRPr="00B41153">
        <w:t>PREMO</w:t>
      </w:r>
      <w:r w:rsidR="00095403" w:rsidRPr="00B41153">
        <w:t xml:space="preserve"> fra</w:t>
      </w:r>
      <w:r w:rsidR="00095403" w:rsidRPr="00C53215">
        <w:t>mework</w:t>
      </w:r>
      <w:r w:rsidR="007A0DFB" w:rsidRPr="00C53215">
        <w:t xml:space="preserve"> (Table B)</w:t>
      </w:r>
      <w:r w:rsidRPr="00C53215">
        <w:t>. Th</w:t>
      </w:r>
      <w:r w:rsidR="00095403" w:rsidRPr="00C53215">
        <w:t>is</w:t>
      </w:r>
      <w:r w:rsidRPr="00C53215">
        <w:t xml:space="preserve"> is the same as the business’s self</w:t>
      </w:r>
      <w:r w:rsidR="000D6B4B" w:rsidRPr="00C53215">
        <w:noBreakHyphen/>
      </w:r>
      <w:r w:rsidRPr="00C53215">
        <w:t>rating of its price submission.</w:t>
      </w:r>
      <w:r>
        <w:t xml:space="preserve"> </w:t>
      </w:r>
    </w:p>
    <w:p w14:paraId="738A1DC2" w14:textId="2E2BE009" w:rsidR="005D230D" w:rsidRDefault="005D230D" w:rsidP="003A2968">
      <w:r>
        <w:t>Key factors supporting this PREMO rating include:</w:t>
      </w:r>
    </w:p>
    <w:p w14:paraId="225D2F62" w14:textId="0484755A" w:rsidR="00F61EC7" w:rsidRPr="00686F99" w:rsidRDefault="00F61EC7" w:rsidP="00ED1290">
      <w:pPr>
        <w:pStyle w:val="ListBullet"/>
      </w:pPr>
      <w:r w:rsidRPr="00686F99">
        <w:t>despite a substantial program to integrate its antecedent businesses, Greater Western Water generally met its outcome commitments in the current regulatory period</w:t>
      </w:r>
      <w:r w:rsidR="00740953" w:rsidRPr="00686F99">
        <w:t xml:space="preserve">, while </w:t>
      </w:r>
      <w:r w:rsidR="00C53215" w:rsidRPr="00686F99">
        <w:t xml:space="preserve">also </w:t>
      </w:r>
      <w:r w:rsidR="00740953" w:rsidRPr="00686F99">
        <w:t xml:space="preserve">charging lower </w:t>
      </w:r>
      <w:r w:rsidR="00C53215" w:rsidRPr="00686F99">
        <w:t>than the m</w:t>
      </w:r>
      <w:r w:rsidR="00740953" w:rsidRPr="00686F99">
        <w:t xml:space="preserve">aximum </w:t>
      </w:r>
      <w:r w:rsidR="00C53215" w:rsidRPr="00686F99">
        <w:t>prices allowed</w:t>
      </w:r>
      <w:r w:rsidR="00740953" w:rsidRPr="00686F99">
        <w:t xml:space="preserve"> </w:t>
      </w:r>
      <w:r w:rsidR="00C53215" w:rsidRPr="00686F99">
        <w:t xml:space="preserve">under prevailing price </w:t>
      </w:r>
      <w:proofErr w:type="gramStart"/>
      <w:r w:rsidR="00C53215" w:rsidRPr="00686F99">
        <w:t>determinations</w:t>
      </w:r>
      <w:proofErr w:type="gramEnd"/>
    </w:p>
    <w:p w14:paraId="782FC012" w14:textId="663578B1" w:rsidR="00717A0F" w:rsidRPr="006317C7" w:rsidRDefault="00FF41B7" w:rsidP="00ED1290">
      <w:pPr>
        <w:pStyle w:val="ListBullet"/>
      </w:pPr>
      <w:r w:rsidRPr="00C53215">
        <w:t xml:space="preserve">the quality of its engagement program, </w:t>
      </w:r>
      <w:r w:rsidR="00B22151" w:rsidRPr="00C53215">
        <w:t xml:space="preserve">which </w:t>
      </w:r>
      <w:r w:rsidR="00B22151" w:rsidRPr="006317C7">
        <w:t xml:space="preserve">we consider </w:t>
      </w:r>
      <w:r w:rsidR="00717A0F" w:rsidRPr="006317C7">
        <w:t xml:space="preserve">provided </w:t>
      </w:r>
      <w:r w:rsidR="00BD570C" w:rsidRPr="006317C7">
        <w:t>an extensive</w:t>
      </w:r>
      <w:r w:rsidR="00717A0F" w:rsidRPr="006317C7">
        <w:t xml:space="preserve"> opportunity for customers to participate, including </w:t>
      </w:r>
      <w:proofErr w:type="gramStart"/>
      <w:r w:rsidR="00717A0F" w:rsidRPr="006317C7">
        <w:t>low income</w:t>
      </w:r>
      <w:proofErr w:type="gramEnd"/>
      <w:r w:rsidR="00717A0F" w:rsidRPr="006317C7">
        <w:t xml:space="preserve"> </w:t>
      </w:r>
      <w:r w:rsidR="004606A6" w:rsidRPr="006317C7">
        <w:t xml:space="preserve">customers and </w:t>
      </w:r>
      <w:r w:rsidR="00F05DAC" w:rsidRPr="006317C7">
        <w:t>customers</w:t>
      </w:r>
      <w:r w:rsidR="004606A6" w:rsidRPr="006317C7">
        <w:t xml:space="preserve"> experiencing</w:t>
      </w:r>
      <w:r w:rsidR="002D5756" w:rsidRPr="006317C7">
        <w:t xml:space="preserve"> vulnerability</w:t>
      </w:r>
    </w:p>
    <w:p w14:paraId="0FB7B558" w14:textId="6723D8DE" w:rsidR="0020747B" w:rsidRPr="008F6E8A" w:rsidRDefault="00F748D5" w:rsidP="00ED1290">
      <w:pPr>
        <w:pStyle w:val="ListBullet"/>
      </w:pPr>
      <w:r w:rsidRPr="00C53215">
        <w:lastRenderedPageBreak/>
        <w:t xml:space="preserve">the ability for </w:t>
      </w:r>
      <w:r w:rsidR="0020747B" w:rsidRPr="00C53215">
        <w:t xml:space="preserve">customers to influence its proposals, </w:t>
      </w:r>
      <w:r w:rsidRPr="00C53215">
        <w:t xml:space="preserve">evidenced by feedback from its community </w:t>
      </w:r>
      <w:r w:rsidRPr="008F6E8A">
        <w:t>panel members who commented favourably on the alignment between their recommendations and the business’s proposals</w:t>
      </w:r>
      <w:r w:rsidR="0020747B" w:rsidRPr="008F6E8A">
        <w:t xml:space="preserve">, and </w:t>
      </w:r>
      <w:r w:rsidRPr="008F6E8A">
        <w:t xml:space="preserve">endorsement </w:t>
      </w:r>
      <w:r w:rsidR="0020747B" w:rsidRPr="008F6E8A">
        <w:t xml:space="preserve">from other engagement </w:t>
      </w:r>
      <w:proofErr w:type="gramStart"/>
      <w:r w:rsidR="0020747B" w:rsidRPr="008F6E8A">
        <w:t>participants</w:t>
      </w:r>
      <w:proofErr w:type="gramEnd"/>
    </w:p>
    <w:p w14:paraId="2E20873F" w14:textId="7B5797AF" w:rsidR="00D01966" w:rsidRPr="008F6E8A" w:rsidRDefault="00D01966" w:rsidP="00ED1290">
      <w:pPr>
        <w:pStyle w:val="ListBullet"/>
      </w:pPr>
      <w:r w:rsidRPr="008F6E8A">
        <w:t xml:space="preserve">its </w:t>
      </w:r>
      <w:r w:rsidR="00CA43FD" w:rsidRPr="008F6E8A">
        <w:t xml:space="preserve">proposal to exclude </w:t>
      </w:r>
      <w:r w:rsidRPr="008F6E8A">
        <w:t xml:space="preserve">capital expenditure of about $173 million from customer prices due to uncertainty in timing, cost, scope and benefits of associated projects, thereby helping to ensure customers do not pay for projects that do not ultimately proceed or that change in </w:t>
      </w:r>
      <w:proofErr w:type="gramStart"/>
      <w:r w:rsidRPr="008F6E8A">
        <w:t>scope</w:t>
      </w:r>
      <w:proofErr w:type="gramEnd"/>
    </w:p>
    <w:p w14:paraId="45086A73" w14:textId="744F1F0B" w:rsidR="007206F3" w:rsidRDefault="00CA43FD" w:rsidP="00ED1290">
      <w:pPr>
        <w:pStyle w:val="ListBullet"/>
      </w:pPr>
      <w:bookmarkStart w:id="35" w:name="_Hlk117170073"/>
      <w:r w:rsidRPr="008F6E8A">
        <w:t>a</w:t>
      </w:r>
      <w:r w:rsidR="00D01966" w:rsidRPr="008F6E8A">
        <w:t xml:space="preserve"> new guaranteed service level scheme that </w:t>
      </w:r>
      <w:proofErr w:type="gramStart"/>
      <w:r w:rsidR="00D01966" w:rsidRPr="008F6E8A">
        <w:t>better</w:t>
      </w:r>
      <w:proofErr w:type="gramEnd"/>
      <w:r w:rsidR="00D01966" w:rsidRPr="008F6E8A">
        <w:t xml:space="preserve"> balances risk between customers and the business</w:t>
      </w:r>
    </w:p>
    <w:p w14:paraId="1C6F6596" w14:textId="1FBAC2E0" w:rsidR="008F5290" w:rsidRPr="008F6E8A" w:rsidRDefault="008F5290" w:rsidP="00ED1290">
      <w:pPr>
        <w:pStyle w:val="ListBullet"/>
      </w:pPr>
      <w:r w:rsidRPr="008F6E8A">
        <w:t xml:space="preserve">evidence that demonstrates </w:t>
      </w:r>
      <w:r w:rsidR="0092151A" w:rsidRPr="008F6E8A">
        <w:t>Greater Western Water’s</w:t>
      </w:r>
      <w:r w:rsidRPr="008F6E8A">
        <w:t xml:space="preserve"> outcome measures and targets were developed in consultation with its customers, and that they are supported by customers. </w:t>
      </w:r>
    </w:p>
    <w:p w14:paraId="4B82DCE8" w14:textId="31A332E9" w:rsidR="00267840" w:rsidRDefault="0092151A" w:rsidP="0092151A">
      <w:r w:rsidRPr="008F6E8A">
        <w:t xml:space="preserve">While </w:t>
      </w:r>
      <w:r w:rsidR="005B3DAF" w:rsidRPr="008F6E8A">
        <w:t xml:space="preserve">our </w:t>
      </w:r>
      <w:r w:rsidR="00614F40" w:rsidRPr="008F6E8A">
        <w:t xml:space="preserve">draft decision agrees </w:t>
      </w:r>
      <w:r w:rsidRPr="008F6E8A">
        <w:t xml:space="preserve">with Greater Western Water’s proposed self-rating for the Performance, Risk, Engagement and Outcomes elements of PREMO, our preliminary view is that </w:t>
      </w:r>
      <w:r w:rsidR="000A5578" w:rsidRPr="008F6E8A">
        <w:t xml:space="preserve">the </w:t>
      </w:r>
      <w:r w:rsidRPr="008F6E8A">
        <w:t xml:space="preserve">Management </w:t>
      </w:r>
      <w:r w:rsidR="000A5578" w:rsidRPr="008F6E8A">
        <w:t>element</w:t>
      </w:r>
      <w:r w:rsidRPr="008F6E8A">
        <w:t xml:space="preserve"> should be rated as ‘Basic’ rather than the ‘Standard’ proposed by the business.</w:t>
      </w:r>
    </w:p>
    <w:p w14:paraId="7A69D3DA" w14:textId="72AD733C" w:rsidR="005B3DAF" w:rsidRPr="008F6E8A" w:rsidRDefault="00957268" w:rsidP="005B3DAF">
      <w:r w:rsidRPr="008F6E8A">
        <w:t xml:space="preserve">Some factors support its proposed Management rating. </w:t>
      </w:r>
      <w:r w:rsidR="00B05336" w:rsidRPr="008F6E8A">
        <w:t>For example, w</w:t>
      </w:r>
      <w:r w:rsidR="005B3DAF" w:rsidRPr="008F6E8A">
        <w:t xml:space="preserve">e consider Greater Western Water’s price submission was generally well presented, and clearly linked the outcomes of its engagement to planned outcomes and expenditure. Its financial model contained no substantive errors and was consistent with its written submission. </w:t>
      </w:r>
    </w:p>
    <w:p w14:paraId="5615A02B" w14:textId="54E1D0A5" w:rsidR="008F0CE0" w:rsidRPr="00F22E06" w:rsidRDefault="00A61B17" w:rsidP="005B3DAF">
      <w:r w:rsidRPr="00F22E06">
        <w:t>However, a key requirement for a ‘Standard’ rating for the Management element of PREMO is that proposed expenditure changes can be clearly justified by the business</w:t>
      </w:r>
      <w:r w:rsidR="00E921CE" w:rsidRPr="00F22E06">
        <w:t xml:space="preserve"> </w:t>
      </w:r>
      <w:r w:rsidR="008D30DE" w:rsidRPr="00F22E06">
        <w:t>as prudent and efficient expenditure</w:t>
      </w:r>
      <w:r w:rsidRPr="00F22E06">
        <w:t xml:space="preserve">. </w:t>
      </w:r>
    </w:p>
    <w:p w14:paraId="665BC84C" w14:textId="1AF89CD7" w:rsidR="008F0CE0" w:rsidRDefault="00A61B17" w:rsidP="005B3DAF">
      <w:r w:rsidRPr="00F22E06">
        <w:t>Consistent with our draft decision on its forecast operating and capital expenditure, our preliminary view is that Greater Western Water was unable to sufficiently justify elements of its forecasts for prudent and efficient expenditure, as required by our guidance.</w:t>
      </w:r>
      <w:r>
        <w:t xml:space="preserve"> </w:t>
      </w:r>
    </w:p>
    <w:p w14:paraId="0892ABA3" w14:textId="315D10B1" w:rsidR="00E25F73" w:rsidRDefault="00A61B17" w:rsidP="00E25F73">
      <w:pPr>
        <w:sectPr w:rsidR="00E25F73" w:rsidSect="00736B75">
          <w:footerReference w:type="default" r:id="rId26"/>
          <w:type w:val="continuous"/>
          <w:pgSz w:w="11906" w:h="16838" w:code="9"/>
          <w:pgMar w:top="1134" w:right="1134" w:bottom="1134" w:left="1134" w:header="709" w:footer="692" w:gutter="0"/>
          <w:pgNumType w:fmt="lowerRoman"/>
          <w:cols w:space="708"/>
          <w:docGrid w:linePitch="360"/>
        </w:sectPr>
      </w:pPr>
      <w:r>
        <w:t>The</w:t>
      </w:r>
      <w:r w:rsidR="00654CAA">
        <w:t xml:space="preserve"> resulting</w:t>
      </w:r>
      <w:r>
        <w:t xml:space="preserve"> </w:t>
      </w:r>
      <w:r w:rsidR="004961D4">
        <w:t xml:space="preserve">controllable operating expenditure and capital expenditure </w:t>
      </w:r>
      <w:r>
        <w:t xml:space="preserve">adjustments that we propose for our draft decision are also large compared with other water businesses at recent price reviews. </w:t>
      </w:r>
      <w:r w:rsidR="00A919C9">
        <w:t>More detail is available in Chapter</w:t>
      </w:r>
      <w:r w:rsidR="008D30DE">
        <w:t> </w:t>
      </w:r>
      <w:r w:rsidR="00A919C9">
        <w:t>7.</w:t>
      </w:r>
    </w:p>
    <w:p w14:paraId="7DCF31E6" w14:textId="1ABDC1A1" w:rsidR="00E25F73" w:rsidRDefault="0078738D" w:rsidP="00DE0750">
      <w:pPr>
        <w:spacing w:before="360"/>
        <w:ind w:left="1276" w:right="284"/>
      </w:pPr>
      <w:r>
        <w:rPr>
          <w:noProof/>
        </w:rPr>
        <mc:AlternateContent>
          <mc:Choice Requires="wpc">
            <w:drawing>
              <wp:anchor distT="0" distB="0" distL="114300" distR="114300" simplePos="0" relativeHeight="251658240" behindDoc="1" locked="0" layoutInCell="1" allowOverlap="1" wp14:anchorId="5706201D" wp14:editId="7CB9FB60">
                <wp:simplePos x="0" y="0"/>
                <wp:positionH relativeFrom="margin">
                  <wp:align>left</wp:align>
                </wp:positionH>
                <wp:positionV relativeFrom="paragraph">
                  <wp:posOffset>-3810</wp:posOffset>
                </wp:positionV>
                <wp:extent cx="6113780" cy="685800"/>
                <wp:effectExtent l="0" t="0" r="20320" b="19050"/>
                <wp:wrapNone/>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2">
                            <a:lumMod val="40000"/>
                            <a:lumOff val="60000"/>
                          </a:schemeClr>
                        </a:solidFill>
                      </wpc:bg>
                      <wpc:whole>
                        <a:ln w="6350">
                          <a:solidFill>
                            <a:schemeClr val="tx1">
                              <a:lumMod val="65000"/>
                              <a:lumOff val="35000"/>
                            </a:schemeClr>
                          </a:solidFill>
                        </a:ln>
                      </wpc:whole>
                    </wpc:wpc>
                  </a:graphicData>
                </a:graphic>
                <wp14:sizeRelH relativeFrom="margin">
                  <wp14:pctWidth>0</wp14:pctWidth>
                </wp14:sizeRelH>
                <wp14:sizeRelV relativeFrom="margin">
                  <wp14:pctHeight>0</wp14:pctHeight>
                </wp14:sizeRelV>
              </wp:anchor>
            </w:drawing>
          </mc:Choice>
          <mc:Fallback>
            <w:pict>
              <v:group w14:anchorId="7E8E75FC" id="Canvas 12" o:spid="_x0000_s1026" editas="canvas" style="position:absolute;margin-left:0;margin-top:-.3pt;width:481.4pt;height:54pt;z-index:-251658240;mso-position-horizontal:left;mso-position-horizontal-relative:margin;mso-width-relative:margin;mso-height-relative:margin" coordsize="6113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">
                <v:shape id="_x0000_s1027" type="#_x0000_t75" style="position:absolute;width:61137;height:6858;visibility:visible;mso-wrap-style:square" filled="t" fillcolor="#c7c8ca [1310]" stroked="t" strokecolor="#5a5a5a [2109]" strokeweight=".5pt">
                  <v:fill o:detectmouseclick="t"/>
                  <v:path o:connecttype="none"/>
                </v:shape>
                <w10:wrap anchorx="margin"/>
              </v:group>
            </w:pict>
          </mc:Fallback>
        </mc:AlternateContent>
      </w:r>
      <w:r w:rsidR="00E25F73">
        <w:rPr>
          <w:noProof/>
        </w:rPr>
        <w:drawing>
          <wp:anchor distT="0" distB="0" distL="114300" distR="114300" simplePos="0" relativeHeight="251658241" behindDoc="0" locked="0" layoutInCell="1" allowOverlap="1" wp14:anchorId="38B98D17" wp14:editId="7B529C7D">
            <wp:simplePos x="0" y="0"/>
            <wp:positionH relativeFrom="column">
              <wp:posOffset>60325</wp:posOffset>
            </wp:positionH>
            <wp:positionV relativeFrom="paragraph">
              <wp:posOffset>30480</wp:posOffset>
            </wp:positionV>
            <wp:extent cx="638175" cy="638175"/>
            <wp:effectExtent l="0" t="0" r="0" b="0"/>
            <wp:wrapSquare wrapText="bothSides"/>
            <wp:docPr id="19" name="Graphic 19"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omment Important outlin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r w:rsidR="00D205DA" w:rsidRPr="00D205DA">
        <w:t>Our PREMO rating is an assessment of the water business’s price submission. It is not an assessment of the water business itself</w:t>
      </w:r>
      <w:r w:rsidR="00E25F73" w:rsidRPr="006B7693">
        <w:t>.</w:t>
      </w:r>
    </w:p>
    <w:p w14:paraId="77FB8E65" w14:textId="49B706C6" w:rsidR="00E25F73" w:rsidRDefault="005A74FC" w:rsidP="0001506F">
      <w:pPr>
        <w:pStyle w:val="Figure-Table-BoxHeading"/>
        <w:keepNext/>
        <w:keepLines/>
        <w:spacing w:before="360" w:line="288" w:lineRule="auto"/>
        <w:ind w:left="0" w:firstLine="0"/>
      </w:pPr>
      <w:r>
        <w:lastRenderedPageBreak/>
        <w:t xml:space="preserve">Table </w:t>
      </w:r>
      <w:r w:rsidR="004B2550">
        <w:t>B</w:t>
      </w:r>
      <w:r w:rsidR="001C7AB5">
        <w:tab/>
        <w:t>PREMO rating</w:t>
      </w:r>
    </w:p>
    <w:bookmarkEnd w:id="35"/>
    <w:tbl>
      <w:tblPr>
        <w:tblStyle w:val="TableGrid"/>
        <w:tblW w:w="0" w:type="auto"/>
        <w:tblLook w:val="04A0" w:firstRow="1" w:lastRow="0" w:firstColumn="1" w:lastColumn="0" w:noHBand="0" w:noVBand="1"/>
      </w:tblPr>
      <w:tblGrid>
        <w:gridCol w:w="1524"/>
        <w:gridCol w:w="1233"/>
        <w:gridCol w:w="1488"/>
        <w:gridCol w:w="1119"/>
        <w:gridCol w:w="1463"/>
        <w:gridCol w:w="1487"/>
        <w:gridCol w:w="1324"/>
      </w:tblGrid>
      <w:tr w:rsidR="007F64DA" w14:paraId="6F1C10A7" w14:textId="77777777" w:rsidTr="007F64DA">
        <w:trPr>
          <w:cnfStyle w:val="100000000000" w:firstRow="1" w:lastRow="0" w:firstColumn="0" w:lastColumn="0" w:oddVBand="0" w:evenVBand="0" w:oddHBand="0" w:evenHBand="0" w:firstRowFirstColumn="0" w:firstRowLastColumn="0" w:lastRowFirstColumn="0" w:lastRowLastColumn="0"/>
        </w:trPr>
        <w:tc>
          <w:tcPr>
            <w:tcW w:w="1524" w:type="dxa"/>
          </w:tcPr>
          <w:p w14:paraId="599C4DF8" w14:textId="77777777" w:rsidR="00CA1F9E" w:rsidRDefault="00CA1F9E" w:rsidP="0001506F">
            <w:pPr>
              <w:pStyle w:val="TableHeading"/>
              <w:keepNext/>
              <w:keepLines/>
              <w:rPr>
                <w:highlight w:val="cyan"/>
              </w:rPr>
            </w:pPr>
          </w:p>
        </w:tc>
        <w:tc>
          <w:tcPr>
            <w:tcW w:w="1233" w:type="dxa"/>
          </w:tcPr>
          <w:p w14:paraId="5C680EEA" w14:textId="4889830B" w:rsidR="00CA1F9E" w:rsidRDefault="00CA1F9E" w:rsidP="006C1223">
            <w:pPr>
              <w:pStyle w:val="TableHeading"/>
              <w:keepNext/>
              <w:keepLines/>
              <w:jc w:val="center"/>
              <w:rPr>
                <w:highlight w:val="cyan"/>
              </w:rPr>
            </w:pPr>
            <w:r w:rsidRPr="00B542CE">
              <w:t>Overall PREMO rating</w:t>
            </w:r>
          </w:p>
        </w:tc>
        <w:tc>
          <w:tcPr>
            <w:tcW w:w="1488" w:type="dxa"/>
          </w:tcPr>
          <w:p w14:paraId="1F110F76" w14:textId="5E752931" w:rsidR="00CA1F9E" w:rsidRDefault="00CA1F9E" w:rsidP="006C1223">
            <w:pPr>
              <w:pStyle w:val="TableHeading"/>
              <w:keepNext/>
              <w:keepLines/>
              <w:jc w:val="center"/>
              <w:rPr>
                <w:highlight w:val="cyan"/>
              </w:rPr>
            </w:pPr>
            <w:r w:rsidRPr="00B542CE">
              <w:t>Performance</w:t>
            </w:r>
          </w:p>
        </w:tc>
        <w:tc>
          <w:tcPr>
            <w:tcW w:w="1119" w:type="dxa"/>
          </w:tcPr>
          <w:p w14:paraId="6C8ADD48" w14:textId="4FBA21BB" w:rsidR="00CA1F9E" w:rsidRDefault="00CA1F9E" w:rsidP="006C1223">
            <w:pPr>
              <w:pStyle w:val="TableHeading"/>
              <w:keepNext/>
              <w:keepLines/>
              <w:jc w:val="center"/>
              <w:rPr>
                <w:highlight w:val="cyan"/>
              </w:rPr>
            </w:pPr>
            <w:r w:rsidRPr="00B542CE">
              <w:t>Risk</w:t>
            </w:r>
          </w:p>
        </w:tc>
        <w:tc>
          <w:tcPr>
            <w:tcW w:w="1463" w:type="dxa"/>
          </w:tcPr>
          <w:p w14:paraId="265814EF" w14:textId="32ACD01C" w:rsidR="00CA1F9E" w:rsidRDefault="00CA1F9E" w:rsidP="006C1223">
            <w:pPr>
              <w:pStyle w:val="TableHeading"/>
              <w:keepNext/>
              <w:keepLines/>
              <w:jc w:val="center"/>
              <w:rPr>
                <w:highlight w:val="cyan"/>
              </w:rPr>
            </w:pPr>
            <w:r w:rsidRPr="00B542CE">
              <w:t>Engagement</w:t>
            </w:r>
          </w:p>
        </w:tc>
        <w:tc>
          <w:tcPr>
            <w:tcW w:w="1487" w:type="dxa"/>
          </w:tcPr>
          <w:p w14:paraId="1C27DF61" w14:textId="2AB89F76" w:rsidR="00CA1F9E" w:rsidRDefault="00CA1F9E" w:rsidP="006C1223">
            <w:pPr>
              <w:pStyle w:val="TableHeading"/>
              <w:keepNext/>
              <w:keepLines/>
              <w:jc w:val="center"/>
              <w:rPr>
                <w:highlight w:val="cyan"/>
              </w:rPr>
            </w:pPr>
            <w:r w:rsidRPr="00B542CE">
              <w:t>Management</w:t>
            </w:r>
          </w:p>
        </w:tc>
        <w:tc>
          <w:tcPr>
            <w:tcW w:w="1324" w:type="dxa"/>
          </w:tcPr>
          <w:p w14:paraId="40B15BD0" w14:textId="07CA2AD1" w:rsidR="00CA1F9E" w:rsidRDefault="00CA1F9E" w:rsidP="006C1223">
            <w:pPr>
              <w:pStyle w:val="TableHeading"/>
              <w:keepNext/>
              <w:keepLines/>
              <w:jc w:val="center"/>
              <w:rPr>
                <w:highlight w:val="cyan"/>
              </w:rPr>
            </w:pPr>
            <w:r w:rsidRPr="00B542CE">
              <w:t>Outcomes</w:t>
            </w:r>
          </w:p>
        </w:tc>
      </w:tr>
      <w:tr w:rsidR="007F64DA" w14:paraId="2A21F47E" w14:textId="77777777" w:rsidTr="007F64DA">
        <w:trPr>
          <w:cnfStyle w:val="000000100000" w:firstRow="0" w:lastRow="0" w:firstColumn="0" w:lastColumn="0" w:oddVBand="0" w:evenVBand="0" w:oddHBand="1" w:evenHBand="0" w:firstRowFirstColumn="0" w:firstRowLastColumn="0" w:lastRowFirstColumn="0" w:lastRowLastColumn="0"/>
        </w:trPr>
        <w:tc>
          <w:tcPr>
            <w:tcW w:w="1524" w:type="dxa"/>
          </w:tcPr>
          <w:p w14:paraId="22B7CB8F" w14:textId="36CB47C6" w:rsidR="00906A5E" w:rsidRPr="00F058BA" w:rsidRDefault="00AA1D9F" w:rsidP="0001506F">
            <w:pPr>
              <w:pStyle w:val="TableBody"/>
              <w:keepNext/>
              <w:keepLines/>
            </w:pPr>
            <w:r>
              <w:t>Greater Western Water</w:t>
            </w:r>
            <w:r w:rsidR="00906A5E" w:rsidRPr="0041664E">
              <w:t>’s self</w:t>
            </w:r>
            <w:r w:rsidR="000D6B4B">
              <w:noBreakHyphen/>
            </w:r>
            <w:r w:rsidR="00906A5E" w:rsidRPr="0041664E">
              <w:t>rating</w:t>
            </w:r>
          </w:p>
        </w:tc>
        <w:tc>
          <w:tcPr>
            <w:tcW w:w="1233" w:type="dxa"/>
          </w:tcPr>
          <w:p w14:paraId="0008EE37" w14:textId="2831DE29" w:rsidR="00906A5E" w:rsidRPr="00F058BA" w:rsidRDefault="00C13B35" w:rsidP="006C1223">
            <w:pPr>
              <w:pStyle w:val="TableBody"/>
              <w:keepNext/>
              <w:keepLines/>
              <w:jc w:val="center"/>
            </w:pPr>
            <w:r w:rsidRPr="00F058BA">
              <w:t>Standard</w:t>
            </w:r>
          </w:p>
        </w:tc>
        <w:tc>
          <w:tcPr>
            <w:tcW w:w="1488" w:type="dxa"/>
          </w:tcPr>
          <w:p w14:paraId="71A76F79" w14:textId="2C06EAA8" w:rsidR="00906A5E" w:rsidRPr="00F058BA" w:rsidRDefault="00C13B35" w:rsidP="006C1223">
            <w:pPr>
              <w:pStyle w:val="TableBody"/>
              <w:keepNext/>
              <w:keepLines/>
              <w:jc w:val="center"/>
            </w:pPr>
            <w:r w:rsidRPr="00F058BA">
              <w:t>Standard</w:t>
            </w:r>
          </w:p>
        </w:tc>
        <w:tc>
          <w:tcPr>
            <w:tcW w:w="1119" w:type="dxa"/>
          </w:tcPr>
          <w:p w14:paraId="3F6C5757" w14:textId="3F79C7A8" w:rsidR="00906A5E" w:rsidRPr="00F058BA" w:rsidRDefault="00C13B35" w:rsidP="006C1223">
            <w:pPr>
              <w:pStyle w:val="TableBody"/>
              <w:keepNext/>
              <w:keepLines/>
              <w:jc w:val="center"/>
            </w:pPr>
            <w:r w:rsidRPr="00F058BA">
              <w:t>Standard</w:t>
            </w:r>
          </w:p>
        </w:tc>
        <w:tc>
          <w:tcPr>
            <w:tcW w:w="1463" w:type="dxa"/>
          </w:tcPr>
          <w:p w14:paraId="3A5F78C0" w14:textId="4A79ADBF" w:rsidR="00906A5E" w:rsidRPr="00F058BA" w:rsidRDefault="00C13B35" w:rsidP="006C1223">
            <w:pPr>
              <w:pStyle w:val="TableBody"/>
              <w:keepNext/>
              <w:keepLines/>
              <w:jc w:val="center"/>
            </w:pPr>
            <w:r w:rsidRPr="00F058BA">
              <w:t>Advanced</w:t>
            </w:r>
          </w:p>
        </w:tc>
        <w:tc>
          <w:tcPr>
            <w:tcW w:w="1487" w:type="dxa"/>
          </w:tcPr>
          <w:p w14:paraId="7BA836E9" w14:textId="019D3F18" w:rsidR="00906A5E" w:rsidRPr="00F058BA" w:rsidRDefault="00C13B35" w:rsidP="006C1223">
            <w:pPr>
              <w:pStyle w:val="TableBody"/>
              <w:keepNext/>
              <w:keepLines/>
              <w:jc w:val="center"/>
            </w:pPr>
            <w:r w:rsidRPr="00F058BA">
              <w:t>Standard</w:t>
            </w:r>
          </w:p>
        </w:tc>
        <w:tc>
          <w:tcPr>
            <w:tcW w:w="1324" w:type="dxa"/>
          </w:tcPr>
          <w:p w14:paraId="7F4F8EB0" w14:textId="550B9E03" w:rsidR="00906A5E" w:rsidRPr="00F058BA" w:rsidRDefault="00C13B35" w:rsidP="006C1223">
            <w:pPr>
              <w:pStyle w:val="TableBody"/>
              <w:keepNext/>
              <w:keepLines/>
              <w:jc w:val="center"/>
            </w:pPr>
            <w:r w:rsidRPr="00F058BA">
              <w:t>Standard</w:t>
            </w:r>
          </w:p>
        </w:tc>
      </w:tr>
      <w:tr w:rsidR="007F64DA" w14:paraId="36ACDE70" w14:textId="77777777" w:rsidTr="007F64DA">
        <w:trPr>
          <w:cnfStyle w:val="000000010000" w:firstRow="0" w:lastRow="0" w:firstColumn="0" w:lastColumn="0" w:oddVBand="0" w:evenVBand="0" w:oddHBand="0" w:evenHBand="1" w:firstRowFirstColumn="0" w:firstRowLastColumn="0" w:lastRowFirstColumn="0" w:lastRowLastColumn="0"/>
        </w:trPr>
        <w:tc>
          <w:tcPr>
            <w:tcW w:w="1524" w:type="dxa"/>
          </w:tcPr>
          <w:p w14:paraId="73AD57AB" w14:textId="2F9CB6B9" w:rsidR="00906A5E" w:rsidRPr="00F058BA" w:rsidRDefault="00906A5E" w:rsidP="00906A5E">
            <w:pPr>
              <w:pStyle w:val="TableBody"/>
            </w:pPr>
            <w:r w:rsidRPr="0041664E">
              <w:t>Commission’s rating</w:t>
            </w:r>
          </w:p>
        </w:tc>
        <w:tc>
          <w:tcPr>
            <w:tcW w:w="1233" w:type="dxa"/>
          </w:tcPr>
          <w:p w14:paraId="5C09296A" w14:textId="38F2E219" w:rsidR="00906A5E" w:rsidRPr="00F058BA" w:rsidRDefault="00BE42A1" w:rsidP="006C1223">
            <w:pPr>
              <w:pStyle w:val="TableBody"/>
              <w:jc w:val="center"/>
            </w:pPr>
            <w:r w:rsidRPr="00F058BA">
              <w:t>Standard</w:t>
            </w:r>
          </w:p>
        </w:tc>
        <w:tc>
          <w:tcPr>
            <w:tcW w:w="1488" w:type="dxa"/>
          </w:tcPr>
          <w:p w14:paraId="6686AFBB" w14:textId="58D8BA90" w:rsidR="00906A5E" w:rsidRPr="00F058BA" w:rsidRDefault="00BE42A1" w:rsidP="006C1223">
            <w:pPr>
              <w:pStyle w:val="TableBody"/>
              <w:jc w:val="center"/>
            </w:pPr>
            <w:r w:rsidRPr="00F058BA">
              <w:t>Standard</w:t>
            </w:r>
          </w:p>
        </w:tc>
        <w:tc>
          <w:tcPr>
            <w:tcW w:w="1119" w:type="dxa"/>
          </w:tcPr>
          <w:p w14:paraId="58108C2C" w14:textId="0D7A0C38" w:rsidR="00906A5E" w:rsidRPr="00F058BA" w:rsidRDefault="00BE42A1" w:rsidP="006C1223">
            <w:pPr>
              <w:pStyle w:val="TableBody"/>
              <w:jc w:val="center"/>
            </w:pPr>
            <w:r w:rsidRPr="00F058BA">
              <w:t>Standard</w:t>
            </w:r>
          </w:p>
        </w:tc>
        <w:tc>
          <w:tcPr>
            <w:tcW w:w="1463" w:type="dxa"/>
          </w:tcPr>
          <w:p w14:paraId="0DDE5BC3" w14:textId="6A7CFC0A" w:rsidR="00906A5E" w:rsidRPr="00F058BA" w:rsidRDefault="00BE42A1" w:rsidP="006C1223">
            <w:pPr>
              <w:pStyle w:val="TableBody"/>
              <w:jc w:val="center"/>
            </w:pPr>
            <w:r w:rsidRPr="00F058BA">
              <w:t>Advanced</w:t>
            </w:r>
          </w:p>
        </w:tc>
        <w:tc>
          <w:tcPr>
            <w:tcW w:w="1487" w:type="dxa"/>
          </w:tcPr>
          <w:p w14:paraId="26731145" w14:textId="1A1D1603" w:rsidR="00906A5E" w:rsidRPr="00F058BA" w:rsidRDefault="00BE42A1" w:rsidP="006C1223">
            <w:pPr>
              <w:pStyle w:val="TableBody"/>
              <w:jc w:val="center"/>
            </w:pPr>
            <w:r w:rsidRPr="00F058BA">
              <w:t>Basic</w:t>
            </w:r>
          </w:p>
        </w:tc>
        <w:tc>
          <w:tcPr>
            <w:tcW w:w="1324" w:type="dxa"/>
          </w:tcPr>
          <w:p w14:paraId="276A5E35" w14:textId="1E337505" w:rsidR="00906A5E" w:rsidRPr="00F058BA" w:rsidRDefault="00BE42A1" w:rsidP="006C1223">
            <w:pPr>
              <w:pStyle w:val="TableBody"/>
              <w:jc w:val="center"/>
            </w:pPr>
            <w:r w:rsidRPr="00F058BA">
              <w:t>Standard</w:t>
            </w:r>
          </w:p>
        </w:tc>
      </w:tr>
    </w:tbl>
    <w:p w14:paraId="24F2A414" w14:textId="41338AFF" w:rsidR="008836D6" w:rsidRDefault="008836D6" w:rsidP="00B94CB5">
      <w:pPr>
        <w:pStyle w:val="Heading2"/>
      </w:pPr>
      <w:bookmarkStart w:id="36" w:name="_Toc117178656"/>
      <w:bookmarkStart w:id="37" w:name="_Toc118289111"/>
      <w:bookmarkStart w:id="38" w:name="_Toc122514842"/>
      <w:bookmarkStart w:id="39" w:name="_Toc150515669"/>
      <w:bookmarkStart w:id="40" w:name="_Toc161400965"/>
      <w:r>
        <w:t xml:space="preserve">We invite feedback on our draft </w:t>
      </w:r>
      <w:proofErr w:type="gramStart"/>
      <w:r>
        <w:t>decision</w:t>
      </w:r>
      <w:bookmarkEnd w:id="36"/>
      <w:bookmarkEnd w:id="37"/>
      <w:bookmarkEnd w:id="38"/>
      <w:bookmarkEnd w:id="39"/>
      <w:bookmarkEnd w:id="40"/>
      <w:proofErr w:type="gramEnd"/>
    </w:p>
    <w:p w14:paraId="0B8D4758" w14:textId="220A9A90" w:rsidR="008836D6" w:rsidRDefault="008836D6" w:rsidP="008836D6">
      <w:r>
        <w:t xml:space="preserve">We invite feedback from stakeholders on our draft decision before we make a final decision and price determination. </w:t>
      </w:r>
      <w:r w:rsidR="008C2EB8">
        <w:t>We expect to release o</w:t>
      </w:r>
      <w:r>
        <w:t xml:space="preserve">ur final decision and price determination </w:t>
      </w:r>
      <w:r w:rsidRPr="00F058BA">
        <w:t xml:space="preserve">in </w:t>
      </w:r>
      <w:r w:rsidR="003946CE" w:rsidRPr="00F058BA">
        <w:t>June</w:t>
      </w:r>
      <w:r w:rsidRPr="00F058BA">
        <w:t xml:space="preserve"> 202</w:t>
      </w:r>
      <w:r w:rsidR="00605A79" w:rsidRPr="00F058BA">
        <w:t>4</w:t>
      </w:r>
      <w:r>
        <w:t xml:space="preserve">. </w:t>
      </w:r>
    </w:p>
    <w:p w14:paraId="05343A4E" w14:textId="77777777" w:rsidR="008D231C" w:rsidRDefault="008836D6" w:rsidP="008836D6">
      <w:r>
        <w:t>Stakeholders may comment on any aspect of our draft decision, including</w:t>
      </w:r>
      <w:r w:rsidR="0078738D">
        <w:t>:</w:t>
      </w:r>
      <w:r>
        <w:t xml:space="preserve"> </w:t>
      </w:r>
    </w:p>
    <w:p w14:paraId="45F6B7A9" w14:textId="45EC55ED" w:rsidR="008836D6" w:rsidRDefault="008836D6" w:rsidP="00ED1290">
      <w:pPr>
        <w:pStyle w:val="ListBullet"/>
      </w:pPr>
      <w:r>
        <w:t xml:space="preserve">the information we have relied upon in our assessment (such as </w:t>
      </w:r>
      <w:r w:rsidR="00AA1D9F">
        <w:t>Greater Western Water</w:t>
      </w:r>
      <w:r>
        <w:t>’s price submission)</w:t>
      </w:r>
    </w:p>
    <w:p w14:paraId="24F0AD2E" w14:textId="348DE68F" w:rsidR="008836D6" w:rsidRPr="00071A66" w:rsidRDefault="008836D6" w:rsidP="00ED1290">
      <w:pPr>
        <w:pStyle w:val="ListBullet"/>
      </w:pPr>
      <w:r w:rsidRPr="00071A66">
        <w:t xml:space="preserve">additional matters or issues we should consider before making our final </w:t>
      </w:r>
      <w:proofErr w:type="gramStart"/>
      <w:r w:rsidRPr="00071A66">
        <w:t>decision</w:t>
      </w:r>
      <w:proofErr w:type="gramEnd"/>
    </w:p>
    <w:p w14:paraId="40308EEF" w14:textId="6326827C" w:rsidR="008836D6" w:rsidRDefault="008836D6" w:rsidP="00ED1290">
      <w:pPr>
        <w:pStyle w:val="ListBullet"/>
      </w:pPr>
      <w:r w:rsidRPr="00071A66">
        <w:t xml:space="preserve">whether our draft decision on </w:t>
      </w:r>
      <w:r w:rsidR="00AA1D9F">
        <w:t>Greater Western Water</w:t>
      </w:r>
      <w:r w:rsidRPr="00071A66">
        <w:t>’s price submission has adequate regard to the matters in clause</w:t>
      </w:r>
      <w:r w:rsidR="000075B8">
        <w:t> </w:t>
      </w:r>
      <w:r w:rsidRPr="00071A66">
        <w:t xml:space="preserve">11 of the </w:t>
      </w:r>
      <w:r w:rsidR="002807F2" w:rsidRPr="002807F2">
        <w:t>Water Industry Regulatory Order 2014</w:t>
      </w:r>
      <w:r w:rsidRPr="00071A66">
        <w:t xml:space="preserve"> and our guidance.</w:t>
      </w:r>
    </w:p>
    <w:p w14:paraId="4259E630" w14:textId="1C0A65D4" w:rsidR="00660B36" w:rsidRDefault="00F33B13" w:rsidP="00F33B13">
      <w:pPr>
        <w:pStyle w:val="Heading3"/>
      </w:pPr>
      <w:bookmarkStart w:id="41" w:name="_Toc118289112"/>
      <w:bookmarkStart w:id="42" w:name="_Toc122514843"/>
      <w:bookmarkStart w:id="43" w:name="_Toc150515670"/>
      <w:bookmarkStart w:id="44" w:name="_Toc161400966"/>
      <w:r>
        <w:t xml:space="preserve">How to provide </w:t>
      </w:r>
      <w:r w:rsidR="003B60ED">
        <w:t>feedback and stay up to date</w:t>
      </w:r>
      <w:bookmarkEnd w:id="41"/>
      <w:bookmarkEnd w:id="42"/>
      <w:bookmarkEnd w:id="43"/>
      <w:bookmarkEnd w:id="44"/>
    </w:p>
    <w:p w14:paraId="23A2EC7A" w14:textId="22B46A7C" w:rsidR="003B60ED" w:rsidRDefault="003B60ED" w:rsidP="003B60ED">
      <w:r>
        <w:t xml:space="preserve">You can stay up to date with our review via the dedicated Engage Victoria </w:t>
      </w:r>
      <w:r w:rsidR="00B3061E">
        <w:t>website:</w:t>
      </w:r>
    </w:p>
    <w:p w14:paraId="2E49E896" w14:textId="52544937" w:rsidR="00FC18C0" w:rsidRDefault="00A674FF" w:rsidP="008836D6">
      <w:hyperlink r:id="rId29" w:history="1">
        <w:r w:rsidR="00FC18C0" w:rsidRPr="007E1A2A">
          <w:rPr>
            <w:rStyle w:val="Hyperlink"/>
          </w:rPr>
          <w:t>https://engage.vic.gov.au/water-price-review-2023</w:t>
        </w:r>
      </w:hyperlink>
      <w:r w:rsidR="00FC18C0">
        <w:t xml:space="preserve"> </w:t>
      </w:r>
    </w:p>
    <w:p w14:paraId="21E83CC5" w14:textId="391E3713" w:rsidR="008836D6" w:rsidRDefault="002B0111" w:rsidP="008836D6">
      <w:r>
        <w:t xml:space="preserve">You can </w:t>
      </w:r>
      <w:r w:rsidR="008836D6">
        <w:t>provide feedback</w:t>
      </w:r>
      <w:r>
        <w:t xml:space="preserve"> by</w:t>
      </w:r>
      <w:r w:rsidR="008836D6">
        <w:t>:</w:t>
      </w:r>
    </w:p>
    <w:p w14:paraId="66F5F9F8" w14:textId="14E15106" w:rsidR="002A48E6" w:rsidRDefault="00A80ACB" w:rsidP="00ED1290">
      <w:pPr>
        <w:pStyle w:val="ListBullet"/>
      </w:pPr>
      <w:r>
        <w:t xml:space="preserve">taking part in </w:t>
      </w:r>
      <w:r w:rsidR="00796F14">
        <w:t>a</w:t>
      </w:r>
      <w:r w:rsidR="002A48E6">
        <w:t xml:space="preserve"> public forum</w:t>
      </w:r>
    </w:p>
    <w:p w14:paraId="38F09AA9" w14:textId="6EE9B0EF" w:rsidR="002B0111" w:rsidRDefault="002A48E6" w:rsidP="00ED1290">
      <w:pPr>
        <w:pStyle w:val="ListBullet"/>
      </w:pPr>
      <w:r>
        <w:t>providing written comments or submissions</w:t>
      </w:r>
      <w:r w:rsidR="001446CA">
        <w:t>.</w:t>
      </w:r>
      <w:r w:rsidR="00796F14">
        <w:t xml:space="preserve"> </w:t>
      </w:r>
    </w:p>
    <w:p w14:paraId="65701227" w14:textId="22EE20A8" w:rsidR="008836D6" w:rsidRDefault="00A80ACB" w:rsidP="00012E05">
      <w:pPr>
        <w:pStyle w:val="Heading4"/>
      </w:pPr>
      <w:bookmarkStart w:id="45" w:name="_Toc117178657"/>
      <w:r>
        <w:t xml:space="preserve">Taking part in </w:t>
      </w:r>
      <w:r w:rsidR="008836D6">
        <w:t>a public forum</w:t>
      </w:r>
      <w:bookmarkEnd w:id="45"/>
    </w:p>
    <w:p w14:paraId="1775520A" w14:textId="1BC240C3" w:rsidR="008836D6" w:rsidRPr="00CC6B8B" w:rsidRDefault="008836D6" w:rsidP="008836D6">
      <w:r>
        <w:t xml:space="preserve">We </w:t>
      </w:r>
      <w:r w:rsidR="002807F2">
        <w:t>plan</w:t>
      </w:r>
      <w:r w:rsidR="00012E05">
        <w:t xml:space="preserve"> to</w:t>
      </w:r>
      <w:r>
        <w:t xml:space="preserve"> hold a public </w:t>
      </w:r>
      <w:r w:rsidRPr="00CC6B8B">
        <w:t xml:space="preserve">forum </w:t>
      </w:r>
      <w:r w:rsidR="000F3DD3" w:rsidRPr="00CC6B8B">
        <w:t>on 2</w:t>
      </w:r>
      <w:r w:rsidR="00181FFE" w:rsidRPr="00CC6B8B">
        <w:t> </w:t>
      </w:r>
      <w:r w:rsidR="000F3DD3" w:rsidRPr="00CC6B8B">
        <w:t>May</w:t>
      </w:r>
      <w:r w:rsidR="00181FFE" w:rsidRPr="00CC6B8B">
        <w:t xml:space="preserve"> </w:t>
      </w:r>
      <w:r w:rsidR="00D1338D" w:rsidRPr="00CC6B8B">
        <w:t>202</w:t>
      </w:r>
      <w:r w:rsidR="00B833A2" w:rsidRPr="00CC6B8B">
        <w:t>4</w:t>
      </w:r>
      <w:r w:rsidRPr="00CC6B8B">
        <w:t xml:space="preserve">. Forums provide an opportunity for interested parties to discuss key features of our draft decisions. </w:t>
      </w:r>
      <w:r w:rsidR="00D1338D" w:rsidRPr="00CC6B8B">
        <w:t>Details of our public forums will be published on the Engage Victoria website.</w:t>
      </w:r>
    </w:p>
    <w:p w14:paraId="0AD90461" w14:textId="77777777" w:rsidR="008836D6" w:rsidRPr="00CC6B8B" w:rsidRDefault="008836D6" w:rsidP="00012E05">
      <w:pPr>
        <w:pStyle w:val="Heading4"/>
      </w:pPr>
      <w:r w:rsidRPr="00CC6B8B">
        <w:t xml:space="preserve">Provide written comments or </w:t>
      </w:r>
      <w:proofErr w:type="gramStart"/>
      <w:r w:rsidRPr="00CC6B8B">
        <w:t>submissions</w:t>
      </w:r>
      <w:proofErr w:type="gramEnd"/>
    </w:p>
    <w:p w14:paraId="4289C04D" w14:textId="66D6BE31" w:rsidR="008836D6" w:rsidRDefault="008836D6" w:rsidP="008836D6">
      <w:r w:rsidRPr="00CC6B8B">
        <w:t xml:space="preserve">Written comments or submissions in response to this draft decision will be due </w:t>
      </w:r>
      <w:r w:rsidR="001B147F" w:rsidRPr="00CC6B8B">
        <w:t xml:space="preserve">by </w:t>
      </w:r>
      <w:r w:rsidR="004F4C87" w:rsidRPr="00CC6B8B">
        <w:t>7 </w:t>
      </w:r>
      <w:r w:rsidR="00ED1767" w:rsidRPr="00CC6B8B">
        <w:t>May</w:t>
      </w:r>
      <w:r w:rsidRPr="00CC6B8B">
        <w:t xml:space="preserve"> 202</w:t>
      </w:r>
      <w:r w:rsidR="00B833A2" w:rsidRPr="00CC6B8B">
        <w:t>4</w:t>
      </w:r>
      <w:r w:rsidRPr="00CC6B8B">
        <w:t>.</w:t>
      </w:r>
    </w:p>
    <w:p w14:paraId="39A31341" w14:textId="333800D3" w:rsidR="008836D6" w:rsidRDefault="008836D6" w:rsidP="008836D6">
      <w:r>
        <w:lastRenderedPageBreak/>
        <w:t>We require submissions by this date so that we have time to fully consider submissions for our final decision. Comments or submissions received after this date may not be afforded the same weight as submissions received by the due date.</w:t>
      </w:r>
      <w:r w:rsidR="00392C6B">
        <w:t xml:space="preserve"> </w:t>
      </w:r>
    </w:p>
    <w:p w14:paraId="402670D1" w14:textId="36E6E7D9" w:rsidR="008836D6" w:rsidRDefault="008836D6" w:rsidP="008836D6">
      <w:r>
        <w:t xml:space="preserve">We would prefer to receive comments and submissions </w:t>
      </w:r>
      <w:r w:rsidRPr="00BB4F75">
        <w:t xml:space="preserve">via </w:t>
      </w:r>
      <w:r w:rsidR="008C4023" w:rsidRPr="00040B8E">
        <w:t xml:space="preserve">the </w:t>
      </w:r>
      <w:r w:rsidR="00F15F2A" w:rsidRPr="00040B8E">
        <w:t xml:space="preserve">dedicated </w:t>
      </w:r>
      <w:hyperlink r:id="rId30" w:history="1">
        <w:r w:rsidR="008C4023" w:rsidRPr="00040B8E">
          <w:rPr>
            <w:rStyle w:val="Hyperlink"/>
          </w:rPr>
          <w:t>Engage Victoria website</w:t>
        </w:r>
      </w:hyperlink>
      <w:r w:rsidRPr="00040B8E">
        <w:t>.</w:t>
      </w:r>
      <w:r>
        <w:t xml:space="preserve"> </w:t>
      </w:r>
    </w:p>
    <w:p w14:paraId="1DC2D15A" w14:textId="77777777" w:rsidR="008836D6" w:rsidRDefault="008836D6" w:rsidP="00D75627">
      <w:pPr>
        <w:keepNext/>
        <w:keepLines/>
      </w:pPr>
      <w:r>
        <w:t>Alternatively, you may send comments and submissions by mail to:</w:t>
      </w:r>
    </w:p>
    <w:p w14:paraId="7400A57F" w14:textId="26B3294C" w:rsidR="008836D6" w:rsidRDefault="008836D6" w:rsidP="00D75627">
      <w:pPr>
        <w:keepNext/>
        <w:keepLines/>
      </w:pPr>
      <w:r>
        <w:t>202</w:t>
      </w:r>
      <w:r w:rsidR="00183D1B">
        <w:t>4</w:t>
      </w:r>
      <w:r>
        <w:t xml:space="preserve"> Water Price Review</w:t>
      </w:r>
      <w:r w:rsidR="00D75627">
        <w:br/>
      </w:r>
      <w:r>
        <w:t>Essential Services Commission</w:t>
      </w:r>
      <w:r w:rsidR="00D75627">
        <w:br/>
      </w:r>
      <w:r>
        <w:t>Level 8, 570 Bourke Street</w:t>
      </w:r>
      <w:r w:rsidR="00D75627">
        <w:br/>
      </w:r>
      <w:r>
        <w:t>Melbourne</w:t>
      </w:r>
      <w:r w:rsidR="00392C6B">
        <w:t xml:space="preserve"> </w:t>
      </w:r>
      <w:r>
        <w:t>VIC</w:t>
      </w:r>
      <w:r w:rsidR="00392C6B">
        <w:t xml:space="preserve"> </w:t>
      </w:r>
      <w:r>
        <w:t>3000</w:t>
      </w:r>
    </w:p>
    <w:p w14:paraId="489C88AB" w14:textId="07C46233" w:rsidR="00910525" w:rsidRDefault="00910525" w:rsidP="001E11ED">
      <w:pPr>
        <w:pStyle w:val="Heading4"/>
      </w:pPr>
      <w:r>
        <w:t>Submission and privacy statement</w:t>
      </w:r>
    </w:p>
    <w:p w14:paraId="031C0068" w14:textId="4A776C9F" w:rsidR="00247009" w:rsidRDefault="00247009" w:rsidP="00247009">
      <w:r>
        <w:t>We encourage transparency in our review processes. It is our policy to publish all submissions to</w:t>
      </w:r>
      <w:r w:rsidR="00647D3B" w:rsidRPr="00647D3B">
        <w:t xml:space="preserve"> the 202</w:t>
      </w:r>
      <w:r w:rsidR="00183D1B">
        <w:t>4</w:t>
      </w:r>
      <w:r w:rsidR="00647D3B" w:rsidRPr="00647D3B">
        <w:t xml:space="preserve"> water price review on </w:t>
      </w:r>
      <w:r>
        <w:t>the Essential Services Commission website unless the submitter has requested confidentiality. When we publish a submission, we</w:t>
      </w:r>
      <w:r w:rsidR="00CA72A1">
        <w:t xml:space="preserve"> will</w:t>
      </w:r>
      <w:r>
        <w:t xml:space="preserve"> also include some details about the submitter (your name, not your address) unless the submitter has requested anonymity (does not want to be identified).</w:t>
      </w:r>
    </w:p>
    <w:p w14:paraId="181A8385" w14:textId="6448352D" w:rsidR="00247009" w:rsidRDefault="00247009" w:rsidP="00247009">
      <w:r>
        <w:t>You can request confidentiality and/or anonymity in relation to your submission. Requesting this may affect the weight we can give to your submission.</w:t>
      </w:r>
    </w:p>
    <w:p w14:paraId="74871C5F" w14:textId="77777777" w:rsidR="008836D6" w:rsidRDefault="008836D6" w:rsidP="00760E03">
      <w:pPr>
        <w:pStyle w:val="Heading2"/>
      </w:pPr>
      <w:bookmarkStart w:id="46" w:name="_Toc117178658"/>
      <w:bookmarkStart w:id="47" w:name="_Toc118289113"/>
      <w:bookmarkStart w:id="48" w:name="_Toc122514844"/>
      <w:bookmarkStart w:id="49" w:name="_Toc150515671"/>
      <w:bookmarkStart w:id="50" w:name="_Toc161400967"/>
      <w:r>
        <w:t>Next steps</w:t>
      </w:r>
      <w:bookmarkEnd w:id="46"/>
      <w:bookmarkEnd w:id="47"/>
      <w:bookmarkEnd w:id="48"/>
      <w:bookmarkEnd w:id="49"/>
      <w:bookmarkEnd w:id="50"/>
    </w:p>
    <w:tbl>
      <w:tblPr>
        <w:tblStyle w:val="TableGrid"/>
        <w:tblW w:w="0" w:type="auto"/>
        <w:tblLook w:val="04A0" w:firstRow="1" w:lastRow="0" w:firstColumn="1" w:lastColumn="0" w:noHBand="0" w:noVBand="1"/>
      </w:tblPr>
      <w:tblGrid>
        <w:gridCol w:w="6379"/>
        <w:gridCol w:w="3259"/>
      </w:tblGrid>
      <w:tr w:rsidR="00AC3625" w:rsidRPr="00C760BC" w14:paraId="62CB2F68" w14:textId="77777777">
        <w:trPr>
          <w:cnfStyle w:val="100000000000" w:firstRow="1" w:lastRow="0" w:firstColumn="0" w:lastColumn="0" w:oddVBand="0" w:evenVBand="0" w:oddHBand="0" w:evenHBand="0" w:firstRowFirstColumn="0" w:firstRowLastColumn="0" w:lastRowFirstColumn="0" w:lastRowLastColumn="0"/>
        </w:trPr>
        <w:tc>
          <w:tcPr>
            <w:tcW w:w="6379" w:type="dxa"/>
          </w:tcPr>
          <w:p w14:paraId="6EAA599B" w14:textId="77777777" w:rsidR="00AC3625" w:rsidRPr="001E397B" w:rsidRDefault="00AC3625" w:rsidP="000A4073">
            <w:pPr>
              <w:rPr>
                <w:bCs/>
              </w:rPr>
            </w:pPr>
            <w:r w:rsidRPr="001E397B">
              <w:rPr>
                <w:bCs/>
              </w:rPr>
              <w:t>Activity</w:t>
            </w:r>
          </w:p>
        </w:tc>
        <w:tc>
          <w:tcPr>
            <w:tcW w:w="3259" w:type="dxa"/>
          </w:tcPr>
          <w:p w14:paraId="183C77C3" w14:textId="77777777" w:rsidR="00AC3625" w:rsidRPr="00C760BC" w:rsidRDefault="00AC3625" w:rsidP="000A4073">
            <w:pPr>
              <w:rPr>
                <w:bCs/>
              </w:rPr>
            </w:pPr>
            <w:r w:rsidRPr="00C760BC">
              <w:rPr>
                <w:bCs/>
              </w:rPr>
              <w:t>Indicative date</w:t>
            </w:r>
          </w:p>
        </w:tc>
      </w:tr>
      <w:tr w:rsidR="00AC3625" w:rsidRPr="00545FD1" w14:paraId="12D11E16" w14:textId="77777777">
        <w:trPr>
          <w:cnfStyle w:val="000000100000" w:firstRow="0" w:lastRow="0" w:firstColumn="0" w:lastColumn="0" w:oddVBand="0" w:evenVBand="0" w:oddHBand="1" w:evenHBand="0" w:firstRowFirstColumn="0" w:firstRowLastColumn="0" w:lastRowFirstColumn="0" w:lastRowLastColumn="0"/>
        </w:trPr>
        <w:tc>
          <w:tcPr>
            <w:tcW w:w="6379" w:type="dxa"/>
          </w:tcPr>
          <w:p w14:paraId="27E69222" w14:textId="77777777" w:rsidR="00AC3625" w:rsidRPr="00171D03" w:rsidRDefault="00AC3625" w:rsidP="000A4073">
            <w:pPr>
              <w:rPr>
                <w:bCs/>
              </w:rPr>
            </w:pPr>
            <w:r w:rsidRPr="00171D03">
              <w:rPr>
                <w:bCs/>
              </w:rPr>
              <w:t>Public forum</w:t>
            </w:r>
          </w:p>
        </w:tc>
        <w:tc>
          <w:tcPr>
            <w:tcW w:w="3259" w:type="dxa"/>
          </w:tcPr>
          <w:p w14:paraId="5380E4AA" w14:textId="52D5B60D" w:rsidR="00AC3625" w:rsidRPr="00F058BA" w:rsidRDefault="000D584C" w:rsidP="000A4073">
            <w:r w:rsidRPr="00F058BA">
              <w:t>2 May</w:t>
            </w:r>
            <w:r w:rsidR="00AC3625" w:rsidRPr="00F058BA">
              <w:t xml:space="preserve"> 202</w:t>
            </w:r>
            <w:r w:rsidR="0069255C" w:rsidRPr="00F058BA">
              <w:t>4</w:t>
            </w:r>
          </w:p>
        </w:tc>
      </w:tr>
      <w:tr w:rsidR="00AC3625" w:rsidRPr="00545FD1" w14:paraId="4771BFFD" w14:textId="77777777">
        <w:trPr>
          <w:cnfStyle w:val="000000010000" w:firstRow="0" w:lastRow="0" w:firstColumn="0" w:lastColumn="0" w:oddVBand="0" w:evenVBand="0" w:oddHBand="0" w:evenHBand="1" w:firstRowFirstColumn="0" w:firstRowLastColumn="0" w:lastRowFirstColumn="0" w:lastRowLastColumn="0"/>
        </w:trPr>
        <w:tc>
          <w:tcPr>
            <w:tcW w:w="6379" w:type="dxa"/>
          </w:tcPr>
          <w:p w14:paraId="7B7BDAAD" w14:textId="77777777" w:rsidR="00AC3625" w:rsidRPr="00545FD1" w:rsidRDefault="00AC3625">
            <w:pPr>
              <w:rPr>
                <w:bCs/>
              </w:rPr>
            </w:pPr>
            <w:r w:rsidRPr="00545FD1">
              <w:rPr>
                <w:bCs/>
              </w:rPr>
              <w:t>Closing date for submissions on our draft decision</w:t>
            </w:r>
          </w:p>
        </w:tc>
        <w:tc>
          <w:tcPr>
            <w:tcW w:w="3259" w:type="dxa"/>
          </w:tcPr>
          <w:p w14:paraId="598110E3" w14:textId="63D65095" w:rsidR="00AC3625" w:rsidRPr="00F058BA" w:rsidRDefault="004F4C87">
            <w:r w:rsidRPr="00F058BA">
              <w:t>7</w:t>
            </w:r>
            <w:r w:rsidR="00AC3625" w:rsidRPr="00F058BA">
              <w:t xml:space="preserve"> May 202</w:t>
            </w:r>
            <w:r w:rsidR="0069255C" w:rsidRPr="00F058BA">
              <w:t>4</w:t>
            </w:r>
          </w:p>
        </w:tc>
      </w:tr>
      <w:tr w:rsidR="00AC3625" w:rsidRPr="00545FD1" w14:paraId="6836830D" w14:textId="77777777">
        <w:trPr>
          <w:cnfStyle w:val="000000100000" w:firstRow="0" w:lastRow="0" w:firstColumn="0" w:lastColumn="0" w:oddVBand="0" w:evenVBand="0" w:oddHBand="1" w:evenHBand="0" w:firstRowFirstColumn="0" w:firstRowLastColumn="0" w:lastRowFirstColumn="0" w:lastRowLastColumn="0"/>
        </w:trPr>
        <w:tc>
          <w:tcPr>
            <w:tcW w:w="6379" w:type="dxa"/>
          </w:tcPr>
          <w:p w14:paraId="71DF197C" w14:textId="77777777" w:rsidR="00AC3625" w:rsidRPr="00545FD1" w:rsidRDefault="00AC3625">
            <w:pPr>
              <w:rPr>
                <w:bCs/>
              </w:rPr>
            </w:pPr>
            <w:r w:rsidRPr="00545FD1">
              <w:rPr>
                <w:bCs/>
              </w:rPr>
              <w:t>Release date for our final decision and price determination</w:t>
            </w:r>
          </w:p>
        </w:tc>
        <w:tc>
          <w:tcPr>
            <w:tcW w:w="3259" w:type="dxa"/>
          </w:tcPr>
          <w:p w14:paraId="16E19C51" w14:textId="582FE3D7" w:rsidR="00AC3625" w:rsidRPr="00F058BA" w:rsidRDefault="00AC3625">
            <w:r w:rsidRPr="00F058BA">
              <w:t>June 202</w:t>
            </w:r>
            <w:r w:rsidR="0069255C" w:rsidRPr="00F058BA">
              <w:t>4</w:t>
            </w:r>
          </w:p>
        </w:tc>
      </w:tr>
    </w:tbl>
    <w:p w14:paraId="07FA5034" w14:textId="77777777" w:rsidR="008836D6" w:rsidRDefault="008836D6" w:rsidP="003A2968"/>
    <w:p w14:paraId="346F8346" w14:textId="77777777" w:rsidR="000D53D2" w:rsidRDefault="000D53D2" w:rsidP="003A2968">
      <w:pPr>
        <w:sectPr w:rsidR="000D53D2" w:rsidSect="00736B75">
          <w:type w:val="continuous"/>
          <w:pgSz w:w="11906" w:h="16838" w:code="9"/>
          <w:pgMar w:top="1134" w:right="1134" w:bottom="1134" w:left="1134" w:header="709" w:footer="692" w:gutter="0"/>
          <w:pgNumType w:fmt="lowerRoman"/>
          <w:cols w:space="708"/>
          <w:docGrid w:linePitch="360"/>
        </w:sectPr>
      </w:pPr>
    </w:p>
    <w:p w14:paraId="5D6E1E3D" w14:textId="42FC90A6" w:rsidR="00C47364" w:rsidRDefault="00AA7F11" w:rsidP="00D24265">
      <w:pPr>
        <w:pStyle w:val="Heading1numbered"/>
      </w:pPr>
      <w:bookmarkStart w:id="51" w:name="_Toc161400968"/>
      <w:r w:rsidRPr="00AA7F11">
        <w:lastRenderedPageBreak/>
        <w:t>1.</w:t>
      </w:r>
      <w:r w:rsidRPr="00AA7F11">
        <w:tab/>
        <w:t>Our role and approach to water pricing</w:t>
      </w:r>
      <w:bookmarkEnd w:id="51"/>
    </w:p>
    <w:p w14:paraId="2DBE48A9" w14:textId="31D4140A" w:rsidR="00844E10" w:rsidRPr="00844E10" w:rsidRDefault="00B315D5" w:rsidP="00F22C01">
      <w:pPr>
        <w:pStyle w:val="Heading2"/>
      </w:pPr>
      <w:bookmarkStart w:id="52" w:name="_Toc161400969"/>
      <w:r>
        <w:t>1.1</w:t>
      </w:r>
      <w:r>
        <w:tab/>
      </w:r>
      <w:r w:rsidR="00844E10" w:rsidRPr="00844E10">
        <w:t xml:space="preserve">We are Victoria’s independent economic </w:t>
      </w:r>
      <w:proofErr w:type="gramStart"/>
      <w:r w:rsidR="00844E10" w:rsidRPr="00844E10">
        <w:t>regulator</w:t>
      </w:r>
      <w:bookmarkEnd w:id="52"/>
      <w:proofErr w:type="gramEnd"/>
    </w:p>
    <w:p w14:paraId="77F63948" w14:textId="37A7B020" w:rsidR="00844E10" w:rsidRPr="00844E10" w:rsidRDefault="00844E10" w:rsidP="00145416">
      <w:r w:rsidRPr="00844E10">
        <w:t>Our role in the water industry is based on the Water Industry Regulatory Order 2014 (WIRO), which is made under the</w:t>
      </w:r>
      <w:r w:rsidRPr="00145416">
        <w:rPr>
          <w:i/>
          <w:iCs/>
        </w:rPr>
        <w:t xml:space="preserve"> Water Industry Act 1994</w:t>
      </w:r>
      <w:r w:rsidRPr="00844E10">
        <w:t xml:space="preserve"> (WI Act) and sits within the broader context of the </w:t>
      </w:r>
      <w:r w:rsidRPr="004B0461">
        <w:rPr>
          <w:i/>
          <w:iCs/>
        </w:rPr>
        <w:t>Essential Services Commission Act 2001</w:t>
      </w:r>
      <w:r w:rsidRPr="00844E10">
        <w:t xml:space="preserve"> (ESC Act). Our role under the WIRO includes regulating the prices and monitoring service standards of the </w:t>
      </w:r>
      <w:r w:rsidRPr="000E5CB6">
        <w:t>1</w:t>
      </w:r>
      <w:r w:rsidR="008A1282" w:rsidRPr="000E5CB6">
        <w:t>7</w:t>
      </w:r>
      <w:r w:rsidRPr="00844E10">
        <w:t xml:space="preserve"> water </w:t>
      </w:r>
      <w:r w:rsidR="002F4E64">
        <w:t>businesses</w:t>
      </w:r>
      <w:r w:rsidRPr="00844E10">
        <w:t xml:space="preserve"> operating in Victoria. </w:t>
      </w:r>
    </w:p>
    <w:p w14:paraId="3C0080B5" w14:textId="691337F6" w:rsidR="00844E10" w:rsidRPr="00844E10" w:rsidRDefault="00B315D5" w:rsidP="00F22C01">
      <w:pPr>
        <w:pStyle w:val="Heading2"/>
      </w:pPr>
      <w:bookmarkStart w:id="53" w:name="_Toc161400970"/>
      <w:r>
        <w:t>1.2</w:t>
      </w:r>
      <w:r>
        <w:tab/>
      </w:r>
      <w:r w:rsidR="00844E10" w:rsidRPr="00844E10">
        <w:t xml:space="preserve">We are reviewing </w:t>
      </w:r>
      <w:r w:rsidR="00692BFD">
        <w:t>Greater Western Water’s</w:t>
      </w:r>
      <w:r w:rsidR="00844E10" w:rsidRPr="00844E10">
        <w:t xml:space="preserve"> proposed </w:t>
      </w:r>
      <w:proofErr w:type="gramStart"/>
      <w:r w:rsidR="00844E10" w:rsidRPr="00844E10">
        <w:t>prices</w:t>
      </w:r>
      <w:bookmarkEnd w:id="53"/>
      <w:proofErr w:type="gramEnd"/>
      <w:r w:rsidR="00844E10" w:rsidRPr="00844E10">
        <w:t xml:space="preserve"> </w:t>
      </w:r>
    </w:p>
    <w:p w14:paraId="7A567BD6" w14:textId="4F18ECCD" w:rsidR="00844E10" w:rsidRPr="00844E10" w:rsidRDefault="00F06FAD" w:rsidP="004B0461">
      <w:r w:rsidRPr="00A03CDD">
        <w:t>We are reviewing the prices that</w:t>
      </w:r>
      <w:r w:rsidR="00844E10" w:rsidRPr="00A03CDD">
        <w:t xml:space="preserve"> </w:t>
      </w:r>
      <w:r w:rsidR="00622F15">
        <w:t>Greater Western Water</w:t>
      </w:r>
      <w:r w:rsidR="00844E10">
        <w:t xml:space="preserve"> </w:t>
      </w:r>
      <w:r w:rsidR="00844E10" w:rsidRPr="000E5CB6">
        <w:t>propose</w:t>
      </w:r>
      <w:r w:rsidR="00692BFD" w:rsidRPr="000E5CB6">
        <w:t>s</w:t>
      </w:r>
      <w:r w:rsidR="00844E10" w:rsidRPr="000E5CB6">
        <w:t xml:space="preserve"> to charge customers for prescribed services from 1</w:t>
      </w:r>
      <w:r w:rsidR="007C5F7B" w:rsidRPr="000E5CB6">
        <w:t> </w:t>
      </w:r>
      <w:r w:rsidR="00844E10" w:rsidRPr="000E5CB6">
        <w:t>July 202</w:t>
      </w:r>
      <w:r w:rsidR="008062E2" w:rsidRPr="000E5CB6">
        <w:t>4</w:t>
      </w:r>
      <w:r w:rsidR="00844E10" w:rsidRPr="000E5CB6">
        <w:t>.</w:t>
      </w:r>
      <w:r w:rsidR="00392C6B" w:rsidRPr="000E5CB6">
        <w:t xml:space="preserve"> </w:t>
      </w:r>
      <w:r w:rsidR="007F3C01" w:rsidRPr="000E5CB6">
        <w:t xml:space="preserve">Greater Western Water’s </w:t>
      </w:r>
      <w:r w:rsidR="00844E10" w:rsidRPr="000E5CB6">
        <w:t>prescribed services include retail water and sewerage services.</w:t>
      </w:r>
      <w:r w:rsidR="006A0E7B" w:rsidRPr="000E5CB6">
        <w:rPr>
          <w:rStyle w:val="FootnoteReference"/>
        </w:rPr>
        <w:footnoteReference w:id="9"/>
      </w:r>
      <w:r w:rsidR="00844E10" w:rsidRPr="00844E10">
        <w:t xml:space="preserve"> </w:t>
      </w:r>
    </w:p>
    <w:p w14:paraId="62D9CA02" w14:textId="5E269BBF" w:rsidR="00844E10" w:rsidRPr="00844E10" w:rsidRDefault="00AA1D9F" w:rsidP="004B0461">
      <w:r w:rsidRPr="000E5CB6">
        <w:t>Greater Western Water</w:t>
      </w:r>
      <w:r w:rsidR="00844E10" w:rsidRPr="000E5CB6">
        <w:t xml:space="preserve"> provided a submission to us proposing prices for a </w:t>
      </w:r>
      <w:r w:rsidR="007F3C01" w:rsidRPr="000E5CB6">
        <w:t>four</w:t>
      </w:r>
      <w:r w:rsidR="000D6B4B" w:rsidRPr="000E5CB6">
        <w:noBreakHyphen/>
      </w:r>
      <w:r w:rsidR="00844E10" w:rsidRPr="000E5CB6">
        <w:t>year period starting 1</w:t>
      </w:r>
      <w:r w:rsidR="00B75ECF" w:rsidRPr="000E5CB6">
        <w:t> </w:t>
      </w:r>
      <w:r w:rsidR="00844E10" w:rsidRPr="000E5CB6">
        <w:t>July</w:t>
      </w:r>
      <w:r w:rsidR="000B2ECE" w:rsidRPr="000E5CB6">
        <w:t xml:space="preserve"> </w:t>
      </w:r>
      <w:r w:rsidR="00844E10" w:rsidRPr="000E5CB6">
        <w:t>202</w:t>
      </w:r>
      <w:r w:rsidR="00CF6A72" w:rsidRPr="000E5CB6">
        <w:t>4</w:t>
      </w:r>
      <w:r w:rsidR="00844E10" w:rsidRPr="000E5CB6">
        <w:t>. Our task is to assess the price submission using the legal framework and make a price determination that takes effect from 1</w:t>
      </w:r>
      <w:r w:rsidR="000B2ECE" w:rsidRPr="000E5CB6">
        <w:t> </w:t>
      </w:r>
      <w:r w:rsidR="00844E10" w:rsidRPr="000E5CB6">
        <w:t>July 202</w:t>
      </w:r>
      <w:r w:rsidR="00CF6A72" w:rsidRPr="000E5CB6">
        <w:t>4</w:t>
      </w:r>
      <w:r w:rsidR="00844E10" w:rsidRPr="000E5CB6">
        <w:t>.</w:t>
      </w:r>
      <w:r w:rsidR="00844E10" w:rsidRPr="00844E10">
        <w:t xml:space="preserve"> The price determination will specify the maximum prices </w:t>
      </w:r>
      <w:r>
        <w:t>Greater Western Water</w:t>
      </w:r>
      <w:r w:rsidR="00844E10" w:rsidRPr="00844E10">
        <w:t xml:space="preserve"> may charge for prescribed services, or the </w:t>
      </w:r>
      <w:proofErr w:type="gramStart"/>
      <w:r w:rsidR="00844E10" w:rsidRPr="00844E10">
        <w:t>manner in which</w:t>
      </w:r>
      <w:proofErr w:type="gramEnd"/>
      <w:r w:rsidR="00844E10" w:rsidRPr="00844E10">
        <w:t xml:space="preserve"> prices are to be calculated, determined or otherwise regulated. We will also issue a final decision that explains the reasons for our price determination.</w:t>
      </w:r>
    </w:p>
    <w:p w14:paraId="5827A5F0" w14:textId="6B7F6E18" w:rsidR="00844E10" w:rsidRPr="00844E10" w:rsidRDefault="00B315D5" w:rsidP="00F22C01">
      <w:pPr>
        <w:pStyle w:val="Heading2"/>
      </w:pPr>
      <w:bookmarkStart w:id="54" w:name="_Toc161400971"/>
      <w:r>
        <w:t>1.3</w:t>
      </w:r>
      <w:r>
        <w:tab/>
      </w:r>
      <w:r w:rsidR="00844E10" w:rsidRPr="00844E10">
        <w:t xml:space="preserve">We assess prices against the WIRO and other legal </w:t>
      </w:r>
      <w:proofErr w:type="gramStart"/>
      <w:r w:rsidR="00844E10" w:rsidRPr="00844E10">
        <w:t>requirements</w:t>
      </w:r>
      <w:bookmarkEnd w:id="54"/>
      <w:proofErr w:type="gramEnd"/>
      <w:r w:rsidR="00844E10" w:rsidRPr="00844E10">
        <w:t xml:space="preserve"> </w:t>
      </w:r>
    </w:p>
    <w:p w14:paraId="0415C1A8" w14:textId="77777777" w:rsidR="00844E10" w:rsidRPr="00844E10" w:rsidRDefault="00844E10" w:rsidP="004B0461">
      <w:r w:rsidRPr="00844E10">
        <w:t xml:space="preserve">Clause 11 of the WIRO specifies the mandatory factors we must have regard to when making a price determination, including matters set out in the WIRO, the WI Act and the ESC Act. In reaching this draft decision, we have had regard to each of the matters required by clause 11 of the WIRO, including: </w:t>
      </w:r>
    </w:p>
    <w:p w14:paraId="51B2F8DC" w14:textId="77777777" w:rsidR="00844E10" w:rsidRPr="00844E10" w:rsidRDefault="00844E10" w:rsidP="00ED1290">
      <w:pPr>
        <w:pStyle w:val="ListBullet"/>
      </w:pPr>
      <w:r w:rsidRPr="00844E10">
        <w:t xml:space="preserve">the objectives and matters specified in clause 8 of the WIRO, which include economic efficiency and viability matters, industry specific matters, customer matters, health, safety, environmental and social matters, and other matters which are specified in sections 8 and 8A of the ESC Act and section 4C of the WI Act </w:t>
      </w:r>
    </w:p>
    <w:p w14:paraId="5A01FDEA" w14:textId="77777777" w:rsidR="00844E10" w:rsidRPr="00844E10" w:rsidRDefault="00844E10" w:rsidP="00ED1290">
      <w:pPr>
        <w:pStyle w:val="ListBullet"/>
      </w:pPr>
      <w:r w:rsidRPr="00844E10">
        <w:t xml:space="preserve">the matters set out in section 33(3) of the ESC Act, which include the return on assets, relevant benchmarking and any other matters that the ESC considers </w:t>
      </w:r>
      <w:proofErr w:type="gramStart"/>
      <w:r w:rsidRPr="00844E10">
        <w:t>relevant</w:t>
      </w:r>
      <w:proofErr w:type="gramEnd"/>
    </w:p>
    <w:p w14:paraId="1976ECBA" w14:textId="6039C133" w:rsidR="00844E10" w:rsidRPr="00844E10" w:rsidRDefault="00844E10" w:rsidP="00ED1290">
      <w:pPr>
        <w:pStyle w:val="ListBullet"/>
      </w:pPr>
      <w:r w:rsidRPr="00844E10">
        <w:lastRenderedPageBreak/>
        <w:t>the matters specified in our guidance</w:t>
      </w:r>
      <w:r w:rsidR="00543557">
        <w:rPr>
          <w:rStyle w:val="FootnoteReference"/>
        </w:rPr>
        <w:footnoteReference w:id="10"/>
      </w:r>
      <w:r w:rsidRPr="00844E10">
        <w:t xml:space="preserve"> </w:t>
      </w:r>
    </w:p>
    <w:p w14:paraId="02645292" w14:textId="77777777" w:rsidR="00844E10" w:rsidRPr="00844E10" w:rsidRDefault="00844E10" w:rsidP="00ED1290">
      <w:pPr>
        <w:pStyle w:val="ListBullet"/>
      </w:pPr>
      <w:r w:rsidRPr="00844E10">
        <w:t>the principle that prices should be easily understood by customers and provide signals about the efficient costs of providing services, while avoiding price shocks where possible</w:t>
      </w:r>
    </w:p>
    <w:p w14:paraId="5DC06AF4" w14:textId="77777777" w:rsidR="00844E10" w:rsidRPr="00844E10" w:rsidRDefault="00844E10" w:rsidP="00ED1290">
      <w:pPr>
        <w:pStyle w:val="ListBullet"/>
      </w:pPr>
      <w:r w:rsidRPr="00844E10">
        <w:t xml:space="preserve">the principle that prices should </w:t>
      </w:r>
      <w:proofErr w:type="gramStart"/>
      <w:r w:rsidRPr="00844E10">
        <w:t>take into account</w:t>
      </w:r>
      <w:proofErr w:type="gramEnd"/>
      <w:r w:rsidRPr="00844E10">
        <w:t xml:space="preserve"> the interests of customers of the regulated entity, including low income and vulnerable customers.</w:t>
      </w:r>
    </w:p>
    <w:p w14:paraId="39D3EA29" w14:textId="3530C9C2" w:rsidR="00844E10" w:rsidRPr="00844E10" w:rsidRDefault="00844E10" w:rsidP="004B0461">
      <w:r w:rsidRPr="00844E10">
        <w:t>A</w:t>
      </w:r>
      <w:r w:rsidR="003B327F">
        <w:t>ttachment</w:t>
      </w:r>
      <w:r w:rsidR="00357B85">
        <w:t xml:space="preserve"> B</w:t>
      </w:r>
      <w:r w:rsidR="00B4376F">
        <w:t xml:space="preserve"> </w:t>
      </w:r>
      <w:r w:rsidRPr="00844E10">
        <w:t>lists the specific objectives and the various matters we must have regard to when making a price determination and provides a guide to where we have done so in this draft decision.</w:t>
      </w:r>
      <w:r w:rsidR="00392C6B">
        <w:t xml:space="preserve"> </w:t>
      </w:r>
      <w:r w:rsidR="00B4376F">
        <w:t>Table 1.1 summarises the matters we must have regard to and groups them into themes.</w:t>
      </w:r>
    </w:p>
    <w:p w14:paraId="11CAF75F" w14:textId="2DB2680C" w:rsidR="00844E10" w:rsidRPr="00844E10" w:rsidRDefault="00844E10" w:rsidP="004B0461">
      <w:r w:rsidRPr="005A049D">
        <w:t xml:space="preserve">In </w:t>
      </w:r>
      <w:r w:rsidR="006C48CC" w:rsidRPr="005A049D">
        <w:t>September</w:t>
      </w:r>
      <w:r w:rsidRPr="005A049D">
        <w:t xml:space="preserve"> 202</w:t>
      </w:r>
      <w:r w:rsidR="006C48CC" w:rsidRPr="005A049D">
        <w:t>2</w:t>
      </w:r>
      <w:r w:rsidRPr="00844E10">
        <w:t xml:space="preserve">, we issued guidance to </w:t>
      </w:r>
      <w:r w:rsidR="00AA1D9F">
        <w:t>Greater Western Water</w:t>
      </w:r>
      <w:r w:rsidRPr="00844E10">
        <w:t xml:space="preserve"> to inform its price submission. The guidance set out how we would assess </w:t>
      </w:r>
      <w:r w:rsidR="00AA1D9F">
        <w:t>Greater Western Water</w:t>
      </w:r>
      <w:r w:rsidRPr="00844E10">
        <w:t>’s submission against the matters we must consider under clause</w:t>
      </w:r>
      <w:r w:rsidR="00787586">
        <w:t> </w:t>
      </w:r>
      <w:r w:rsidRPr="00844E10">
        <w:t xml:space="preserve">11 of the WIRO. It also outlined our expectation that </w:t>
      </w:r>
      <w:r w:rsidR="00AA1D9F">
        <w:t>Greater Western Water</w:t>
      </w:r>
      <w:r w:rsidRPr="00844E10">
        <w:t xml:space="preserve"> would comply with certain requirements and specified information that </w:t>
      </w:r>
      <w:r w:rsidR="00AA1D9F">
        <w:t>Greater Western Water</w:t>
      </w:r>
      <w:r w:rsidRPr="00844E10">
        <w:t xml:space="preserve"> must provide to us when submitting its price submission.</w:t>
      </w:r>
    </w:p>
    <w:p w14:paraId="3280AE23" w14:textId="4C67C661" w:rsidR="00844E10" w:rsidRPr="00844E10" w:rsidRDefault="00844E10" w:rsidP="004B0461">
      <w:r w:rsidRPr="00844E10">
        <w:t>If we consider the price submission has adequate regard for the matters in clause</w:t>
      </w:r>
      <w:r w:rsidR="00787586">
        <w:t> </w:t>
      </w:r>
      <w:r w:rsidRPr="00844E10">
        <w:t xml:space="preserve">11 of the WIRO and complies with our guidance, we must approve </w:t>
      </w:r>
      <w:r w:rsidR="00AA1D9F">
        <w:t>Greater Western Water</w:t>
      </w:r>
      <w:r w:rsidRPr="00844E10">
        <w:t>’s proposed prices.</w:t>
      </w:r>
      <w:r w:rsidR="00262546">
        <w:rPr>
          <w:rStyle w:val="FootnoteReference"/>
        </w:rPr>
        <w:footnoteReference w:id="11"/>
      </w:r>
      <w:r w:rsidR="00392C6B">
        <w:t xml:space="preserve"> </w:t>
      </w:r>
    </w:p>
    <w:p w14:paraId="0DA53827" w14:textId="1227AC2C" w:rsidR="00844E10" w:rsidRPr="00844E10" w:rsidRDefault="00844E10" w:rsidP="004B0461">
      <w:r w:rsidRPr="00844E10">
        <w:t>If we consider the submission does not have adequate regard for the matters specified in clause</w:t>
      </w:r>
      <w:r w:rsidR="00787586">
        <w:t> </w:t>
      </w:r>
      <w:r w:rsidRPr="00844E10">
        <w:t xml:space="preserve">11 of the WIRO or does not comply with our guidance, we may specify maximum prices, or the </w:t>
      </w:r>
      <w:proofErr w:type="gramStart"/>
      <w:r w:rsidRPr="00844E10">
        <w:t>manner in which</w:t>
      </w:r>
      <w:proofErr w:type="gramEnd"/>
      <w:r w:rsidRPr="00844E10">
        <w:t xml:space="preserve"> prices are to be calculated, determined or otherwise regulated.</w:t>
      </w:r>
      <w:r w:rsidR="003A3C18">
        <w:rPr>
          <w:rStyle w:val="FootnoteReference"/>
        </w:rPr>
        <w:footnoteReference w:id="12"/>
      </w:r>
      <w:r w:rsidR="00392C6B">
        <w:t xml:space="preserve"> </w:t>
      </w:r>
    </w:p>
    <w:p w14:paraId="7FC991D1" w14:textId="77777777" w:rsidR="00E02D43" w:rsidRDefault="00E02D43" w:rsidP="00F22C01">
      <w:pPr>
        <w:pStyle w:val="Heading2"/>
        <w:sectPr w:rsidR="00E02D43" w:rsidSect="00736B75">
          <w:footerReference w:type="default" r:id="rId31"/>
          <w:type w:val="continuous"/>
          <w:pgSz w:w="11906" w:h="16838" w:code="9"/>
          <w:pgMar w:top="1134" w:right="1134" w:bottom="1134" w:left="1134" w:header="709" w:footer="692" w:gutter="0"/>
          <w:pgNumType w:start="1"/>
          <w:cols w:space="708"/>
          <w:docGrid w:linePitch="360"/>
        </w:sectPr>
      </w:pPr>
    </w:p>
    <w:p w14:paraId="6234DFAA" w14:textId="7FC62001" w:rsidR="00B13D78" w:rsidRDefault="00B13D78" w:rsidP="00B13D78">
      <w:pPr>
        <w:pStyle w:val="Figure-Table-BoxHeading"/>
      </w:pPr>
      <w:r>
        <w:lastRenderedPageBreak/>
        <w:t>Table 1.1</w:t>
      </w:r>
      <w:r>
        <w:tab/>
      </w:r>
      <w:r w:rsidRPr="00322E17">
        <w:t>Matters businesses and the commission must have regard to</w:t>
      </w:r>
    </w:p>
    <w:tbl>
      <w:tblPr>
        <w:tblStyle w:val="TableGrid2"/>
        <w:tblW w:w="14601" w:type="dxa"/>
        <w:tblLook w:val="04A0" w:firstRow="1" w:lastRow="0" w:firstColumn="1" w:lastColumn="0" w:noHBand="0" w:noVBand="1"/>
      </w:tblPr>
      <w:tblGrid>
        <w:gridCol w:w="4906"/>
        <w:gridCol w:w="4450"/>
        <w:gridCol w:w="5245"/>
      </w:tblGrid>
      <w:tr w:rsidR="00B13D78" w:rsidRPr="007B5833" w14:paraId="0B9AD1C6" w14:textId="77777777" w:rsidTr="00745285">
        <w:trPr>
          <w:cnfStyle w:val="100000000000" w:firstRow="1" w:lastRow="0" w:firstColumn="0" w:lastColumn="0" w:oddVBand="0" w:evenVBand="0" w:oddHBand="0" w:evenHBand="0" w:firstRowFirstColumn="0" w:firstRowLastColumn="0" w:lastRowFirstColumn="0" w:lastRowLastColumn="0"/>
          <w:trHeight w:val="209"/>
        </w:trPr>
        <w:tc>
          <w:tcPr>
            <w:tcW w:w="4906" w:type="dxa"/>
          </w:tcPr>
          <w:p w14:paraId="21755B78" w14:textId="77777777" w:rsidR="00B13D78" w:rsidRPr="007B5833" w:rsidRDefault="00B13D78" w:rsidP="00321534">
            <w:pPr>
              <w:pStyle w:val="TableHeading"/>
            </w:pPr>
            <w:r w:rsidRPr="007B5833">
              <w:t>Economic efficiency and viability matters</w:t>
            </w:r>
          </w:p>
        </w:tc>
        <w:tc>
          <w:tcPr>
            <w:tcW w:w="4450" w:type="dxa"/>
          </w:tcPr>
          <w:p w14:paraId="2E42D4D9" w14:textId="77777777" w:rsidR="00B13D78" w:rsidRPr="007B5833" w:rsidRDefault="00B13D78" w:rsidP="00321534">
            <w:pPr>
              <w:pStyle w:val="TableHeading"/>
            </w:pPr>
            <w:r w:rsidRPr="007B5833">
              <w:t>Industry/business specific matters</w:t>
            </w:r>
          </w:p>
        </w:tc>
        <w:tc>
          <w:tcPr>
            <w:tcW w:w="5245" w:type="dxa"/>
          </w:tcPr>
          <w:p w14:paraId="54EC62E5" w14:textId="77777777" w:rsidR="00B13D78" w:rsidRPr="007B5833" w:rsidRDefault="00B13D78" w:rsidP="00321534">
            <w:pPr>
              <w:pStyle w:val="TableHeading"/>
            </w:pPr>
            <w:r w:rsidRPr="007B5833">
              <w:t>Customer matters</w:t>
            </w:r>
          </w:p>
        </w:tc>
      </w:tr>
      <w:tr w:rsidR="00B13D78" w:rsidRPr="007B5833" w14:paraId="3490C456" w14:textId="77777777" w:rsidTr="00745285">
        <w:trPr>
          <w:cnfStyle w:val="000000100000" w:firstRow="0" w:lastRow="0" w:firstColumn="0" w:lastColumn="0" w:oddVBand="0" w:evenVBand="0" w:oddHBand="1" w:evenHBand="0" w:firstRowFirstColumn="0" w:firstRowLastColumn="0" w:lastRowFirstColumn="0" w:lastRowLastColumn="0"/>
          <w:trHeight w:val="5695"/>
        </w:trPr>
        <w:tc>
          <w:tcPr>
            <w:tcW w:w="4906" w:type="dxa"/>
          </w:tcPr>
          <w:p w14:paraId="6F2B473C" w14:textId="77777777" w:rsidR="001141A7" w:rsidRPr="00FC327F" w:rsidRDefault="001141A7" w:rsidP="00ED1290">
            <w:pPr>
              <w:pStyle w:val="TableBullet"/>
            </w:pPr>
            <w:r w:rsidRPr="00FC327F">
              <w:t>promotion of efficient use of prescribed services by customers [cl 8(b)(</w:t>
            </w:r>
            <w:proofErr w:type="spellStart"/>
            <w:r w:rsidRPr="00FC327F">
              <w:t>i</w:t>
            </w:r>
            <w:proofErr w:type="spellEnd"/>
            <w:r w:rsidRPr="00FC327F">
              <w:t>), WIRO]</w:t>
            </w:r>
          </w:p>
          <w:p w14:paraId="6A58CE3E" w14:textId="77777777" w:rsidR="001141A7" w:rsidRPr="00FC327F" w:rsidRDefault="001141A7" w:rsidP="00ED1290">
            <w:pPr>
              <w:pStyle w:val="TableBullet"/>
            </w:pPr>
            <w:r w:rsidRPr="00FC327F">
              <w:t>promotion of efficiency in regulated entities as well as efficiency in, and the financial viability of, the regulated water industry [cl 8(b)(ii), WIRO]</w:t>
            </w:r>
          </w:p>
          <w:p w14:paraId="6BED0DB1" w14:textId="77777777" w:rsidR="001141A7" w:rsidRPr="00FC327F" w:rsidRDefault="001141A7" w:rsidP="00ED1290">
            <w:pPr>
              <w:pStyle w:val="TableBullet"/>
            </w:pPr>
            <w:r w:rsidRPr="00FC327F">
              <w:t>provision to regulated entities of incentives to pursue efficiency improvements [cl 8(b)(iii), WIRO]</w:t>
            </w:r>
          </w:p>
          <w:p w14:paraId="00333218" w14:textId="77777777" w:rsidR="001141A7" w:rsidRPr="00FC327F" w:rsidRDefault="001141A7" w:rsidP="00ED1290">
            <w:pPr>
              <w:pStyle w:val="TableBullet"/>
            </w:pPr>
            <w:r w:rsidRPr="00FC327F">
              <w:t>efficiency in the industry and incentives for long term investment [s. 8A(1)(a), ESC Act]</w:t>
            </w:r>
          </w:p>
          <w:p w14:paraId="471580AF" w14:textId="77777777" w:rsidR="001141A7" w:rsidRPr="00FC327F" w:rsidRDefault="001141A7" w:rsidP="00ED1290">
            <w:pPr>
              <w:pStyle w:val="TableBullet"/>
            </w:pPr>
            <w:r w:rsidRPr="00FC327F">
              <w:t>efficient costs of producing or supplying regulated goods or services and of complying with relevant legislation and relevant health, safety, environmental and social legislation applying to the regulated industry [s. 33(3)(b), ESC Act]</w:t>
            </w:r>
          </w:p>
          <w:p w14:paraId="06F94029" w14:textId="1EF69BBC" w:rsidR="00B13D78" w:rsidRPr="001C290D" w:rsidRDefault="001141A7" w:rsidP="00ED1290">
            <w:pPr>
              <w:pStyle w:val="TableBullet"/>
            </w:pPr>
            <w:r w:rsidRPr="00FC327F">
              <w:t>financial viability of the industry [s. 8A(b)(1), ESC Act]</w:t>
            </w:r>
          </w:p>
        </w:tc>
        <w:tc>
          <w:tcPr>
            <w:tcW w:w="4450" w:type="dxa"/>
          </w:tcPr>
          <w:p w14:paraId="231F0DE2" w14:textId="77777777" w:rsidR="00B13D78" w:rsidRPr="001C290D" w:rsidRDefault="00B13D78" w:rsidP="00ED1290">
            <w:pPr>
              <w:pStyle w:val="TableBullet"/>
            </w:pPr>
            <w:proofErr w:type="gramStart"/>
            <w:r w:rsidRPr="001C290D">
              <w:t>particular circumstances</w:t>
            </w:r>
            <w:proofErr w:type="gramEnd"/>
            <w:r w:rsidRPr="001C290D">
              <w:t xml:space="preserve"> of the regulated industry and the prescribed goods and services for which the determination is being made [s</w:t>
            </w:r>
            <w:r>
              <w:t>. </w:t>
            </w:r>
            <w:r w:rsidRPr="001C290D">
              <w:t>33(3)(a), ESC Act]</w:t>
            </w:r>
          </w:p>
          <w:p w14:paraId="79645849" w14:textId="77777777" w:rsidR="00B13D78" w:rsidRPr="001C290D" w:rsidRDefault="00B13D78" w:rsidP="00ED1290">
            <w:pPr>
              <w:pStyle w:val="TableBullet"/>
            </w:pPr>
            <w:r w:rsidRPr="001C290D">
              <w:t>return on assets in the regulated industry [s</w:t>
            </w:r>
            <w:r>
              <w:t>. </w:t>
            </w:r>
            <w:r w:rsidRPr="001C290D">
              <w:t>33(3)(c), ESC Act]</w:t>
            </w:r>
          </w:p>
          <w:p w14:paraId="199BE9C6" w14:textId="5DE8787D" w:rsidR="00B13D78" w:rsidRPr="001C290D" w:rsidRDefault="00B13D78" w:rsidP="00ED1290">
            <w:pPr>
              <w:pStyle w:val="TableBullet"/>
            </w:pPr>
            <w:r w:rsidRPr="001C290D">
              <w:t xml:space="preserve">ensure that regulatory decision </w:t>
            </w:r>
            <w:proofErr w:type="gramStart"/>
            <w:r w:rsidRPr="001C290D">
              <w:t>making</w:t>
            </w:r>
            <w:proofErr w:type="gramEnd"/>
            <w:r w:rsidRPr="001C290D">
              <w:t xml:space="preserve"> and regulatory processes have regard to any differences between the operating environments of regulated entities [s</w:t>
            </w:r>
            <w:r>
              <w:t>.</w:t>
            </w:r>
            <w:r w:rsidR="008E1E7B">
              <w:t> </w:t>
            </w:r>
            <w:r w:rsidRPr="001C290D">
              <w:t>4C(b), WI Act]</w:t>
            </w:r>
          </w:p>
        </w:tc>
        <w:tc>
          <w:tcPr>
            <w:tcW w:w="5245" w:type="dxa"/>
          </w:tcPr>
          <w:p w14:paraId="0D641126" w14:textId="77777777" w:rsidR="00B13D78" w:rsidRPr="001C290D" w:rsidRDefault="00B13D78" w:rsidP="00ED1290">
            <w:pPr>
              <w:pStyle w:val="TableBullet"/>
            </w:pPr>
            <w:r w:rsidRPr="001C290D">
              <w:t xml:space="preserve">in performing its functions and exercising its powers, the objective of the Commission is to promote the </w:t>
            </w:r>
            <w:proofErr w:type="gramStart"/>
            <w:r w:rsidRPr="001C290D">
              <w:t>long term</w:t>
            </w:r>
            <w:proofErr w:type="gramEnd"/>
            <w:r w:rsidRPr="001C290D">
              <w:t xml:space="preserve"> interests of Victorian consumers [s</w:t>
            </w:r>
            <w:r>
              <w:t>.</w:t>
            </w:r>
            <w:r w:rsidRPr="001C290D">
              <w:t xml:space="preserve"> 8(1), ESC Act] without derogating from that objective. The Commission must in seeking to achieve the objective have regard to the price, </w:t>
            </w:r>
            <w:proofErr w:type="gramStart"/>
            <w:r w:rsidRPr="001C290D">
              <w:t>quality</w:t>
            </w:r>
            <w:proofErr w:type="gramEnd"/>
            <w:r w:rsidRPr="001C290D">
              <w:t xml:space="preserve"> and reliability of essential services [s</w:t>
            </w:r>
            <w:r>
              <w:t>.</w:t>
            </w:r>
            <w:r w:rsidRPr="001C290D">
              <w:t xml:space="preserve"> 8(2), ESC Act]</w:t>
            </w:r>
          </w:p>
          <w:p w14:paraId="52F28578" w14:textId="77777777" w:rsidR="00B13D78" w:rsidRPr="001C290D" w:rsidRDefault="00B13D78" w:rsidP="00ED1290">
            <w:pPr>
              <w:pStyle w:val="TableBullet"/>
            </w:pPr>
            <w:r w:rsidRPr="001C290D">
              <w:t xml:space="preserve">enable customers or potential customers of the regulated entity to easily understand the prices charged by the regulated entity for prescribed services or the </w:t>
            </w:r>
            <w:proofErr w:type="gramStart"/>
            <w:r w:rsidRPr="001C290D">
              <w:t>manner in which</w:t>
            </w:r>
            <w:proofErr w:type="gramEnd"/>
            <w:r w:rsidRPr="001C290D">
              <w:t xml:space="preserve"> such prices are calculated, determined or otherwise regulated [cl</w:t>
            </w:r>
            <w:r>
              <w:t> </w:t>
            </w:r>
            <w:r w:rsidRPr="001C290D">
              <w:t>11(d)(</w:t>
            </w:r>
            <w:proofErr w:type="spellStart"/>
            <w:r w:rsidRPr="001C290D">
              <w:t>i</w:t>
            </w:r>
            <w:proofErr w:type="spellEnd"/>
            <w:r w:rsidRPr="001C290D">
              <w:t>), WIRO]</w:t>
            </w:r>
          </w:p>
          <w:p w14:paraId="3CF71BF1" w14:textId="77777777" w:rsidR="00B13D78" w:rsidRPr="001C290D" w:rsidRDefault="00B13D78" w:rsidP="00ED1290">
            <w:pPr>
              <w:pStyle w:val="TableBullet"/>
            </w:pPr>
            <w:r w:rsidRPr="001C290D">
              <w:t>provide signals about the efficient costs of providing prescribed services to customers (either collectively or to an individual customer or class of customers) while avoiding price shocks where possible [cl</w:t>
            </w:r>
            <w:r>
              <w:t> </w:t>
            </w:r>
            <w:r w:rsidRPr="001C290D">
              <w:t>11(d)(ii), WIRO]</w:t>
            </w:r>
          </w:p>
          <w:p w14:paraId="6EF7D419" w14:textId="77777777" w:rsidR="00B13D78" w:rsidRPr="001C290D" w:rsidRDefault="00B13D78" w:rsidP="00ED1290">
            <w:pPr>
              <w:pStyle w:val="TableBullet"/>
            </w:pPr>
            <w:proofErr w:type="gramStart"/>
            <w:r w:rsidRPr="001C290D">
              <w:t>take into account</w:t>
            </w:r>
            <w:proofErr w:type="gramEnd"/>
            <w:r w:rsidRPr="001C290D">
              <w:t xml:space="preserve"> the interests of customers of the regulated entity, including low income and vulnerable customers [cl 11(d)(iii), WIRO]</w:t>
            </w:r>
          </w:p>
        </w:tc>
      </w:tr>
    </w:tbl>
    <w:p w14:paraId="30C8D775" w14:textId="77777777" w:rsidR="00B13D78" w:rsidRDefault="00B13D78" w:rsidP="00B13D78">
      <w:pPr>
        <w:pStyle w:val="Source"/>
      </w:pPr>
      <w:r>
        <w:t xml:space="preserve">Continued next </w:t>
      </w:r>
      <w:proofErr w:type="gramStart"/>
      <w:r>
        <w:t>page</w:t>
      </w:r>
      <w:proofErr w:type="gramEnd"/>
    </w:p>
    <w:p w14:paraId="23FE7088" w14:textId="77777777" w:rsidR="00B13D78" w:rsidRDefault="00B13D78" w:rsidP="00711BE0">
      <w:pPr>
        <w:pStyle w:val="Figure-Table-BoxHeading"/>
        <w:keepNext/>
      </w:pPr>
      <w:r w:rsidRPr="001919AD">
        <w:lastRenderedPageBreak/>
        <w:t>Table 1.1</w:t>
      </w:r>
      <w:r>
        <w:t xml:space="preserve"> (continued)</w:t>
      </w:r>
    </w:p>
    <w:tbl>
      <w:tblPr>
        <w:tblStyle w:val="TableGrid"/>
        <w:tblW w:w="0" w:type="auto"/>
        <w:tblLook w:val="04A0" w:firstRow="1" w:lastRow="0" w:firstColumn="1" w:lastColumn="0" w:noHBand="0" w:noVBand="1"/>
      </w:tblPr>
      <w:tblGrid>
        <w:gridCol w:w="4856"/>
        <w:gridCol w:w="4857"/>
        <w:gridCol w:w="4857"/>
      </w:tblGrid>
      <w:tr w:rsidR="00B13D78" w14:paraId="111CEF30" w14:textId="77777777" w:rsidTr="000A4073">
        <w:trPr>
          <w:cnfStyle w:val="100000000000" w:firstRow="1" w:lastRow="0" w:firstColumn="0" w:lastColumn="0" w:oddVBand="0" w:evenVBand="0" w:oddHBand="0" w:evenHBand="0" w:firstRowFirstColumn="0" w:firstRowLastColumn="0" w:lastRowFirstColumn="0" w:lastRowLastColumn="0"/>
        </w:trPr>
        <w:tc>
          <w:tcPr>
            <w:tcW w:w="4856" w:type="dxa"/>
          </w:tcPr>
          <w:p w14:paraId="732FE0C1" w14:textId="77777777" w:rsidR="00B13D78" w:rsidRDefault="00B13D78" w:rsidP="0090279F">
            <w:pPr>
              <w:pStyle w:val="TableHeading"/>
            </w:pPr>
            <w:r w:rsidRPr="0099305F">
              <w:t>Benchmarking</w:t>
            </w:r>
          </w:p>
        </w:tc>
        <w:tc>
          <w:tcPr>
            <w:tcW w:w="4857" w:type="dxa"/>
          </w:tcPr>
          <w:p w14:paraId="0ECE33AB" w14:textId="1E7B7CF1" w:rsidR="00B13D78" w:rsidRDefault="00B13D78" w:rsidP="000A4073">
            <w:pPr>
              <w:pStyle w:val="TableHeading"/>
            </w:pPr>
            <w:r w:rsidRPr="0099305F">
              <w:t>Health, safety</w:t>
            </w:r>
            <w:r w:rsidR="006E7575">
              <w:t xml:space="preserve">, </w:t>
            </w:r>
            <w:r w:rsidRPr="0099305F">
              <w:t xml:space="preserve">social </w:t>
            </w:r>
            <w:r w:rsidR="006E7575">
              <w:t xml:space="preserve">and environmental </w:t>
            </w:r>
            <w:r w:rsidRPr="0099305F">
              <w:t>obligations</w:t>
            </w:r>
          </w:p>
        </w:tc>
        <w:tc>
          <w:tcPr>
            <w:tcW w:w="4857" w:type="dxa"/>
          </w:tcPr>
          <w:p w14:paraId="17A0DBCC" w14:textId="77777777" w:rsidR="00B13D78" w:rsidRDefault="00B13D78" w:rsidP="000A4073">
            <w:pPr>
              <w:pStyle w:val="TableHeading"/>
            </w:pPr>
            <w:r w:rsidRPr="0099305F">
              <w:t>Other</w:t>
            </w:r>
          </w:p>
        </w:tc>
      </w:tr>
      <w:tr w:rsidR="00B13D78" w14:paraId="5F83B110" w14:textId="77777777" w:rsidTr="000A4073">
        <w:trPr>
          <w:cnfStyle w:val="000000100000" w:firstRow="0" w:lastRow="0" w:firstColumn="0" w:lastColumn="0" w:oddVBand="0" w:evenVBand="0" w:oddHBand="1" w:evenHBand="0" w:firstRowFirstColumn="0" w:firstRowLastColumn="0" w:lastRowFirstColumn="0" w:lastRowLastColumn="0"/>
        </w:trPr>
        <w:tc>
          <w:tcPr>
            <w:tcW w:w="4856" w:type="dxa"/>
          </w:tcPr>
          <w:p w14:paraId="1E10C241" w14:textId="77777777" w:rsidR="00B13D78" w:rsidRPr="001C290D" w:rsidRDefault="00B13D78" w:rsidP="00ED1290">
            <w:pPr>
              <w:pStyle w:val="TableBullet"/>
            </w:pPr>
            <w:r w:rsidRPr="001C290D">
              <w:t>any relevant interstate and international benchmarks for prices, costs and return on assets in comparable industries [s</w:t>
            </w:r>
            <w:r>
              <w:t>.</w:t>
            </w:r>
            <w:r w:rsidRPr="001C290D">
              <w:t xml:space="preserve"> 33(3)(d), ESC Act]</w:t>
            </w:r>
          </w:p>
        </w:tc>
        <w:tc>
          <w:tcPr>
            <w:tcW w:w="4857" w:type="dxa"/>
          </w:tcPr>
          <w:p w14:paraId="03F90BD6" w14:textId="77777777" w:rsidR="00B13D78" w:rsidRPr="001C290D" w:rsidRDefault="00B13D78" w:rsidP="00ED1290">
            <w:pPr>
              <w:pStyle w:val="TableBullet"/>
            </w:pPr>
            <w:r w:rsidRPr="001C290D">
              <w:t>the relevant health, safety, environmental and social legislation applying to the industry [s</w:t>
            </w:r>
            <w:r>
              <w:t> </w:t>
            </w:r>
            <w:r w:rsidRPr="001C290D">
              <w:t xml:space="preserve">8A(1)(d), ESC Act] </w:t>
            </w:r>
          </w:p>
          <w:p w14:paraId="0447CA84" w14:textId="77777777" w:rsidR="00B13D78" w:rsidRPr="001C290D" w:rsidRDefault="00B13D78" w:rsidP="00ED1290">
            <w:pPr>
              <w:pStyle w:val="TableBullet"/>
            </w:pPr>
            <w:r w:rsidRPr="001C290D">
              <w:t>to ensure that regulatory decision making has regard to the health, safety, environmental sustainability (including water conservation) and social obligations of regulated entities [s</w:t>
            </w:r>
            <w:r>
              <w:t>.</w:t>
            </w:r>
            <w:r w:rsidRPr="001C290D">
              <w:t xml:space="preserve"> 4C(c), WI Act]</w:t>
            </w:r>
          </w:p>
        </w:tc>
        <w:tc>
          <w:tcPr>
            <w:tcW w:w="4857" w:type="dxa"/>
          </w:tcPr>
          <w:p w14:paraId="5130DF27" w14:textId="77777777" w:rsidR="00B13D78" w:rsidRPr="001C290D" w:rsidRDefault="00B13D78" w:rsidP="00ED1290">
            <w:pPr>
              <w:pStyle w:val="TableBullet"/>
            </w:pPr>
            <w:r w:rsidRPr="001C290D">
              <w:t>the degree of, and scope for, competition within the industry, including countervailing market power and information asymmetries [s</w:t>
            </w:r>
            <w:r>
              <w:t>.</w:t>
            </w:r>
            <w:r w:rsidRPr="001C290D">
              <w:t xml:space="preserve"> 8A(1)(c), ESC Act]</w:t>
            </w:r>
          </w:p>
          <w:p w14:paraId="5AEDB3A8" w14:textId="77777777" w:rsidR="00B13D78" w:rsidRPr="001C290D" w:rsidRDefault="00B13D78" w:rsidP="00ED1290">
            <w:pPr>
              <w:pStyle w:val="TableBullet"/>
            </w:pPr>
            <w:r w:rsidRPr="001C290D">
              <w:t>consistency in regulation between States and on a national basis [s</w:t>
            </w:r>
            <w:r>
              <w:t>.</w:t>
            </w:r>
            <w:r w:rsidRPr="001C290D">
              <w:t xml:space="preserve"> 8A(1)(f), ESC Act]</w:t>
            </w:r>
          </w:p>
          <w:p w14:paraId="6C1221B9" w14:textId="77777777" w:rsidR="00B13D78" w:rsidRPr="001C290D" w:rsidRDefault="00B13D78" w:rsidP="00ED1290">
            <w:pPr>
              <w:pStyle w:val="TableBullet"/>
            </w:pPr>
            <w:r w:rsidRPr="001C290D">
              <w:t>the benefits and costs of regulation (including externalities and the gains from competition and efficiency) for—(</w:t>
            </w:r>
            <w:proofErr w:type="spellStart"/>
            <w:r w:rsidRPr="001C290D">
              <w:t>i</w:t>
            </w:r>
            <w:proofErr w:type="spellEnd"/>
            <w:r w:rsidRPr="001C290D">
              <w:t>) consumers and users of products or services (including low income and vulnerable consumers) (ii) regulated entities [s</w:t>
            </w:r>
            <w:r>
              <w:t>. </w:t>
            </w:r>
            <w:r w:rsidRPr="001C290D">
              <w:t>8A(1)(e), ESC Act]</w:t>
            </w:r>
          </w:p>
          <w:p w14:paraId="0EA4B36A" w14:textId="18A8EF42" w:rsidR="00B13D78" w:rsidRPr="001C290D" w:rsidRDefault="00B13D78" w:rsidP="00ED1290">
            <w:pPr>
              <w:pStyle w:val="TableBullet"/>
            </w:pPr>
            <w:r w:rsidRPr="001C290D">
              <w:t>wherever possible, to ensure that the costs of regulation do not exceed the benefits [s</w:t>
            </w:r>
            <w:r>
              <w:t>.</w:t>
            </w:r>
            <w:r w:rsidR="00A61A5B">
              <w:t> </w:t>
            </w:r>
            <w:r w:rsidRPr="001C290D">
              <w:t>4C(a), WI Act]</w:t>
            </w:r>
          </w:p>
        </w:tc>
      </w:tr>
    </w:tbl>
    <w:p w14:paraId="5A2C9E8F" w14:textId="77777777" w:rsidR="00B13D78" w:rsidRDefault="00B13D78" w:rsidP="00B13D78">
      <w:pPr>
        <w:pStyle w:val="Source"/>
        <w:jc w:val="left"/>
      </w:pPr>
      <w:r w:rsidRPr="006470E0">
        <w:rPr>
          <w:b/>
          <w:bCs/>
        </w:rPr>
        <w:t>Note:</w:t>
      </w:r>
      <w:r>
        <w:t xml:space="preserve"> References in the table are to the </w:t>
      </w:r>
      <w:r w:rsidRPr="00AD5C7C">
        <w:t>Water Industry Regulatory Order 2014</w:t>
      </w:r>
      <w:r>
        <w:t xml:space="preserve"> (WIRO)</w:t>
      </w:r>
      <w:r w:rsidRPr="00AD5C7C">
        <w:t>, the Essential Services Commission Act 2001 (</w:t>
      </w:r>
      <w:r>
        <w:t>ESC Act</w:t>
      </w:r>
      <w:r w:rsidRPr="00AD5C7C">
        <w:t>), and the Water Industry Act 1995 (</w:t>
      </w:r>
      <w:r>
        <w:t>WI Act</w:t>
      </w:r>
      <w:r w:rsidRPr="00AD5C7C">
        <w:t>).</w:t>
      </w:r>
    </w:p>
    <w:p w14:paraId="12BAEA6A" w14:textId="77777777" w:rsidR="00E02D43" w:rsidRDefault="00E02D43" w:rsidP="00F22C01">
      <w:pPr>
        <w:pStyle w:val="Heading2"/>
        <w:sectPr w:rsidR="00E02D43" w:rsidSect="00736B75">
          <w:footerReference w:type="default" r:id="rId32"/>
          <w:pgSz w:w="16838" w:h="11906" w:orient="landscape" w:code="9"/>
          <w:pgMar w:top="1134" w:right="1134" w:bottom="1134" w:left="1134" w:header="709" w:footer="692" w:gutter="0"/>
          <w:cols w:space="708"/>
          <w:docGrid w:linePitch="360"/>
        </w:sectPr>
      </w:pPr>
    </w:p>
    <w:p w14:paraId="1667F5EE" w14:textId="6E9CB48F" w:rsidR="00844E10" w:rsidRPr="00844E10" w:rsidRDefault="00B315D5" w:rsidP="00F22C01">
      <w:pPr>
        <w:pStyle w:val="Heading2"/>
      </w:pPr>
      <w:bookmarkStart w:id="55" w:name="_Toc161400972"/>
      <w:r>
        <w:lastRenderedPageBreak/>
        <w:t>1.4</w:t>
      </w:r>
      <w:r>
        <w:tab/>
      </w:r>
      <w:r w:rsidR="00844E10" w:rsidRPr="00844E10">
        <w:t>PREMO</w:t>
      </w:r>
      <w:bookmarkEnd w:id="55"/>
    </w:p>
    <w:p w14:paraId="7C198F52" w14:textId="4A9679A9" w:rsidR="00B8084F" w:rsidRDefault="00844E10" w:rsidP="00B8084F">
      <w:r w:rsidRPr="00844E10">
        <w:t xml:space="preserve">PREMO stands for </w:t>
      </w:r>
      <w:r w:rsidRPr="00220499">
        <w:rPr>
          <w:b/>
          <w:bCs/>
        </w:rPr>
        <w:t>P</w:t>
      </w:r>
      <w:r w:rsidRPr="00844E10">
        <w:t xml:space="preserve">erformance, </w:t>
      </w:r>
      <w:r w:rsidRPr="00220499">
        <w:rPr>
          <w:b/>
          <w:bCs/>
        </w:rPr>
        <w:t>R</w:t>
      </w:r>
      <w:r w:rsidRPr="00844E10">
        <w:t xml:space="preserve">isk, </w:t>
      </w:r>
      <w:r w:rsidRPr="00220499">
        <w:rPr>
          <w:b/>
          <w:bCs/>
        </w:rPr>
        <w:t>E</w:t>
      </w:r>
      <w:r w:rsidRPr="00844E10">
        <w:t xml:space="preserve">ngagement, </w:t>
      </w:r>
      <w:r w:rsidRPr="00220499">
        <w:rPr>
          <w:b/>
          <w:bCs/>
        </w:rPr>
        <w:t>M</w:t>
      </w:r>
      <w:r w:rsidRPr="00844E10">
        <w:t xml:space="preserve">anagement, and </w:t>
      </w:r>
      <w:r w:rsidRPr="00220499">
        <w:rPr>
          <w:b/>
          <w:bCs/>
        </w:rPr>
        <w:t>O</w:t>
      </w:r>
      <w:r w:rsidRPr="00844E10">
        <w:t xml:space="preserve">utcomes. </w:t>
      </w:r>
      <w:r w:rsidR="0048438E">
        <w:t>Each element of PREMO is summarised in Box</w:t>
      </w:r>
      <w:r w:rsidR="00D06EEA">
        <w:t> </w:t>
      </w:r>
      <w:r w:rsidR="0048438E">
        <w:t>1.1.</w:t>
      </w:r>
    </w:p>
    <w:p w14:paraId="65C92C0B" w14:textId="77777777" w:rsidR="00337BC4" w:rsidRDefault="00B8084F" w:rsidP="00276FC0">
      <w:r>
        <w:rPr>
          <w:noProof/>
        </w:rPr>
        <mc:AlternateContent>
          <mc:Choice Requires="wpc">
            <w:drawing>
              <wp:inline distT="0" distB="0" distL="0" distR="0" wp14:anchorId="33A8F059" wp14:editId="681CE9B7">
                <wp:extent cx="6115050" cy="3657762"/>
                <wp:effectExtent l="0" t="0" r="19050" b="19050"/>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 name="Text Box 6"/>
                        <wps:cNvSpPr txBox="1"/>
                        <wps:spPr>
                          <a:xfrm>
                            <a:off x="0" y="35722"/>
                            <a:ext cx="6115050" cy="3622040"/>
                          </a:xfrm>
                          <a:prstGeom prst="rect">
                            <a:avLst/>
                          </a:prstGeom>
                          <a:solidFill>
                            <a:schemeClr val="bg2">
                              <a:lumMod val="40000"/>
                              <a:lumOff val="60000"/>
                            </a:schemeClr>
                          </a:solidFill>
                          <a:ln w="6350">
                            <a:solidFill>
                              <a:prstClr val="black"/>
                            </a:solidFill>
                          </a:ln>
                        </wps:spPr>
                        <wps:txbx>
                          <w:txbxContent>
                            <w:p w14:paraId="7CAFC186" w14:textId="77777777" w:rsidR="00B8084F" w:rsidRDefault="00B8084F" w:rsidP="00B8084F">
                              <w:pPr>
                                <w:pStyle w:val="Figure-Table-BoxHeading"/>
                                <w:ind w:left="0" w:firstLine="0"/>
                              </w:pPr>
                              <w:r>
                                <w:t>Box 1.1</w:t>
                              </w:r>
                              <w:r>
                                <w:tab/>
                                <w:t>PREMO</w:t>
                              </w:r>
                            </w:p>
                            <w:p w14:paraId="7DA01B66" w14:textId="77777777" w:rsidR="00B8084F" w:rsidRDefault="00B8084F" w:rsidP="00B8084F">
                              <w:pPr>
                                <w:spacing w:before="120"/>
                              </w:pPr>
                              <w:r>
                                <w:t>Water businesses must demonstrate their level of ambition in delivering value for money for customers in their price submissions across the five PREMO elements:</w:t>
                              </w:r>
                            </w:p>
                            <w:p w14:paraId="024823A6" w14:textId="77777777" w:rsidR="00B8084F" w:rsidRDefault="00B8084F" w:rsidP="00ED1290">
                              <w:pPr>
                                <w:pStyle w:val="ListBullet"/>
                              </w:pPr>
                              <w:r>
                                <w:t>Performance — have the performance outcomes to which the business committed in the previous regulatory period been met or exceeded?</w:t>
                              </w:r>
                            </w:p>
                            <w:p w14:paraId="248C5A11" w14:textId="77777777" w:rsidR="00B8084F" w:rsidRDefault="00B8084F" w:rsidP="00ED1290">
                              <w:pPr>
                                <w:pStyle w:val="ListBullet"/>
                              </w:pPr>
                              <w:r>
                                <w:t>Risk — has the business sought to allocate risk to the party best positioned to manage that risk? To what extent has the business accepted risk on behalf of its customers?</w:t>
                              </w:r>
                            </w:p>
                            <w:p w14:paraId="376811F3" w14:textId="77777777" w:rsidR="00B8084F" w:rsidRDefault="00B8084F" w:rsidP="00ED1290">
                              <w:pPr>
                                <w:pStyle w:val="ListBullet"/>
                              </w:pPr>
                              <w:r>
                                <w:t>Engagement — how effective was the business’s customer engagement to inform its price submission?</w:t>
                              </w:r>
                            </w:p>
                            <w:p w14:paraId="2E85649B" w14:textId="77777777" w:rsidR="00B8084F" w:rsidRDefault="00B8084F" w:rsidP="00ED1290">
                              <w:pPr>
                                <w:pStyle w:val="ListBullet"/>
                              </w:pPr>
                              <w:r>
                                <w:t>Management — is there a strong focus on efficiency? Are controllable costs increasing, staying the same, or decreasing? Is the price submission succinct and free of material errors?</w:t>
                              </w:r>
                            </w:p>
                            <w:p w14:paraId="4E71532B" w14:textId="77777777" w:rsidR="00B8084F" w:rsidRDefault="00B8084F" w:rsidP="00ED1290">
                              <w:pPr>
                                <w:pStyle w:val="ListBullet"/>
                              </w:pPr>
                              <w:r>
                                <w:t>Outcomes — do proposed service outcomes represent an improvement, the status quo, or a reduction of service standards?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wpc:wpc>
                  </a:graphicData>
                </a:graphic>
              </wp:inline>
            </w:drawing>
          </mc:Choice>
          <mc:Fallback>
            <w:pict>
              <v:group w14:anchorId="33A8F059" id="Canvas 22" o:spid="_x0000_s1026" editas="canvas" style="width:481.5pt;height:4in;mso-position-horizontal-relative:char;mso-position-vertical-relative:line" coordsize="61150,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">
                <v:shape id="_x0000_s1027" type="#_x0000_t75" style="position:absolute;width:61150;height:36576;visibility:visible;mso-wrap-style:square" filled="t">
                  <v:fill o:detectmouseclick="t"/>
                  <v:path o:connecttype="none"/>
                </v:shape>
                <v:shapetype id="_x0000_t202" coordsize="21600,21600" o:spt="202" path="m,l,21600r21600,l21600,xe">
                  <v:stroke joinstyle="miter"/>
                  <v:path gradientshapeok="t" o:connecttype="rect"/>
                </v:shapetype>
                <v:shape id="Text Box 6" o:spid="_x0000_s1028" type="#_x0000_t202" style="position:absolute;top:357;width:61150;height:36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" fillcolor="#c7c8ca [1310]" strokeweight=".5pt">
                  <v:textbox style="mso-fit-shape-to-text:t" inset=",0,,0">
                    <w:txbxContent>
                      <w:p w14:paraId="7CAFC186" w14:textId="77777777" w:rsidR="00B8084F" w:rsidRDefault="00B8084F" w:rsidP="00B8084F">
                        <w:pPr>
                          <w:pStyle w:val="Figure-Table-BoxHeading"/>
                          <w:ind w:left="0" w:firstLine="0"/>
                        </w:pPr>
                        <w:r>
                          <w:t>Box 1.1</w:t>
                        </w:r>
                        <w:r>
                          <w:tab/>
                          <w:t>PREMO</w:t>
                        </w:r>
                      </w:p>
                      <w:p w14:paraId="7DA01B66" w14:textId="77777777" w:rsidR="00B8084F" w:rsidRDefault="00B8084F" w:rsidP="00B8084F">
                        <w:pPr>
                          <w:spacing w:before="120"/>
                        </w:pPr>
                        <w:r>
                          <w:t>Water businesses must demonstrate their level of ambition in delivering value for money for customers in their price submissions across the five PREMO elements:</w:t>
                        </w:r>
                      </w:p>
                      <w:p w14:paraId="024823A6" w14:textId="77777777" w:rsidR="00B8084F" w:rsidRDefault="00B8084F" w:rsidP="00ED1290">
                        <w:pPr>
                          <w:pStyle w:val="ListBullet"/>
                        </w:pPr>
                        <w:r>
                          <w:t>Performance — have the performance outcomes to which the business committed in the previous regulatory period been met or exceeded?</w:t>
                        </w:r>
                      </w:p>
                      <w:p w14:paraId="248C5A11" w14:textId="77777777" w:rsidR="00B8084F" w:rsidRDefault="00B8084F" w:rsidP="00ED1290">
                        <w:pPr>
                          <w:pStyle w:val="ListBullet"/>
                        </w:pPr>
                        <w:r>
                          <w:t>Risk — has the business sought to allocate risk to the party best positioned to manage that risk? To what extent has the business accepted risk on behalf of its customers?</w:t>
                        </w:r>
                      </w:p>
                      <w:p w14:paraId="376811F3" w14:textId="77777777" w:rsidR="00B8084F" w:rsidRDefault="00B8084F" w:rsidP="00ED1290">
                        <w:pPr>
                          <w:pStyle w:val="ListBullet"/>
                        </w:pPr>
                        <w:r>
                          <w:t>Engagement — how effective was the business’s customer engagement to inform its price submission?</w:t>
                        </w:r>
                      </w:p>
                      <w:p w14:paraId="2E85649B" w14:textId="77777777" w:rsidR="00B8084F" w:rsidRDefault="00B8084F" w:rsidP="00ED1290">
                        <w:pPr>
                          <w:pStyle w:val="ListBullet"/>
                        </w:pPr>
                        <w:r>
                          <w:t>Management — is there a strong focus on efficiency? Are controllable costs increasing, staying the same, or decreasing? Is the price submission succinct and free of material errors?</w:t>
                        </w:r>
                      </w:p>
                      <w:p w14:paraId="4E71532B" w14:textId="77777777" w:rsidR="00B8084F" w:rsidRDefault="00B8084F" w:rsidP="00ED1290">
                        <w:pPr>
                          <w:pStyle w:val="ListBullet"/>
                        </w:pPr>
                        <w:r>
                          <w:t>Outcomes — do proposed service outcomes represent an improvement, the status quo, or a reduction of service standards?</w:t>
                        </w:r>
                      </w:p>
                    </w:txbxContent>
                  </v:textbox>
                </v:shape>
                <w10:anchorlock/>
              </v:group>
            </w:pict>
          </mc:Fallback>
        </mc:AlternateContent>
      </w:r>
    </w:p>
    <w:p w14:paraId="7A7F18D8" w14:textId="49C6AC34" w:rsidR="00276FC0" w:rsidRDefault="00844E10" w:rsidP="00276FC0">
      <w:r w:rsidRPr="00844E10">
        <w:t xml:space="preserve">First introduced at our 2018 water price review, the purpose of PREMO is to provide incentives for water corporations to deliver outcomes most valued by customers. </w:t>
      </w:r>
      <w:r w:rsidR="00276FC0">
        <w:t>PREMO includes reputation incentives, via the rating of price submissions as Leading (the highest available rating), Advanced, Standard or Basic, depending on the level of ambition expressed by a water business in its price submission. Financial incentives are provided by linking the return on equity to the PREMO rating.</w:t>
      </w:r>
    </w:p>
    <w:p w14:paraId="05E91663" w14:textId="745582F0" w:rsidR="00FD58BA" w:rsidRDefault="00276FC0" w:rsidP="004B0461">
      <w:r>
        <w:t>A key priority under PREMO is to provide</w:t>
      </w:r>
      <w:r w:rsidR="002165DE">
        <w:t xml:space="preserve"> </w:t>
      </w:r>
      <w:r w:rsidR="00844E10" w:rsidRPr="00844E10">
        <w:t xml:space="preserve">incentives for a water business to engage with customers to understand their priorities and concerns and take these into account in forming its proposals, as outlined in its price submission. </w:t>
      </w:r>
      <w:r w:rsidR="00FE76D8">
        <w:t>These should be evidenced in price submissions by linking the outcomes proposed with findings from a business’s engagement.</w:t>
      </w:r>
    </w:p>
    <w:p w14:paraId="2D52630F" w14:textId="15B2C2D5" w:rsidR="00844E10" w:rsidRDefault="00844E10" w:rsidP="004B0461">
      <w:r w:rsidRPr="00844E10">
        <w:t>Our guidance specifies the way in which we expect water corporations to assess themselves by reference to the PREMO elements.</w:t>
      </w:r>
    </w:p>
    <w:p w14:paraId="18B47EDF" w14:textId="552D4118" w:rsidR="000C1610" w:rsidRPr="00844E10" w:rsidRDefault="000C1610" w:rsidP="004B0461">
      <w:r>
        <w:t xml:space="preserve">PREMO links </w:t>
      </w:r>
      <w:r w:rsidR="00594DBA">
        <w:t xml:space="preserve">the return on equity allowed in the revenue requirement to the value delivered </w:t>
      </w:r>
      <w:r w:rsidR="00FE66E3">
        <w:t>by a water business to its customers. Under PREMO, a higher level of ambition</w:t>
      </w:r>
      <w:r w:rsidR="003B3F0F">
        <w:t xml:space="preserve"> in terms of delivering customer value results in a higher return on equity.</w:t>
      </w:r>
    </w:p>
    <w:p w14:paraId="4829D171" w14:textId="59620BB1" w:rsidR="00844E10" w:rsidRPr="00844E10" w:rsidRDefault="00844E10" w:rsidP="00220499">
      <w:r w:rsidRPr="000E5CB6">
        <w:lastRenderedPageBreak/>
        <w:t xml:space="preserve">For </w:t>
      </w:r>
      <w:r w:rsidR="00366E76" w:rsidRPr="000E5CB6">
        <w:t>Greater Western Water’s</w:t>
      </w:r>
      <w:r w:rsidRPr="000E5CB6">
        <w:t xml:space="preserve"> 202</w:t>
      </w:r>
      <w:r w:rsidR="00366E76" w:rsidRPr="000E5CB6">
        <w:t>4</w:t>
      </w:r>
      <w:r w:rsidRPr="000E5CB6">
        <w:t xml:space="preserve"> water price review, </w:t>
      </w:r>
      <w:r w:rsidR="00366E76" w:rsidRPr="000E5CB6">
        <w:t>its</w:t>
      </w:r>
      <w:r w:rsidRPr="000E5CB6">
        <w:t xml:space="preserve"> ambition in terms of delivering customer value is being assessed against all five elements of PREMO </w:t>
      </w:r>
      <w:r w:rsidR="00C13D85" w:rsidRPr="000E5CB6">
        <w:t>–</w:t>
      </w:r>
      <w:r w:rsidRPr="000E5CB6">
        <w:t xml:space="preserve"> Performance, Risk, Engagement, Management and Outcomes</w:t>
      </w:r>
      <w:r w:rsidR="00DC14CD" w:rsidRPr="000E5CB6">
        <w:t xml:space="preserve"> –</w:t>
      </w:r>
      <w:r w:rsidR="008923D7" w:rsidRPr="000E5CB6">
        <w:t xml:space="preserve"> and</w:t>
      </w:r>
      <w:r w:rsidR="00E71488" w:rsidRPr="000E5CB6">
        <w:t xml:space="preserve"> it</w:t>
      </w:r>
      <w:r w:rsidR="001D504C" w:rsidRPr="000E5CB6">
        <w:t xml:space="preserve"> </w:t>
      </w:r>
      <w:r w:rsidR="00E03494" w:rsidRPr="000E5CB6">
        <w:t xml:space="preserve">is </w:t>
      </w:r>
      <w:r w:rsidRPr="000E5CB6">
        <w:t xml:space="preserve">the first </w:t>
      </w:r>
      <w:r w:rsidR="001D504C" w:rsidRPr="000E5CB6">
        <w:t>time</w:t>
      </w:r>
      <w:r w:rsidR="00856473" w:rsidRPr="000E5CB6">
        <w:t xml:space="preserve"> </w:t>
      </w:r>
      <w:r w:rsidR="001D504C" w:rsidRPr="000E5CB6">
        <w:t xml:space="preserve">the Performance </w:t>
      </w:r>
      <w:r w:rsidR="007D1DC4" w:rsidRPr="000E5CB6">
        <w:t>element</w:t>
      </w:r>
      <w:r w:rsidR="00FC33AF" w:rsidRPr="000E5CB6">
        <w:t xml:space="preserve"> </w:t>
      </w:r>
      <w:r w:rsidR="00A766D7" w:rsidRPr="000E5CB6">
        <w:t>has been included for Greater Western Water.</w:t>
      </w:r>
      <w:r w:rsidR="00C00EF8" w:rsidRPr="000E5CB6">
        <w:t xml:space="preserve"> </w:t>
      </w:r>
      <w:r w:rsidR="004840AE" w:rsidRPr="000E5CB6">
        <w:t xml:space="preserve">This </w:t>
      </w:r>
      <w:r w:rsidRPr="000E5CB6">
        <w:t xml:space="preserve">assesses </w:t>
      </w:r>
      <w:r w:rsidR="004840AE" w:rsidRPr="000E5CB6">
        <w:t xml:space="preserve">the </w:t>
      </w:r>
      <w:r w:rsidRPr="000E5CB6">
        <w:t>business</w:t>
      </w:r>
      <w:r w:rsidR="009E3210" w:rsidRPr="000E5CB6">
        <w:t>’</w:t>
      </w:r>
      <w:r w:rsidRPr="000E5CB6">
        <w:t xml:space="preserve">s </w:t>
      </w:r>
      <w:r w:rsidR="004840AE" w:rsidRPr="000E5CB6">
        <w:t xml:space="preserve">performance </w:t>
      </w:r>
      <w:r w:rsidRPr="000E5CB6">
        <w:t xml:space="preserve">against </w:t>
      </w:r>
      <w:r w:rsidR="004840AE" w:rsidRPr="000E5CB6">
        <w:t>its</w:t>
      </w:r>
      <w:r w:rsidRPr="000E5CB6">
        <w:t xml:space="preserve"> </w:t>
      </w:r>
      <w:r w:rsidR="00617C9E" w:rsidRPr="000E5CB6">
        <w:t>o</w:t>
      </w:r>
      <w:r w:rsidRPr="000E5CB6">
        <w:t>utcomes and proposals from the previous price review (</w:t>
      </w:r>
      <w:r w:rsidR="004840AE" w:rsidRPr="000E5CB6">
        <w:t xml:space="preserve">which </w:t>
      </w:r>
      <w:r w:rsidRPr="000E5CB6">
        <w:t xml:space="preserve">for </w:t>
      </w:r>
      <w:r w:rsidR="007A6782" w:rsidRPr="000E5CB6">
        <w:t>Greater Western Water</w:t>
      </w:r>
      <w:r w:rsidRPr="000E5CB6">
        <w:t xml:space="preserve"> means </w:t>
      </w:r>
      <w:r w:rsidR="00710AA5" w:rsidRPr="000E5CB6">
        <w:t xml:space="preserve">commitments made by </w:t>
      </w:r>
      <w:r w:rsidR="00651205" w:rsidRPr="000E5CB6">
        <w:t>the former City West Water and Western Water</w:t>
      </w:r>
      <w:r w:rsidRPr="000E5CB6">
        <w:t xml:space="preserve"> </w:t>
      </w:r>
      <w:r w:rsidR="007465D6" w:rsidRPr="000E5CB6">
        <w:t xml:space="preserve">businesses </w:t>
      </w:r>
      <w:r w:rsidRPr="000E5CB6">
        <w:t xml:space="preserve">at the 2018 </w:t>
      </w:r>
      <w:r w:rsidR="0016264D" w:rsidRPr="000E5CB6">
        <w:t xml:space="preserve">and 2020 </w:t>
      </w:r>
      <w:r w:rsidRPr="000E5CB6">
        <w:t>water price review</w:t>
      </w:r>
      <w:r w:rsidR="0016264D" w:rsidRPr="000E5CB6">
        <w:t>s</w:t>
      </w:r>
      <w:r w:rsidRPr="000E5CB6">
        <w:t>)</w:t>
      </w:r>
      <w:r w:rsidR="00675165" w:rsidRPr="000E5CB6">
        <w:t xml:space="preserve">. </w:t>
      </w:r>
      <w:r w:rsidRPr="000E5CB6">
        <w:t>We did not assess the Performance element in 2018</w:t>
      </w:r>
      <w:r w:rsidR="00C6587C" w:rsidRPr="000E5CB6">
        <w:t xml:space="preserve"> </w:t>
      </w:r>
      <w:r w:rsidRPr="000E5CB6">
        <w:t xml:space="preserve">because it was the first time that we had applied the PREMO framework and so we did not have a set of </w:t>
      </w:r>
      <w:r w:rsidR="000F2CDF" w:rsidRPr="000E5CB6">
        <w:t xml:space="preserve">previously </w:t>
      </w:r>
      <w:r w:rsidRPr="000E5CB6">
        <w:t xml:space="preserve">approved </w:t>
      </w:r>
      <w:r w:rsidR="0087241E" w:rsidRPr="000E5CB6">
        <w:t>o</w:t>
      </w:r>
      <w:r w:rsidRPr="000E5CB6">
        <w:t>utcomes to inform our assessment.</w:t>
      </w:r>
      <w:r w:rsidR="006C5227" w:rsidRPr="000E5CB6">
        <w:t xml:space="preserve"> Western Water was not required to submit a PREMO rating for its </w:t>
      </w:r>
      <w:r w:rsidR="00886297" w:rsidRPr="000E5CB6">
        <w:t>2020 price review, after it was</w:t>
      </w:r>
      <w:r w:rsidR="000F2CDF" w:rsidRPr="000E5CB6">
        <w:t xml:space="preserve"> given </w:t>
      </w:r>
      <w:r w:rsidR="00886297" w:rsidRPr="000E5CB6">
        <w:t>a two</w:t>
      </w:r>
      <w:r w:rsidR="009E3210" w:rsidRPr="000E5CB6">
        <w:t>-</w:t>
      </w:r>
      <w:r w:rsidR="00886297" w:rsidRPr="000E5CB6">
        <w:t>year decision in 2018.</w:t>
      </w:r>
    </w:p>
    <w:p w14:paraId="0754A602" w14:textId="48C82E8E" w:rsidR="00844E10" w:rsidRDefault="00844E10" w:rsidP="00220499">
      <w:proofErr w:type="gramStart"/>
      <w:r w:rsidRPr="00844E10">
        <w:t>Taking into account</w:t>
      </w:r>
      <w:proofErr w:type="gramEnd"/>
      <w:r w:rsidRPr="00844E10">
        <w:t xml:space="preserve"> all five elements of PREMO, a water business must self</w:t>
      </w:r>
      <w:r w:rsidR="000D6B4B">
        <w:noBreakHyphen/>
      </w:r>
      <w:r w:rsidRPr="00844E10">
        <w:t>assess and propose a rating for its price submission as ‘Leading’, ‘Advanced’, ‘Standard’ or ‘Basic’. Its proposed return on equity will then reflect its proposed PREMO rating. A ‘Leading’ submission has the highest return on equity, and a ‘Basic’ submission the lowest. We assess the self</w:t>
      </w:r>
      <w:r w:rsidR="000D6B4B">
        <w:noBreakHyphen/>
      </w:r>
      <w:r w:rsidRPr="00844E10">
        <w:t xml:space="preserve">rating </w:t>
      </w:r>
      <w:proofErr w:type="gramStart"/>
      <w:r w:rsidRPr="00844E10">
        <w:t>and also</w:t>
      </w:r>
      <w:proofErr w:type="gramEnd"/>
      <w:r w:rsidRPr="00844E10">
        <w:t xml:space="preserve"> assess the price submission more broadly, including the water corporation’s justification for the proposed PREMO rating, and form our own view of the appropriate rating. This process determines the PREMO rating adopted and the return on equity reflected in the revenue requirement.</w:t>
      </w:r>
      <w:r w:rsidR="009E4A99">
        <w:rPr>
          <w:rStyle w:val="FootnoteReference"/>
        </w:rPr>
        <w:footnoteReference w:id="13"/>
      </w:r>
      <w:r w:rsidRPr="00844E10">
        <w:t xml:space="preserve"> </w:t>
      </w:r>
    </w:p>
    <w:p w14:paraId="7666D592" w14:textId="77777777" w:rsidR="00567EFA" w:rsidRDefault="00567EFA" w:rsidP="00220499"/>
    <w:p w14:paraId="1B49ACC8" w14:textId="77777777" w:rsidR="00567EFA" w:rsidRDefault="00567EFA" w:rsidP="00220499">
      <w:pPr>
        <w:sectPr w:rsidR="00567EFA" w:rsidSect="00736B75">
          <w:footerReference w:type="default" r:id="rId33"/>
          <w:pgSz w:w="11906" w:h="16838" w:code="9"/>
          <w:pgMar w:top="1134" w:right="1134" w:bottom="1134" w:left="1134" w:header="709" w:footer="692" w:gutter="0"/>
          <w:cols w:space="708"/>
          <w:docGrid w:linePitch="360"/>
        </w:sectPr>
      </w:pPr>
    </w:p>
    <w:p w14:paraId="5AC728B1" w14:textId="31919E1B" w:rsidR="002A7B2A" w:rsidRDefault="00B315D5" w:rsidP="00F22C01">
      <w:pPr>
        <w:pStyle w:val="Heading1"/>
        <w:ind w:left="709" w:hanging="709"/>
      </w:pPr>
      <w:bookmarkStart w:id="56" w:name="_Toc161400973"/>
      <w:r>
        <w:lastRenderedPageBreak/>
        <w:t>2.</w:t>
      </w:r>
      <w:r>
        <w:tab/>
      </w:r>
      <w:r w:rsidR="002A7B2A">
        <w:t xml:space="preserve">Our assessment of </w:t>
      </w:r>
      <w:r w:rsidR="00AA1D9F">
        <w:t>Greater Western Water</w:t>
      </w:r>
      <w:r w:rsidR="002A7B2A">
        <w:t>’s price submission</w:t>
      </w:r>
      <w:bookmarkEnd w:id="56"/>
    </w:p>
    <w:p w14:paraId="2570F794" w14:textId="35B90DAC" w:rsidR="002A7B2A" w:rsidRDefault="002A7B2A" w:rsidP="002A7B2A">
      <w:r>
        <w:t xml:space="preserve">We have made our draft decision on </w:t>
      </w:r>
      <w:r w:rsidR="00AA1D9F">
        <w:t>Greater Western Water</w:t>
      </w:r>
      <w:r>
        <w:t>’s price submission after considering:</w:t>
      </w:r>
    </w:p>
    <w:p w14:paraId="79D6A41B" w14:textId="304A7EEB" w:rsidR="002A7B2A" w:rsidRDefault="00AA1D9F" w:rsidP="00ED1290">
      <w:pPr>
        <w:pStyle w:val="ListBullet"/>
      </w:pPr>
      <w:r>
        <w:t>Greater Western Water</w:t>
      </w:r>
      <w:r w:rsidR="002A7B2A">
        <w:t>’s price submission</w:t>
      </w:r>
    </w:p>
    <w:p w14:paraId="3A629A9E" w14:textId="057DB35E" w:rsidR="002A7B2A" w:rsidRDefault="00AA1D9F" w:rsidP="00ED1290">
      <w:pPr>
        <w:pStyle w:val="ListBullet"/>
      </w:pPr>
      <w:r>
        <w:t>Greater Western Water</w:t>
      </w:r>
      <w:r w:rsidR="002A7B2A">
        <w:t>’s responses to our queries</w:t>
      </w:r>
    </w:p>
    <w:p w14:paraId="73D26E25" w14:textId="033B7173" w:rsidR="002A7B2A" w:rsidRDefault="002A7B2A" w:rsidP="00ED1290">
      <w:pPr>
        <w:pStyle w:val="ListBullet"/>
      </w:pPr>
      <w:r>
        <w:t xml:space="preserve">our consultants’ </w:t>
      </w:r>
      <w:proofErr w:type="gramStart"/>
      <w:r>
        <w:t>reports</w:t>
      </w:r>
      <w:proofErr w:type="gramEnd"/>
    </w:p>
    <w:p w14:paraId="6AD87DF8" w14:textId="1FB4A75E" w:rsidR="002A7B2A" w:rsidRDefault="002A7B2A" w:rsidP="00ED1290">
      <w:pPr>
        <w:pStyle w:val="ListBullet"/>
      </w:pPr>
      <w:r>
        <w:t xml:space="preserve">written submissions from interested parties (a list of submissions is provided in </w:t>
      </w:r>
      <w:r w:rsidRPr="00FE15C8">
        <w:t>Appendix A</w:t>
      </w:r>
      <w:r>
        <w:t>).</w:t>
      </w:r>
    </w:p>
    <w:p w14:paraId="0E658F1A" w14:textId="181295DA" w:rsidR="002A7B2A" w:rsidRDefault="002A7B2A" w:rsidP="002A7B2A">
      <w:r>
        <w:t xml:space="preserve">Any reports, submissions or correspondence provided to us that are material to our consideration of </w:t>
      </w:r>
      <w:r w:rsidR="00AA1D9F">
        <w:t>Greater Western Water</w:t>
      </w:r>
      <w:r>
        <w:t>’s price submission are available on our website (to the extent the material is not confidential).</w:t>
      </w:r>
    </w:p>
    <w:p w14:paraId="692FA399" w14:textId="6AD3BB62" w:rsidR="002A7B2A" w:rsidRDefault="002A7B2A" w:rsidP="002A7B2A">
      <w:r>
        <w:t xml:space="preserve">Our guidance included matters </w:t>
      </w:r>
      <w:r w:rsidR="009C174C">
        <w:t>Greater Western Water</w:t>
      </w:r>
      <w:r>
        <w:t xml:space="preserve"> must address in </w:t>
      </w:r>
      <w:r w:rsidR="002E64CF">
        <w:t>its</w:t>
      </w:r>
      <w:r>
        <w:t xml:space="preserve"> price submission. </w:t>
      </w:r>
      <w:r w:rsidR="00AA1D9F">
        <w:t>Greater Western Water</w:t>
      </w:r>
      <w:r>
        <w:t xml:space="preserve">’s </w:t>
      </w:r>
      <w:r w:rsidRPr="000E5CB6">
        <w:t>price submission addressed each of these matters</w:t>
      </w:r>
      <w:r>
        <w:t xml:space="preserve">. Our preliminary assessment of these matters is provided in this draft decision. </w:t>
      </w:r>
    </w:p>
    <w:p w14:paraId="63A4058A" w14:textId="37949E02" w:rsidR="002A7B2A" w:rsidRDefault="002A7B2A" w:rsidP="002A7B2A">
      <w:r>
        <w:t xml:space="preserve">We found </w:t>
      </w:r>
      <w:r w:rsidR="00AA1D9F">
        <w:t>Greater Western Water</w:t>
      </w:r>
      <w:r>
        <w:t xml:space="preserve">’s price submission </w:t>
      </w:r>
      <w:r w:rsidRPr="000E5CB6">
        <w:t xml:space="preserve">provided evidence that its engagement sought to capture the main priorities and concerns of customers, and that it has taken this feedback into account (see </w:t>
      </w:r>
      <w:r w:rsidR="00A04D37" w:rsidRPr="000E5CB6">
        <w:t>S</w:t>
      </w:r>
      <w:r w:rsidRPr="000E5CB6">
        <w:t>ection</w:t>
      </w:r>
      <w:r w:rsidR="002840DC">
        <w:t> </w:t>
      </w:r>
      <w:r w:rsidR="00A04D37" w:rsidRPr="000E5CB6">
        <w:t>3.1</w:t>
      </w:r>
      <w:r w:rsidRPr="000E5CB6">
        <w:t xml:space="preserve"> on customer engagement).</w:t>
      </w:r>
      <w:r>
        <w:t xml:space="preserve"> </w:t>
      </w:r>
    </w:p>
    <w:p w14:paraId="0BD8EBDD" w14:textId="0CEF0C71" w:rsidR="00A97818" w:rsidRDefault="00607966" w:rsidP="006974B4">
      <w:r>
        <w:t>Unless otherwise note</w:t>
      </w:r>
      <w:r w:rsidR="00E63C3F">
        <w:t>d</w:t>
      </w:r>
      <w:r>
        <w:t>, a</w:t>
      </w:r>
      <w:r w:rsidR="002A7B2A">
        <w:t xml:space="preserve">ll financial values referred to in this </w:t>
      </w:r>
      <w:r w:rsidR="00AA6D26">
        <w:t xml:space="preserve">draft decision </w:t>
      </w:r>
      <w:r w:rsidR="00CB5A29">
        <w:t>paper</w:t>
      </w:r>
      <w:r w:rsidR="002A7B2A">
        <w:t xml:space="preserve"> are in </w:t>
      </w:r>
      <w:r w:rsidR="002A7B2A" w:rsidRPr="000E5CB6">
        <w:t>$202</w:t>
      </w:r>
      <w:r w:rsidR="00F615F6" w:rsidRPr="000E5CB6">
        <w:t>3</w:t>
      </w:r>
      <w:r w:rsidR="002A6A9B" w:rsidRPr="000E5CB6">
        <w:noBreakHyphen/>
      </w:r>
      <w:r w:rsidR="002A7B2A" w:rsidRPr="000E5CB6">
        <w:t>2</w:t>
      </w:r>
      <w:r w:rsidR="00F615F6" w:rsidRPr="000E5CB6">
        <w:t>4</w:t>
      </w:r>
      <w:r w:rsidR="00E47D6C">
        <w:t xml:space="preserve">, </w:t>
      </w:r>
      <w:r w:rsidR="009F3637">
        <w:t>which means inflation is excluded</w:t>
      </w:r>
      <w:r w:rsidR="002A7B2A">
        <w:t>.</w:t>
      </w:r>
    </w:p>
    <w:p w14:paraId="2D59F4AE" w14:textId="34528549" w:rsidR="0016543A" w:rsidRDefault="001F5421" w:rsidP="00AD03BE">
      <w:r>
        <w:rPr>
          <w:noProof/>
        </w:rPr>
        <mc:AlternateContent>
          <mc:Choice Requires="wpc">
            <w:drawing>
              <wp:anchor distT="0" distB="0" distL="114300" distR="114300" simplePos="0" relativeHeight="251658245" behindDoc="1" locked="0" layoutInCell="1" allowOverlap="1" wp14:anchorId="15331359" wp14:editId="49BB6CAF">
                <wp:simplePos x="0" y="0"/>
                <wp:positionH relativeFrom="column">
                  <wp:posOffset>-5715</wp:posOffset>
                </wp:positionH>
                <wp:positionV relativeFrom="paragraph">
                  <wp:posOffset>185420</wp:posOffset>
                </wp:positionV>
                <wp:extent cx="6124575" cy="1681480"/>
                <wp:effectExtent l="0" t="0" r="28575" b="13970"/>
                <wp:wrapNone/>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2">
                            <a:lumMod val="40000"/>
                            <a:lumOff val="60000"/>
                          </a:schemeClr>
                        </a:solidFill>
                      </wpc:bg>
                      <wpc:whole>
                        <a:ln w="12700">
                          <a:solidFill>
                            <a:schemeClr val="tx1">
                              <a:lumMod val="50000"/>
                              <a:lumOff val="50000"/>
                            </a:schemeClr>
                          </a:solidFill>
                        </a:ln>
                      </wpc:whole>
                    </wpc:wpc>
                  </a:graphicData>
                </a:graphic>
              </wp:anchor>
            </w:drawing>
          </mc:Choice>
          <mc:Fallback>
            <w:pict>
              <v:group w14:anchorId="18791C90" id="Canvas 21" o:spid="_x0000_s1026" editas="canvas" style="position:absolute;margin-left:-.45pt;margin-top:14.6pt;width:482.25pt;height:132.4pt;z-index:-251658235" coordsize="61245,1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">
                <v:shape id="_x0000_s1027" type="#_x0000_t75" style="position:absolute;width:61245;height:16814;visibility:visible;mso-wrap-style:square" filled="t" fillcolor="#c7c8ca [1310]" stroked="t" strokecolor="gray [1629]" strokeweight="1pt">
                  <v:fill o:detectmouseclick="t"/>
                  <v:path o:connecttype="none"/>
                </v:shape>
              </v:group>
            </w:pict>
          </mc:Fallback>
        </mc:AlternateContent>
      </w:r>
    </w:p>
    <w:p w14:paraId="2E23E800" w14:textId="5C24016A" w:rsidR="00EC5E6E" w:rsidRDefault="00A85963" w:rsidP="00AD03BE">
      <w:bookmarkStart w:id="57" w:name="_Hlk118294126"/>
      <w:r>
        <w:rPr>
          <w:noProof/>
        </w:rPr>
        <w:drawing>
          <wp:anchor distT="0" distB="0" distL="114300" distR="114300" simplePos="0" relativeHeight="251658244" behindDoc="0" locked="0" layoutInCell="1" allowOverlap="1" wp14:anchorId="20C1CBC8" wp14:editId="13513843">
            <wp:simplePos x="0" y="0"/>
            <wp:positionH relativeFrom="column">
              <wp:posOffset>51435</wp:posOffset>
            </wp:positionH>
            <wp:positionV relativeFrom="paragraph">
              <wp:posOffset>26670</wp:posOffset>
            </wp:positionV>
            <wp:extent cx="1257300" cy="1257300"/>
            <wp:effectExtent l="0" t="0" r="0" b="0"/>
            <wp:wrapSquare wrapText="bothSides"/>
            <wp:docPr id="20" name="Graphic 20"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omment Important outlin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r w:rsidR="00AA1D9F">
        <w:t>Greater Western Water</w:t>
      </w:r>
      <w:r w:rsidR="00EC5E6E">
        <w:t xml:space="preserve"> must submit a response to our draft decision and provide an updated financial model by </w:t>
      </w:r>
      <w:r w:rsidR="006F7A4E" w:rsidRPr="000E5CB6">
        <w:t>7</w:t>
      </w:r>
      <w:r w:rsidR="00EC5E6E" w:rsidRPr="000E5CB6">
        <w:t xml:space="preserve"> </w:t>
      </w:r>
      <w:r w:rsidR="006F7A4E" w:rsidRPr="000E5CB6">
        <w:t>May</w:t>
      </w:r>
      <w:r w:rsidR="00D05CD6" w:rsidRPr="000E5CB6">
        <w:t xml:space="preserve"> </w:t>
      </w:r>
      <w:r w:rsidR="00EC5E6E" w:rsidRPr="000E5CB6">
        <w:t>202</w:t>
      </w:r>
      <w:r w:rsidR="007A6658" w:rsidRPr="000E5CB6">
        <w:t>4</w:t>
      </w:r>
      <w:r w:rsidR="00EC5E6E">
        <w:t xml:space="preserve"> (via email to water@esc.vic.gov.au). The response will be published on our website. We also invite other interested parties to make a submission.</w:t>
      </w:r>
    </w:p>
    <w:p w14:paraId="28950AF2" w14:textId="46534E2C" w:rsidR="00A85963" w:rsidRDefault="00EC5E6E" w:rsidP="00A10DF9">
      <w:pPr>
        <w:ind w:left="2268" w:right="282"/>
      </w:pPr>
      <w:r>
        <w:t xml:space="preserve">We intend to make a price determination for </w:t>
      </w:r>
      <w:r w:rsidR="00AA1D9F">
        <w:t>Greater Western Water</w:t>
      </w:r>
      <w:r>
        <w:t xml:space="preserve"> in </w:t>
      </w:r>
      <w:r w:rsidRPr="000E5CB6">
        <w:t>June 202</w:t>
      </w:r>
      <w:r w:rsidR="007A6658" w:rsidRPr="000E5CB6">
        <w:t>4</w:t>
      </w:r>
      <w:r>
        <w:t>.</w:t>
      </w:r>
    </w:p>
    <w:bookmarkEnd w:id="57"/>
    <w:p w14:paraId="217DD78A" w14:textId="77777777" w:rsidR="004F50AF" w:rsidRDefault="004F50AF" w:rsidP="004F50AF"/>
    <w:p w14:paraId="5BF6C430" w14:textId="77777777" w:rsidR="00337BC4" w:rsidRDefault="00337BC4" w:rsidP="004F50AF"/>
    <w:p w14:paraId="0B724D16" w14:textId="77777777" w:rsidR="00337BC4" w:rsidRDefault="00337BC4" w:rsidP="004F50AF"/>
    <w:p w14:paraId="4B7823D5" w14:textId="2D0B2EF2" w:rsidR="001248EB" w:rsidRDefault="00977A37" w:rsidP="00F22C01">
      <w:pPr>
        <w:pStyle w:val="Heading2"/>
      </w:pPr>
      <w:bookmarkStart w:id="58" w:name="_Toc161400974"/>
      <w:r>
        <w:lastRenderedPageBreak/>
        <w:t>2.1</w:t>
      </w:r>
      <w:r>
        <w:tab/>
      </w:r>
      <w:r w:rsidR="001248EB">
        <w:t>Draft decision paper outline</w:t>
      </w:r>
      <w:bookmarkEnd w:id="58"/>
    </w:p>
    <w:p w14:paraId="5B038728" w14:textId="77777777" w:rsidR="001248EB" w:rsidRPr="00350E84" w:rsidRDefault="001248EB" w:rsidP="001248EB">
      <w:r w:rsidRPr="00350E84">
        <w:t>This decision paper is structured around the steps we take to arrive at our price determination. In summary, these steps are:</w:t>
      </w:r>
    </w:p>
    <w:p w14:paraId="3164EF23" w14:textId="49DF2604" w:rsidR="001248EB" w:rsidRPr="00350E84" w:rsidRDefault="001248EB" w:rsidP="00ED1290">
      <w:pPr>
        <w:pStyle w:val="ListBullet"/>
      </w:pPr>
      <w:r w:rsidRPr="00350E84">
        <w:t>Determine the regulatory period (Section 2.2).</w:t>
      </w:r>
    </w:p>
    <w:p w14:paraId="0836D0E2" w14:textId="5A8E8893" w:rsidR="001248EB" w:rsidRPr="00350E84" w:rsidRDefault="001248EB" w:rsidP="00ED1290">
      <w:pPr>
        <w:pStyle w:val="ListBullet"/>
      </w:pPr>
      <w:r w:rsidRPr="00350E84">
        <w:t xml:space="preserve">Confirm the customer outcomes and service levels that </w:t>
      </w:r>
      <w:r w:rsidR="00AA1D9F">
        <w:t>Greater Western Water</w:t>
      </w:r>
      <w:r w:rsidRPr="00350E84">
        <w:t xml:space="preserve"> has committed to over the regulatory period (Chapter 3).</w:t>
      </w:r>
    </w:p>
    <w:p w14:paraId="39F8264C" w14:textId="71AF133A" w:rsidR="001248EB" w:rsidRPr="00350E84" w:rsidRDefault="001248EB" w:rsidP="00ED1290">
      <w:pPr>
        <w:pStyle w:val="ListBullet"/>
      </w:pPr>
      <w:r w:rsidRPr="00350E84">
        <w:t xml:space="preserve">Establish </w:t>
      </w:r>
      <w:r w:rsidR="00AA1D9F">
        <w:t>Greater Western Water</w:t>
      </w:r>
      <w:r w:rsidRPr="00350E84">
        <w:t>’s revenue requirement using a building block methodology (Chapter 4).</w:t>
      </w:r>
    </w:p>
    <w:p w14:paraId="7FE21449" w14:textId="69FB418A" w:rsidR="001248EB" w:rsidRDefault="001248EB" w:rsidP="00ED1290">
      <w:pPr>
        <w:pStyle w:val="ListBullet"/>
      </w:pPr>
      <w:r w:rsidRPr="00350E84">
        <w:t>Use demand forecasts and the form of price control to convert the revenue requirement to tariffs and prices (Chapter 5).</w:t>
      </w:r>
    </w:p>
    <w:p w14:paraId="3F054044" w14:textId="5734EFC9" w:rsidR="001248EB" w:rsidRDefault="001248EB" w:rsidP="001248EB">
      <w:r>
        <w:t xml:space="preserve">Chapter 6 outlines our consideration of </w:t>
      </w:r>
      <w:r w:rsidR="00AA1D9F">
        <w:t>Greater Western Water</w:t>
      </w:r>
      <w:r>
        <w:t>’s financial position, which we have also had regard to.</w:t>
      </w:r>
    </w:p>
    <w:p w14:paraId="477F44C6" w14:textId="3809EF31" w:rsidR="001248EB" w:rsidRDefault="001248EB" w:rsidP="001248EB">
      <w:r>
        <w:t xml:space="preserve">Chapter 7 outlines our assessment of </w:t>
      </w:r>
      <w:r w:rsidR="00AA1D9F">
        <w:t>Greater Western Water</w:t>
      </w:r>
      <w:r>
        <w:t xml:space="preserve">’s price submission under the PREMO framework. </w:t>
      </w:r>
    </w:p>
    <w:p w14:paraId="787E321F" w14:textId="6414B3B2" w:rsidR="001248EB" w:rsidRDefault="00977A37" w:rsidP="00F22C01">
      <w:pPr>
        <w:pStyle w:val="Heading2"/>
      </w:pPr>
      <w:bookmarkStart w:id="59" w:name="_Toc161400975"/>
      <w:r>
        <w:t>2.2</w:t>
      </w:r>
      <w:r>
        <w:tab/>
      </w:r>
      <w:r w:rsidR="001248EB">
        <w:t>Regulatory period</w:t>
      </w:r>
      <w:bookmarkEnd w:id="59"/>
      <w:r w:rsidR="001248EB">
        <w:t xml:space="preserve"> </w:t>
      </w:r>
    </w:p>
    <w:p w14:paraId="2CF8DA51" w14:textId="2AA5982B" w:rsidR="00A85963" w:rsidRPr="000E5CB6" w:rsidRDefault="001F792E" w:rsidP="00133C20">
      <w:pPr>
        <w:pStyle w:val="Pull-out"/>
      </w:pPr>
      <w:r w:rsidRPr="000E5CB6">
        <w:t xml:space="preserve">Our draft decision is to approve a regulatory period of </w:t>
      </w:r>
      <w:r w:rsidR="004A6216" w:rsidRPr="000E5CB6">
        <w:t>four</w:t>
      </w:r>
      <w:r w:rsidR="00214866" w:rsidRPr="000E5CB6">
        <w:t xml:space="preserve"> </w:t>
      </w:r>
      <w:r w:rsidRPr="000E5CB6">
        <w:t>years from 1 July 202</w:t>
      </w:r>
      <w:r w:rsidR="007A6658" w:rsidRPr="000E5CB6">
        <w:t>4</w:t>
      </w:r>
      <w:r w:rsidRPr="000E5CB6">
        <w:t>.</w:t>
      </w:r>
    </w:p>
    <w:p w14:paraId="5A3E2D34" w14:textId="64372170" w:rsidR="00C96AC6" w:rsidRPr="000E5CB6" w:rsidRDefault="00C96AC6" w:rsidP="00C96AC6">
      <w:r w:rsidRPr="000E5CB6">
        <w:t>We are required to set the term of the regulatory period over which a water business’s price determination will apply</w:t>
      </w:r>
      <w:r w:rsidR="002D74C0" w:rsidRPr="000E5CB6">
        <w:t>.</w:t>
      </w:r>
      <w:r w:rsidR="002D74C0" w:rsidRPr="000E5CB6">
        <w:rPr>
          <w:rStyle w:val="FootnoteReference"/>
        </w:rPr>
        <w:footnoteReference w:id="14"/>
      </w:r>
      <w:r w:rsidR="002D74C0" w:rsidRPr="000E5CB6">
        <w:t xml:space="preserve"> </w:t>
      </w:r>
      <w:r w:rsidRPr="000E5CB6">
        <w:t xml:space="preserve">Our guidance proposed that we set a </w:t>
      </w:r>
      <w:r w:rsidR="004A6216" w:rsidRPr="000E5CB6">
        <w:t>four</w:t>
      </w:r>
      <w:r w:rsidR="000D6B4B" w:rsidRPr="000E5CB6">
        <w:noBreakHyphen/>
      </w:r>
      <w:r w:rsidRPr="000E5CB6">
        <w:t>year regulatory period, but also noted we were open to justified alternatives proposed in a price submission.</w:t>
      </w:r>
      <w:r w:rsidR="000242A8" w:rsidRPr="000E5CB6">
        <w:rPr>
          <w:rStyle w:val="FootnoteReference"/>
        </w:rPr>
        <w:footnoteReference w:id="15"/>
      </w:r>
      <w:r w:rsidRPr="000E5CB6">
        <w:t xml:space="preserve"> </w:t>
      </w:r>
    </w:p>
    <w:p w14:paraId="7F6F06C4" w14:textId="77F8D63E" w:rsidR="00C96AC6" w:rsidRDefault="00AA1D9F" w:rsidP="00C96AC6">
      <w:r w:rsidRPr="000E5CB6">
        <w:t>Greater Western Water</w:t>
      </w:r>
      <w:r w:rsidR="00C96AC6" w:rsidRPr="000E5CB6">
        <w:t xml:space="preserve"> proposed a regulatory period of </w:t>
      </w:r>
      <w:r w:rsidR="00374CE9" w:rsidRPr="000E5CB6">
        <w:t>four</w:t>
      </w:r>
      <w:r w:rsidR="00C66C7F" w:rsidRPr="000E5CB6">
        <w:t xml:space="preserve"> </w:t>
      </w:r>
      <w:r w:rsidR="00C96AC6" w:rsidRPr="000E5CB6">
        <w:t xml:space="preserve">years. Accordingly, </w:t>
      </w:r>
      <w:r w:rsidR="0020557B" w:rsidRPr="000E5CB6">
        <w:t xml:space="preserve">consistent with the reasons outlined in our guidance, </w:t>
      </w:r>
      <w:r w:rsidR="00C96AC6" w:rsidRPr="000E5CB6">
        <w:t xml:space="preserve">our draft decision proposes to set a regulatory period of </w:t>
      </w:r>
      <w:r w:rsidR="0009032A" w:rsidRPr="000E5CB6">
        <w:t>four</w:t>
      </w:r>
      <w:r w:rsidR="00DE08EF">
        <w:t xml:space="preserve"> </w:t>
      </w:r>
      <w:r w:rsidR="00C96AC6" w:rsidRPr="000E5CB6">
        <w:t>years.</w:t>
      </w:r>
    </w:p>
    <w:p w14:paraId="75F5F206" w14:textId="77777777" w:rsidR="00A511B6" w:rsidRPr="000E5CB6" w:rsidRDefault="00A511B6" w:rsidP="00C96AC6">
      <w:pPr>
        <w:sectPr w:rsidR="00A511B6" w:rsidRPr="000E5CB6" w:rsidSect="00736B75">
          <w:footerReference w:type="default" r:id="rId34"/>
          <w:pgSz w:w="11906" w:h="16838" w:code="9"/>
          <w:pgMar w:top="1134" w:right="1134" w:bottom="1134" w:left="1134" w:header="709" w:footer="692" w:gutter="0"/>
          <w:cols w:space="708"/>
          <w:docGrid w:linePitch="360"/>
        </w:sectPr>
      </w:pPr>
    </w:p>
    <w:p w14:paraId="1B98BE6F" w14:textId="44CF2E4F" w:rsidR="009C2ECF" w:rsidRDefault="00977A37" w:rsidP="00F22C01">
      <w:pPr>
        <w:pStyle w:val="Heading1"/>
        <w:ind w:left="709" w:hanging="709"/>
      </w:pPr>
      <w:bookmarkStart w:id="60" w:name="_Toc161400976"/>
      <w:r>
        <w:lastRenderedPageBreak/>
        <w:t>3.</w:t>
      </w:r>
      <w:r>
        <w:tab/>
      </w:r>
      <w:r w:rsidR="009C2ECF">
        <w:t xml:space="preserve">Customer </w:t>
      </w:r>
      <w:r w:rsidR="00046BD2">
        <w:t>outcomes</w:t>
      </w:r>
      <w:bookmarkEnd w:id="60"/>
    </w:p>
    <w:p w14:paraId="4DCE60F8" w14:textId="42137608" w:rsidR="009C2ECF" w:rsidRDefault="009C2ECF" w:rsidP="009C2ECF">
      <w:r>
        <w:t xml:space="preserve">The customer </w:t>
      </w:r>
      <w:r w:rsidR="005B2D8F">
        <w:t>outcomes</w:t>
      </w:r>
      <w:r>
        <w:t xml:space="preserve"> </w:t>
      </w:r>
      <w:r w:rsidR="00AA1D9F">
        <w:t>Greater Western Water</w:t>
      </w:r>
      <w:r>
        <w:t xml:space="preserve"> plans to deliver over the regulatory period </w:t>
      </w:r>
      <w:r w:rsidR="005B2D8F">
        <w:t>are</w:t>
      </w:r>
      <w:r>
        <w:t xml:space="preserve"> a key component of its price submission </w:t>
      </w:r>
      <w:r w:rsidR="00E342D7">
        <w:t>–</w:t>
      </w:r>
      <w:r>
        <w:t xml:space="preserve"> confirming its commitments to customers, underpinning its revenue requirement, and feeding into its PREMO assessment.</w:t>
      </w:r>
    </w:p>
    <w:p w14:paraId="016AF03A" w14:textId="77777777" w:rsidR="009C2ECF" w:rsidRPr="00F058BA" w:rsidRDefault="009C2ECF" w:rsidP="009C2ECF">
      <w:r w:rsidRPr="00F058BA">
        <w:t>This chapter:</w:t>
      </w:r>
    </w:p>
    <w:p w14:paraId="7E8E8448" w14:textId="2961A794" w:rsidR="009C2ECF" w:rsidRPr="00F058BA" w:rsidRDefault="009C2ECF" w:rsidP="00ED1290">
      <w:pPr>
        <w:pStyle w:val="ListBullet"/>
      </w:pPr>
      <w:r w:rsidRPr="00F058BA">
        <w:t xml:space="preserve">examines </w:t>
      </w:r>
      <w:r w:rsidR="00AA1D9F" w:rsidRPr="00F058BA">
        <w:t>Greater Western Water</w:t>
      </w:r>
      <w:r w:rsidRPr="00F058BA">
        <w:t xml:space="preserve">’s engagement with its customers in preparing its price </w:t>
      </w:r>
      <w:proofErr w:type="gramStart"/>
      <w:r w:rsidRPr="00F058BA">
        <w:t>submission</w:t>
      </w:r>
      <w:proofErr w:type="gramEnd"/>
    </w:p>
    <w:p w14:paraId="4EB0DC5C" w14:textId="2037FE03" w:rsidR="0078073F" w:rsidRPr="00F058BA" w:rsidRDefault="009C2ECF" w:rsidP="00ED1290">
      <w:pPr>
        <w:pStyle w:val="ListBullet"/>
      </w:pPr>
      <w:r w:rsidRPr="00F058BA">
        <w:t xml:space="preserve">reviews whether </w:t>
      </w:r>
      <w:r w:rsidR="00AA1D9F" w:rsidRPr="00F058BA">
        <w:t>Greater Western Water</w:t>
      </w:r>
      <w:r w:rsidRPr="00F058BA">
        <w:t xml:space="preserve"> has delivered on the outcomes it committed to for the current regulatory period (2018</w:t>
      </w:r>
      <w:r w:rsidR="00481500" w:rsidRPr="00F058BA">
        <w:t>–</w:t>
      </w:r>
      <w:r w:rsidRPr="00F058BA">
        <w:t>2</w:t>
      </w:r>
      <w:r w:rsidR="0040621D" w:rsidRPr="00F058BA">
        <w:t>3</w:t>
      </w:r>
      <w:r w:rsidR="00CF5B0C" w:rsidRPr="00F058BA">
        <w:t xml:space="preserve"> plus 2023</w:t>
      </w:r>
      <w:r w:rsidR="00CF5B0C" w:rsidRPr="00F058BA">
        <w:noBreakHyphen/>
        <w:t>24</w:t>
      </w:r>
      <w:r w:rsidRPr="00F058BA">
        <w:t xml:space="preserve">) </w:t>
      </w:r>
    </w:p>
    <w:p w14:paraId="3C75CC99" w14:textId="250BBF26" w:rsidR="009C2ECF" w:rsidRPr="00F058BA" w:rsidRDefault="009C2ECF" w:rsidP="00ED1290">
      <w:pPr>
        <w:pStyle w:val="ListBullet"/>
      </w:pPr>
      <w:r w:rsidRPr="00F058BA">
        <w:t xml:space="preserve">examines the customer outcomes </w:t>
      </w:r>
      <w:r w:rsidR="00AA1D9F" w:rsidRPr="00F058BA">
        <w:t>Greater Western Water</w:t>
      </w:r>
      <w:r w:rsidRPr="00F058BA">
        <w:t xml:space="preserve"> is committing to for the next regulatory </w:t>
      </w:r>
      <w:proofErr w:type="gramStart"/>
      <w:r w:rsidRPr="00F058BA">
        <w:t>period</w:t>
      </w:r>
      <w:proofErr w:type="gramEnd"/>
    </w:p>
    <w:p w14:paraId="1DEA91B9" w14:textId="2813E44D" w:rsidR="000E124B" w:rsidRPr="00F058BA" w:rsidRDefault="00157131" w:rsidP="00ED1290">
      <w:pPr>
        <w:pStyle w:val="ListBullet"/>
      </w:pPr>
      <w:r w:rsidRPr="00F058BA">
        <w:t xml:space="preserve">outlines Greater Western Water’s service </w:t>
      </w:r>
      <w:proofErr w:type="gramStart"/>
      <w:r w:rsidRPr="00F058BA">
        <w:t>standards</w:t>
      </w:r>
      <w:proofErr w:type="gramEnd"/>
    </w:p>
    <w:p w14:paraId="0E36D424" w14:textId="61373FEA" w:rsidR="009C2ECF" w:rsidRPr="00F058BA" w:rsidRDefault="009C2ECF" w:rsidP="00ED1290">
      <w:pPr>
        <w:pStyle w:val="ListBullet"/>
      </w:pPr>
      <w:r w:rsidRPr="00F058BA">
        <w:t xml:space="preserve">outlines </w:t>
      </w:r>
      <w:r w:rsidR="00AA1D9F" w:rsidRPr="00F058BA">
        <w:t>Greater Western Water</w:t>
      </w:r>
      <w:r w:rsidRPr="00F058BA">
        <w:t>’s proposed guaranteed service levels</w:t>
      </w:r>
      <w:r w:rsidR="00E342D7" w:rsidRPr="00F058BA">
        <w:t>.</w:t>
      </w:r>
    </w:p>
    <w:p w14:paraId="68751249" w14:textId="2384A2BC" w:rsidR="009C2ECF" w:rsidRDefault="00977A37" w:rsidP="00F22C01">
      <w:pPr>
        <w:pStyle w:val="Heading2"/>
      </w:pPr>
      <w:bookmarkStart w:id="61" w:name="_Toc161400977"/>
      <w:r>
        <w:t>3.1</w:t>
      </w:r>
      <w:r>
        <w:tab/>
      </w:r>
      <w:r w:rsidR="009C2ECF" w:rsidRPr="00F058BA">
        <w:t>Customer engagement</w:t>
      </w:r>
      <w:bookmarkEnd w:id="61"/>
      <w:r w:rsidR="00C64A6F" w:rsidRPr="00F058BA">
        <w:t xml:space="preserve"> </w:t>
      </w:r>
    </w:p>
    <w:p w14:paraId="14D188BB" w14:textId="77777777" w:rsidR="005C57FB" w:rsidRPr="00D81163" w:rsidRDefault="005C57FB" w:rsidP="005C57FB">
      <w:r>
        <w:t xml:space="preserve">Our guidance required Greater Western Water to engage with customers to inform its price submission. </w:t>
      </w:r>
      <w:r w:rsidRPr="00D81163">
        <w:t xml:space="preserve">Our guidance also identified principles to guide </w:t>
      </w:r>
      <w:r>
        <w:t>Greater Western Water</w:t>
      </w:r>
      <w:r w:rsidRPr="00D81163">
        <w:t xml:space="preserve"> </w:t>
      </w:r>
      <w:r>
        <w:t>on its e</w:t>
      </w:r>
      <w:r w:rsidRPr="00D81163">
        <w:t>ngagement.</w:t>
      </w:r>
      <w:r w:rsidRPr="00D81163">
        <w:rPr>
          <w:rStyle w:val="FootnoteReference"/>
        </w:rPr>
        <w:footnoteReference w:id="16"/>
      </w:r>
      <w:r w:rsidRPr="00D81163">
        <w:t xml:space="preserve"> </w:t>
      </w:r>
    </w:p>
    <w:p w14:paraId="45771BB7" w14:textId="77777777" w:rsidR="005C57FB" w:rsidRPr="00F058BA" w:rsidRDefault="005C57FB" w:rsidP="005C57FB">
      <w:r w:rsidRPr="00F058BA">
        <w:t xml:space="preserve">We consider Greater Western Water’s engagement aligned with these principles in </w:t>
      </w:r>
      <w:proofErr w:type="gramStart"/>
      <w:r w:rsidRPr="00F058BA">
        <w:t>a number of</w:t>
      </w:r>
      <w:proofErr w:type="gramEnd"/>
      <w:r w:rsidRPr="00F058BA">
        <w:t xml:space="preserve"> ways. Greater Western Water:</w:t>
      </w:r>
    </w:p>
    <w:p w14:paraId="35385EAB" w14:textId="77777777" w:rsidR="009B5CB2" w:rsidRPr="00F058BA" w:rsidRDefault="005C57FB" w:rsidP="00ED1290">
      <w:pPr>
        <w:pStyle w:val="ListBullet"/>
      </w:pPr>
      <w:r w:rsidRPr="00F058BA">
        <w:t>engaged early and sought customer insight</w:t>
      </w:r>
      <w:r w:rsidR="007255BB" w:rsidRPr="00F058BA">
        <w:t>s</w:t>
      </w:r>
      <w:r w:rsidRPr="00F058BA">
        <w:t xml:space="preserve"> to improve the design of its engagement program, which ran between July 2021 and August 2023</w:t>
      </w:r>
    </w:p>
    <w:p w14:paraId="056F14A6" w14:textId="05161126" w:rsidR="005C57FB" w:rsidRPr="00F058BA" w:rsidRDefault="009B5CB2" w:rsidP="00ED1290">
      <w:pPr>
        <w:pStyle w:val="ListBullet"/>
      </w:pPr>
      <w:r w:rsidRPr="00F058BA">
        <w:t>considered the views of</w:t>
      </w:r>
      <w:r w:rsidR="005C57FB" w:rsidRPr="00F058BA">
        <w:t xml:space="preserve"> 8,000 people across its service </w:t>
      </w:r>
      <w:proofErr w:type="gramStart"/>
      <w:r w:rsidR="005C57FB" w:rsidRPr="00F058BA">
        <w:t>area</w:t>
      </w:r>
      <w:proofErr w:type="gramEnd"/>
    </w:p>
    <w:p w14:paraId="1177DDA1" w14:textId="4346263E" w:rsidR="005C57FB" w:rsidRPr="00F058BA" w:rsidRDefault="005C57FB" w:rsidP="00ED1290">
      <w:pPr>
        <w:pStyle w:val="ListBullet"/>
      </w:pPr>
      <w:r w:rsidRPr="00F058BA">
        <w:t xml:space="preserve">used a wide of range of methods across six sequential stages which included customer focus groups, interviews, workshops, </w:t>
      </w:r>
      <w:r w:rsidR="001B51DF" w:rsidRPr="00F058BA">
        <w:t xml:space="preserve">bill simulator and best-worst scenario </w:t>
      </w:r>
      <w:r w:rsidRPr="00F058BA">
        <w:t xml:space="preserve">surveys, face-to-face engagement in regional communities, and a five-session deliberative </w:t>
      </w:r>
      <w:proofErr w:type="gramStart"/>
      <w:r w:rsidRPr="00F058BA">
        <w:t>panel</w:t>
      </w:r>
      <w:proofErr w:type="gramEnd"/>
      <w:r w:rsidRPr="00F058BA">
        <w:t xml:space="preserve"> </w:t>
      </w:r>
    </w:p>
    <w:p w14:paraId="3E7E1B3E" w14:textId="77777777" w:rsidR="005C57FB" w:rsidRPr="00F058BA" w:rsidRDefault="005C57FB" w:rsidP="00ED1290">
      <w:pPr>
        <w:pStyle w:val="ListBullet"/>
      </w:pPr>
      <w:r w:rsidRPr="00F058BA">
        <w:t xml:space="preserve">held inclusive engagement activities to hear from a wide range of customer groups including youth, international students, retirees, culturally diverse customers, customers living with a disability, small businesses, customers experiencing financial hardship and not for profit community </w:t>
      </w:r>
      <w:proofErr w:type="gramStart"/>
      <w:r w:rsidRPr="00F058BA">
        <w:t>groups</w:t>
      </w:r>
      <w:proofErr w:type="gramEnd"/>
    </w:p>
    <w:p w14:paraId="06E7E461" w14:textId="77777777" w:rsidR="005C57FB" w:rsidRPr="00F058BA" w:rsidRDefault="005C57FB" w:rsidP="00ED1290">
      <w:pPr>
        <w:pStyle w:val="ListBullet"/>
      </w:pPr>
      <w:r w:rsidRPr="00F058BA">
        <w:lastRenderedPageBreak/>
        <w:t xml:space="preserve">tailored its engagement methods to engage sensitively with the five registered Traditional Owner groups in its service area and offered cultural safety for its First Nations customers who participated in its deliberative </w:t>
      </w:r>
      <w:proofErr w:type="gramStart"/>
      <w:r w:rsidRPr="00F058BA">
        <w:t>panel</w:t>
      </w:r>
      <w:proofErr w:type="gramEnd"/>
    </w:p>
    <w:p w14:paraId="09312253" w14:textId="4EC1A08C" w:rsidR="005C57FB" w:rsidRPr="00F058BA" w:rsidRDefault="005C57FB" w:rsidP="00ED1290">
      <w:pPr>
        <w:pStyle w:val="ListBullet"/>
      </w:pPr>
      <w:r w:rsidRPr="00F058BA">
        <w:t xml:space="preserve">engaged on </w:t>
      </w:r>
      <w:r w:rsidR="002E1AD0" w:rsidRPr="00F058BA">
        <w:t>six</w:t>
      </w:r>
      <w:r w:rsidRPr="00F058BA">
        <w:t xml:space="preserve"> priority topics identified by customers, which then influenced proposals for matters such as unplanned disruptions, harmonising service levels, sourcing water from alternative sources, waterway health and communications with its customers.</w:t>
      </w:r>
    </w:p>
    <w:p w14:paraId="3CFE8FC3" w14:textId="77777777" w:rsidR="005C57FB" w:rsidRDefault="005C57FB" w:rsidP="005C57FB">
      <w:r>
        <w:t>More detail on Greater Western Water’s engagement is available in its price submission.</w:t>
      </w:r>
      <w:r>
        <w:rPr>
          <w:rStyle w:val="FootnoteReference"/>
        </w:rPr>
        <w:footnoteReference w:id="17"/>
      </w:r>
      <w:r>
        <w:t xml:space="preserve"> </w:t>
      </w:r>
    </w:p>
    <w:p w14:paraId="0CDDFBDE" w14:textId="77777777" w:rsidR="005C57FB" w:rsidRPr="00F058BA" w:rsidRDefault="005C57FB" w:rsidP="005C57FB">
      <w:r w:rsidRPr="00F058BA">
        <w:t>Actions Greater Western Water proposed to take in response to customer feedback provide evidence that its engagement influenced its proposals. For example, in its price submission, Greater Western Water proposed:</w:t>
      </w:r>
    </w:p>
    <w:p w14:paraId="3B1426D3" w14:textId="7C7F722E" w:rsidR="005C57FB" w:rsidRPr="00F058BA" w:rsidRDefault="005C57FB" w:rsidP="00ED1290">
      <w:pPr>
        <w:pStyle w:val="ListBullet"/>
      </w:pPr>
      <w:r w:rsidRPr="00F058BA">
        <w:t xml:space="preserve">outcomes that reflect the key findings from its engagement process with high levels of customer endorsement </w:t>
      </w:r>
      <w:r w:rsidR="00984B23" w:rsidRPr="00F058BA">
        <w:t xml:space="preserve">that they reflect </w:t>
      </w:r>
      <w:r w:rsidRPr="00F058BA">
        <w:t>customer priorities</w:t>
      </w:r>
      <w:r w:rsidRPr="00F058BA">
        <w:rPr>
          <w:rStyle w:val="FootnoteReference"/>
        </w:rPr>
        <w:footnoteReference w:id="18"/>
      </w:r>
    </w:p>
    <w:p w14:paraId="0F2248D1" w14:textId="1F67BA56" w:rsidR="005C57FB" w:rsidRPr="00F058BA" w:rsidRDefault="005C57FB" w:rsidP="00ED1290">
      <w:pPr>
        <w:pStyle w:val="ListBullet"/>
      </w:pPr>
      <w:r w:rsidRPr="00F058BA">
        <w:t>increase</w:t>
      </w:r>
      <w:r w:rsidR="001A2A54" w:rsidRPr="00F058BA">
        <w:t>d</w:t>
      </w:r>
      <w:r w:rsidRPr="00F058BA">
        <w:t xml:space="preserve"> </w:t>
      </w:r>
      <w:r w:rsidR="001A2A54" w:rsidRPr="00F058BA">
        <w:t>expenditure for</w:t>
      </w:r>
      <w:r w:rsidRPr="00F058BA">
        <w:t xml:space="preserve"> customer support programs and services for small businesses based on strong customer feedback to increase support for </w:t>
      </w:r>
      <w:r w:rsidR="00167892" w:rsidRPr="00F058BA">
        <w:t>those</w:t>
      </w:r>
      <w:r w:rsidRPr="00F058BA">
        <w:t xml:space="preserve"> experiencing vulnerability and for small businesses experiencing hardship</w:t>
      </w:r>
      <w:r w:rsidRPr="00F058BA">
        <w:rPr>
          <w:rStyle w:val="FootnoteReference"/>
        </w:rPr>
        <w:footnoteReference w:id="19"/>
      </w:r>
      <w:r w:rsidRPr="00F058BA">
        <w:t xml:space="preserve"> </w:t>
      </w:r>
    </w:p>
    <w:p w14:paraId="31503D70" w14:textId="289BEE41" w:rsidR="005C57FB" w:rsidRPr="00F058BA" w:rsidRDefault="005C57FB" w:rsidP="00ED1290">
      <w:pPr>
        <w:pStyle w:val="ListBullet"/>
      </w:pPr>
      <w:r w:rsidRPr="00F058BA">
        <w:t>a new water quality guaranteed service level</w:t>
      </w:r>
      <w:r w:rsidR="00167892" w:rsidRPr="00F058BA">
        <w:t>,</w:t>
      </w:r>
      <w:r w:rsidRPr="00F058BA">
        <w:t xml:space="preserve"> and an increase to the number of guaranteed service levels available for customers in its western service area in response to feedback on the importance of aligning service levels between its central and western service areas</w:t>
      </w:r>
      <w:r w:rsidRPr="00F058BA">
        <w:rPr>
          <w:rStyle w:val="FootnoteReference"/>
        </w:rPr>
        <w:footnoteReference w:id="20"/>
      </w:r>
    </w:p>
    <w:p w14:paraId="5102C259" w14:textId="051C2099" w:rsidR="005C57FB" w:rsidRPr="00F058BA" w:rsidRDefault="005C57FB" w:rsidP="00ED1290">
      <w:pPr>
        <w:pStyle w:val="ListBullet"/>
      </w:pPr>
      <w:r w:rsidRPr="00F058BA">
        <w:t>to undertake seven large renewals and reticulation programs, and invest in its asset monitoring program in response to customer recommendations to maintain unplanned disruption levels and improve its customer communications</w:t>
      </w:r>
      <w:r w:rsidRPr="00F058BA">
        <w:rPr>
          <w:rStyle w:val="FootnoteReference"/>
        </w:rPr>
        <w:footnoteReference w:id="21"/>
      </w:r>
    </w:p>
    <w:p w14:paraId="71E6A213" w14:textId="338380AD" w:rsidR="005C57FB" w:rsidRPr="00F058BA" w:rsidRDefault="005C57FB" w:rsidP="00ED1290">
      <w:pPr>
        <w:pStyle w:val="ListBullet"/>
      </w:pPr>
      <w:r w:rsidRPr="00F058BA">
        <w:t>upgrades to five treatment plants to increase capacity and treatment levels to support waterway health in response to feedback call</w:t>
      </w:r>
      <w:r w:rsidR="00E60E75" w:rsidRPr="00F058BA">
        <w:t>ing</w:t>
      </w:r>
      <w:r w:rsidRPr="00F058BA">
        <w:t xml:space="preserve"> for investment in sewage treatment plants to improve recycled water quality</w:t>
      </w:r>
      <w:r w:rsidRPr="00F058BA">
        <w:rPr>
          <w:rStyle w:val="FootnoteReference"/>
        </w:rPr>
        <w:footnoteReference w:id="22"/>
      </w:r>
    </w:p>
    <w:p w14:paraId="37E4B9A0" w14:textId="4E4A00D8" w:rsidR="005C57FB" w:rsidRPr="00F058BA" w:rsidRDefault="005C57FB" w:rsidP="00ED1290">
      <w:pPr>
        <w:pStyle w:val="ListBullet"/>
      </w:pPr>
      <w:r w:rsidRPr="00F058BA">
        <w:t xml:space="preserve">investment to improve </w:t>
      </w:r>
      <w:r w:rsidR="00415DE2" w:rsidRPr="00F058BA">
        <w:t xml:space="preserve">water </w:t>
      </w:r>
      <w:r w:rsidRPr="00F058BA">
        <w:t xml:space="preserve">supply reliability </w:t>
      </w:r>
      <w:r w:rsidR="00BC76A0" w:rsidRPr="00F058BA">
        <w:t xml:space="preserve">for </w:t>
      </w:r>
      <w:r w:rsidR="009A09CF" w:rsidRPr="00F058BA">
        <w:t xml:space="preserve">the Macedon Ranges and for Sunbury and Melton </w:t>
      </w:r>
      <w:r w:rsidRPr="00F058BA">
        <w:t>in response to the deliberative panel’s recommendation to improve services in the outer areas of the service region.</w:t>
      </w:r>
    </w:p>
    <w:p w14:paraId="5CB1F961" w14:textId="77777777" w:rsidR="005C57FB" w:rsidRDefault="005C57FB" w:rsidP="005C57FB">
      <w:r>
        <w:lastRenderedPageBreak/>
        <w:t xml:space="preserve">The influence of Greater Western Water’s engagement on its proposals </w:t>
      </w:r>
      <w:r w:rsidRPr="00F058BA">
        <w:t>supports the objectives</w:t>
      </w:r>
      <w:r>
        <w:t xml:space="preserve"> in our pricing framework relating to efficiency and the interests of consumers. </w:t>
      </w:r>
    </w:p>
    <w:p w14:paraId="32B8D84E" w14:textId="3020DC0C" w:rsidR="005C57FB" w:rsidRPr="00F058BA" w:rsidRDefault="004E3B0F" w:rsidP="005C57FB">
      <w:r w:rsidRPr="00F058BA">
        <w:rPr>
          <w:rStyle w:val="ListBulletChar"/>
        </w:rPr>
        <w:t>O</w:t>
      </w:r>
      <w:r w:rsidR="005C57FB" w:rsidRPr="00F058BA">
        <w:rPr>
          <w:rStyle w:val="ListBulletChar"/>
        </w:rPr>
        <w:t xml:space="preserve">ur preliminary view is that Greater Western Water has designed and delivered </w:t>
      </w:r>
      <w:r w:rsidR="005C57FB" w:rsidRPr="00F058BA">
        <w:t>a sound engagement program with strong customer and stakeholder influence on the proposals presented in its submission</w:t>
      </w:r>
      <w:r w:rsidR="006C3D34" w:rsidRPr="00F058BA">
        <w:t>,</w:t>
      </w:r>
      <w:r w:rsidR="005C57FB" w:rsidRPr="00F058BA">
        <w:t xml:space="preserve"> which was appropriate in the context of a new business with a new</w:t>
      </w:r>
      <w:r w:rsidR="0002177A" w:rsidRPr="00F058BA">
        <w:t>ly merged</w:t>
      </w:r>
      <w:r w:rsidR="005C57FB" w:rsidRPr="00F058BA">
        <w:t xml:space="preserve"> customer base.</w:t>
      </w:r>
    </w:p>
    <w:p w14:paraId="784EE88C" w14:textId="39841603" w:rsidR="005C57FB" w:rsidRPr="00A35F90" w:rsidRDefault="00A35F90" w:rsidP="005C57FB">
      <w:r w:rsidRPr="00F058BA">
        <w:rPr>
          <w:rStyle w:val="ListBulletChar"/>
        </w:rPr>
        <w:t xml:space="preserve">We consider that </w:t>
      </w:r>
      <w:r w:rsidR="005C57FB" w:rsidRPr="00F058BA">
        <w:rPr>
          <w:rStyle w:val="ListBulletChar"/>
        </w:rPr>
        <w:t>Greater Western Wate</w:t>
      </w:r>
      <w:r w:rsidR="005C57FB" w:rsidRPr="00F058BA">
        <w:t>r’s six-stage engagement program</w:t>
      </w:r>
      <w:r w:rsidR="00A12DED" w:rsidRPr="00F058BA">
        <w:t>,</w:t>
      </w:r>
      <w:r w:rsidR="005C57FB" w:rsidRPr="00F058BA">
        <w:t xml:space="preserve"> delivered over two years</w:t>
      </w:r>
      <w:r w:rsidR="00A12DED" w:rsidRPr="00F058BA">
        <w:t>,</w:t>
      </w:r>
      <w:r w:rsidR="005C57FB" w:rsidRPr="00F058BA">
        <w:t xml:space="preserve"> was effectively structured, with customers’ feedback and stakeholders’ insights from each stage incorporated into the subsequent stages. </w:t>
      </w:r>
      <w:r w:rsidR="005C57FB" w:rsidRPr="00F058BA">
        <w:rPr>
          <w:rStyle w:val="ListBulletChar"/>
        </w:rPr>
        <w:t>Engagement commenced early and focused on und</w:t>
      </w:r>
      <w:r w:rsidR="005C57FB" w:rsidRPr="00F058BA">
        <w:t xml:space="preserve">erstanding customer communication and engagement preferences. It also focused on determining customers’ tariff and sewage disposal charge preferences. These early findings informed the content and methods of future engagement including a comprehensive deliberative process to conclude its engagement process.  </w:t>
      </w:r>
    </w:p>
    <w:p w14:paraId="063C3641" w14:textId="77777777" w:rsidR="005C57FB" w:rsidRPr="00F058BA" w:rsidRDefault="005C57FB" w:rsidP="005C57FB">
      <w:r w:rsidRPr="00F058BA">
        <w:t>Greater Western Water sought to obtain guidance from its First Nations customers on how to best engage with them for this price submission and beyond, including meeting separately with the five different Traditional Owner groups in its service area. This engagement was sensitive and appropriate, consistent with the expectations set out in our guidance.</w:t>
      </w:r>
    </w:p>
    <w:p w14:paraId="4EFA0499" w14:textId="76C7627D" w:rsidR="005C57FB" w:rsidRPr="00887141" w:rsidRDefault="005C57FB" w:rsidP="005C57FB">
      <w:r w:rsidRPr="00F058BA">
        <w:rPr>
          <w:rStyle w:val="ListBulletChar"/>
        </w:rPr>
        <w:t>Greater Western Wate</w:t>
      </w:r>
      <w:r w:rsidRPr="00F058BA">
        <w:t xml:space="preserve">r’s engagement </w:t>
      </w:r>
      <w:r w:rsidRPr="00F058BA">
        <w:rPr>
          <w:rStyle w:val="ListBulletChar"/>
        </w:rPr>
        <w:t xml:space="preserve">offered multiple ways for customers to participate including through a </w:t>
      </w:r>
      <w:r w:rsidRPr="00F058BA">
        <w:t>bill simulator survey, focus groups with representative groups from its customer base</w:t>
      </w:r>
      <w:r w:rsidR="00A63339" w:rsidRPr="00F058BA">
        <w:t>,</w:t>
      </w:r>
      <w:r w:rsidRPr="00F058BA">
        <w:t xml:space="preserve"> and a deliberative process. Its bill simulator and best-worst </w:t>
      </w:r>
      <w:r w:rsidR="00B52CB2" w:rsidRPr="00F058BA">
        <w:t xml:space="preserve">scenario </w:t>
      </w:r>
      <w:r w:rsidRPr="00F058BA">
        <w:t xml:space="preserve">surveys were written in plain English. The surveys were designed to be easy to understand and </w:t>
      </w:r>
      <w:proofErr w:type="gramStart"/>
      <w:r w:rsidRPr="00F058BA">
        <w:t>complete, and</w:t>
      </w:r>
      <w:proofErr w:type="gramEnd"/>
      <w:r w:rsidRPr="00F058BA">
        <w:t xml:space="preserve"> made available in different languages that are commonly spoken in its service area.</w:t>
      </w:r>
      <w:r w:rsidR="0072574B" w:rsidRPr="00F058BA">
        <w:rPr>
          <w:rStyle w:val="FootnoteReference"/>
        </w:rPr>
        <w:footnoteReference w:id="23"/>
      </w:r>
      <w:r w:rsidRPr="00F058BA">
        <w:t xml:space="preserve"> When designing its deliberative process, it allocated two seats for First Nations customers and </w:t>
      </w:r>
      <w:r w:rsidR="00DC068C" w:rsidRPr="00F058BA">
        <w:t>effectively facilitated those customers’</w:t>
      </w:r>
      <w:r w:rsidRPr="00F058BA">
        <w:t xml:space="preserve"> participation throughout the process. Its engagement program was inclusive and provided opportunities to participate and engage with the diverse voices from its customer base and particularly from customer groups experiencing vulnerability. </w:t>
      </w:r>
    </w:p>
    <w:p w14:paraId="688F4921" w14:textId="4DF0939C" w:rsidR="005C57FB" w:rsidRPr="00736CAF" w:rsidRDefault="005C57FB" w:rsidP="005C57FB">
      <w:r w:rsidRPr="00F058BA">
        <w:rPr>
          <w:rStyle w:val="ListBulletChar"/>
        </w:rPr>
        <w:t>Greater Western Wate</w:t>
      </w:r>
      <w:r w:rsidRPr="00F058BA">
        <w:t>r demonstrated a strong commitment to the outcomes of its engagement processes. The 15</w:t>
      </w:r>
      <w:r w:rsidR="002243DC">
        <w:t> </w:t>
      </w:r>
      <w:r w:rsidRPr="00F058BA">
        <w:t>recommendations from the deliberative panel influenced its project and investment proposals. The business also considered the panel’s expenditure recommendations for the six customer priority areas and the panel’s recommendations to spend more in the highest risk areas first and keep bills affordable. The business provided high quality materials and tools to panel members that allowed them to make informed decisions. For example</w:t>
      </w:r>
      <w:r w:rsidR="005663BE" w:rsidRPr="00F058BA">
        <w:t>,</w:t>
      </w:r>
      <w:r w:rsidRPr="00F058BA">
        <w:t xml:space="preserve"> Greater Western Water provided panel members with a tool to estimate the bill impact for the different customer </w:t>
      </w:r>
      <w:r w:rsidRPr="00F058BA">
        <w:lastRenderedPageBreak/>
        <w:t>types from various revenue requirement scenarios. We consider the use of a deliberative panel supported in-depth customer participation on issues relevant to customer services and prices.</w:t>
      </w:r>
    </w:p>
    <w:p w14:paraId="5BF5783D" w14:textId="24F5A406" w:rsidR="005C57FB" w:rsidRPr="00F058BA" w:rsidRDefault="005C57FB" w:rsidP="005C57FB">
      <w:pPr>
        <w:tabs>
          <w:tab w:val="left" w:pos="4035"/>
        </w:tabs>
      </w:pPr>
      <w:r w:rsidRPr="00F058BA">
        <w:t xml:space="preserve">Participants expressed high levels of satisfaction and confidence with the engagement outcomes as Greater Western Water incorporated and addressed most of their recommendations and concerns in its proposals. Feedback video recordings from participants in the deliberative process indicate a strong alignment between the business proposals and the engagement program </w:t>
      </w:r>
      <w:r w:rsidRPr="00F058BA" w:rsidDel="009F54E4">
        <w:t>results.</w:t>
      </w:r>
      <w:r w:rsidRPr="00F058BA">
        <w:t xml:space="preserve"> </w:t>
      </w:r>
      <w:r w:rsidRPr="00F058BA">
        <w:rPr>
          <w:rFonts w:eastAsia="Times New Roman"/>
          <w:color w:val="0E101A"/>
          <w:lang w:eastAsia="en-AU"/>
        </w:rPr>
        <w:t xml:space="preserve">Maribyrnong City Council, </w:t>
      </w:r>
      <w:proofErr w:type="spellStart"/>
      <w:r w:rsidRPr="00F058BA">
        <w:rPr>
          <w:rFonts w:eastAsia="Times New Roman"/>
          <w:color w:val="0E101A"/>
          <w:lang w:eastAsia="en-AU"/>
        </w:rPr>
        <w:t>Brimbank</w:t>
      </w:r>
      <w:proofErr w:type="spellEnd"/>
      <w:r w:rsidRPr="00F058BA">
        <w:rPr>
          <w:rFonts w:eastAsia="Times New Roman"/>
          <w:color w:val="0E101A"/>
          <w:lang w:eastAsia="en-AU"/>
        </w:rPr>
        <w:t xml:space="preserve"> City Council and </w:t>
      </w:r>
      <w:r w:rsidR="00C64B61" w:rsidRPr="00F058BA">
        <w:t>the</w:t>
      </w:r>
      <w:r w:rsidRPr="00F058BA">
        <w:t xml:space="preserve"> recently established customer advisory group also sent letters endorsing Greater Western Water’s engagement processes and business proposals.</w:t>
      </w:r>
      <w:r w:rsidRPr="00F058BA">
        <w:rPr>
          <w:rStyle w:val="FootnoteReference"/>
        </w:rPr>
        <w:footnoteReference w:id="24"/>
      </w:r>
    </w:p>
    <w:p w14:paraId="7312A2A9" w14:textId="0E8A6DD0" w:rsidR="005C57FB" w:rsidRPr="00F058BA" w:rsidRDefault="005C57FB" w:rsidP="005C57FB">
      <w:r w:rsidRPr="00A30172">
        <w:t xml:space="preserve">Submissions received </w:t>
      </w:r>
      <w:r w:rsidR="008A7D69" w:rsidRPr="00A30172">
        <w:t xml:space="preserve">raised no concerns with </w:t>
      </w:r>
      <w:r w:rsidR="00294C0E" w:rsidRPr="00A30172">
        <w:t>Greater</w:t>
      </w:r>
      <w:r w:rsidR="00A23AAF" w:rsidRPr="00A30172">
        <w:t xml:space="preserve"> Wester</w:t>
      </w:r>
      <w:r w:rsidR="00294C0E" w:rsidRPr="00A30172">
        <w:t>n</w:t>
      </w:r>
      <w:r w:rsidR="00A23AAF" w:rsidRPr="00A30172">
        <w:t xml:space="preserve"> Water</w:t>
      </w:r>
      <w:r w:rsidR="00294C0E" w:rsidRPr="00A30172">
        <w:t>’s</w:t>
      </w:r>
      <w:r w:rsidR="00A23AAF" w:rsidRPr="00A30172">
        <w:t xml:space="preserve"> engagement process</w:t>
      </w:r>
      <w:r w:rsidR="00294C0E" w:rsidRPr="00A30172">
        <w:t xml:space="preserve">, </w:t>
      </w:r>
      <w:r w:rsidRPr="00A30172">
        <w:t xml:space="preserve">with one </w:t>
      </w:r>
      <w:r w:rsidR="007125C8" w:rsidRPr="00A30172">
        <w:t>stakeholder</w:t>
      </w:r>
      <w:r w:rsidRPr="00A30172">
        <w:t xml:space="preserve"> encouraging </w:t>
      </w:r>
      <w:r w:rsidR="00FA1F63" w:rsidRPr="00A30172">
        <w:t xml:space="preserve">ongoing </w:t>
      </w:r>
      <w:r w:rsidRPr="00A30172">
        <w:t>community engagement beyond the price review.</w:t>
      </w:r>
      <w:r w:rsidR="00D705EA" w:rsidRPr="00A30172">
        <w:rPr>
          <w:rStyle w:val="FootnoteReference"/>
        </w:rPr>
        <w:footnoteReference w:id="25"/>
      </w:r>
      <w:r w:rsidRPr="00F058BA">
        <w:t xml:space="preserve"> </w:t>
      </w:r>
    </w:p>
    <w:p w14:paraId="2CF719D1" w14:textId="5B74EC57" w:rsidR="005C57FB" w:rsidRDefault="005C57FB" w:rsidP="005C57FB">
      <w:proofErr w:type="gramStart"/>
      <w:r w:rsidRPr="00F058BA">
        <w:t>On the basis of</w:t>
      </w:r>
      <w:proofErr w:type="gramEnd"/>
      <w:r w:rsidRPr="00F058BA">
        <w:t xml:space="preserve"> the above</w:t>
      </w:r>
      <w:r w:rsidR="00F4399B" w:rsidRPr="00F058BA">
        <w:t>,</w:t>
      </w:r>
      <w:r w:rsidRPr="00F058BA">
        <w:t xml:space="preserve"> our preliminary view is that on balance we agree with its self-rating of ‘</w:t>
      </w:r>
      <w:r w:rsidR="002F3354" w:rsidRPr="00F058BA">
        <w:t xml:space="preserve">Advanced’ </w:t>
      </w:r>
      <w:r w:rsidRPr="00F058BA">
        <w:t>for its price submission engagement. See Chapter 7 for more detail on our PREMO assessment of Greater Western Water’s price submission.</w:t>
      </w:r>
    </w:p>
    <w:p w14:paraId="33E6D969" w14:textId="2279E066" w:rsidR="009C2ECF" w:rsidRDefault="00977A37" w:rsidP="00F22C01">
      <w:pPr>
        <w:pStyle w:val="Heading2"/>
      </w:pPr>
      <w:bookmarkStart w:id="62" w:name="_Toc161400978"/>
      <w:r>
        <w:t>3.2</w:t>
      </w:r>
      <w:r>
        <w:tab/>
      </w:r>
      <w:r w:rsidR="009C2ECF">
        <w:t>Outcomes</w:t>
      </w:r>
      <w:bookmarkEnd w:id="62"/>
    </w:p>
    <w:p w14:paraId="5D50AC50" w14:textId="77777777" w:rsidR="00054DEB" w:rsidRPr="00F058BA" w:rsidRDefault="00054DEB" w:rsidP="00054DEB">
      <w:pPr>
        <w:rPr>
          <w:rFonts w:ascii="Tahoma" w:eastAsiaTheme="majorEastAsia" w:hAnsi="Tahoma" w:cstheme="majorBidi"/>
          <w:b/>
          <w:color w:val="4986A0" w:themeColor="text2"/>
          <w:szCs w:val="24"/>
        </w:rPr>
      </w:pPr>
      <w:bookmarkStart w:id="63" w:name="_Toc130483272"/>
      <w:r w:rsidRPr="00F058BA">
        <w:rPr>
          <w:rFonts w:ascii="Tahoma" w:eastAsiaTheme="majorEastAsia" w:hAnsi="Tahoma" w:cstheme="majorBidi"/>
          <w:b/>
          <w:color w:val="4986A0" w:themeColor="text2"/>
          <w:szCs w:val="24"/>
        </w:rPr>
        <w:t>3.2.1 Performance against outcome commitments 2018–23</w:t>
      </w:r>
    </w:p>
    <w:p w14:paraId="7AEF70B8" w14:textId="7F7A1A73" w:rsidR="00054DEB" w:rsidRPr="00F058BA" w:rsidRDefault="00054DEB" w:rsidP="00054DEB">
      <w:r w:rsidRPr="00F058BA">
        <w:t>As part of our 2018 and 2020 water price reviews, the former City West Water and Western Water businesses established outcomes they would deliver to their customers over their regulatory periods and these outcomes were reflected in the prices we approved. Progress against these outcome commitments can indicate whether customers got what they paid for.</w:t>
      </w:r>
    </w:p>
    <w:p w14:paraId="4EC4461E" w14:textId="0D8602DD" w:rsidR="00054DEB" w:rsidRPr="00D05691" w:rsidRDefault="00054DEB" w:rsidP="00054DEB">
      <w:r w:rsidRPr="00F058BA">
        <w:t>Greater Western Water’s price submission should account for its actual performance against its outcome commitments of the two former businesses (City West Water and Western Water) for the period 1 July 2018 to 30 June 2023.</w:t>
      </w:r>
      <w:r w:rsidRPr="00F058BA">
        <w:rPr>
          <w:rStyle w:val="FootnoteReference"/>
        </w:rPr>
        <w:footnoteReference w:id="26"/>
      </w:r>
      <w:r w:rsidRPr="00F058BA">
        <w:t xml:space="preserve"> </w:t>
      </w:r>
      <w:r w:rsidR="002F6DA0" w:rsidRPr="00F058BA">
        <w:t>Given</w:t>
      </w:r>
      <w:r w:rsidRPr="00F058BA" w:rsidDel="00D05691">
        <w:t xml:space="preserve"> </w:t>
      </w:r>
      <w:r w:rsidRPr="00F058BA">
        <w:t>the 12</w:t>
      </w:r>
      <w:r w:rsidRPr="00F058BA">
        <w:noBreakHyphen/>
        <w:t>month extension to the previous pricing determinations, Greater Western Water has now begun monitoring its 2023</w:t>
      </w:r>
      <w:r w:rsidR="003231C3" w:rsidRPr="00F058BA">
        <w:noBreakHyphen/>
      </w:r>
      <w:r w:rsidRPr="00F058BA">
        <w:t xml:space="preserve">24 performance against the </w:t>
      </w:r>
      <w:r w:rsidR="004D2965" w:rsidRPr="00F058BA">
        <w:t>o</w:t>
      </w:r>
      <w:r w:rsidRPr="00F058BA">
        <w:t>utcome commitments it proposed in its 2024 price submission and its performance against these will be published in our 2023</w:t>
      </w:r>
      <w:r w:rsidR="00E12546" w:rsidRPr="00F058BA">
        <w:noBreakHyphen/>
      </w:r>
      <w:r w:rsidRPr="00F058BA">
        <w:t>24 Outcomes Report.</w:t>
      </w:r>
    </w:p>
    <w:p w14:paraId="5AC2CFBA" w14:textId="77777777" w:rsidR="00054DEB" w:rsidRPr="00F058BA" w:rsidRDefault="00054DEB" w:rsidP="00054DEB">
      <w:r w:rsidRPr="00F058BA">
        <w:lastRenderedPageBreak/>
        <w:t>We acknowledge Greater Western Water accounted for its annual performance and its overall rating for the 2018–23 period for each outcome of the two former businesses. It also self-assessed its overall performance for the period in its price submission, rating itself amber ‘close to achieving’ for its central (former City West Water) service area, and green ‘met’ for its western (former Western Water) service area.</w:t>
      </w:r>
      <w:r w:rsidRPr="00F058BA">
        <w:rPr>
          <w:rStyle w:val="FootnoteReference"/>
        </w:rPr>
        <w:footnoteReference w:id="27"/>
      </w:r>
      <w:r w:rsidRPr="00F058BA">
        <w:t xml:space="preserve"> </w:t>
      </w:r>
    </w:p>
    <w:p w14:paraId="7EA802CF" w14:textId="23770DF6" w:rsidR="00054DEB" w:rsidRDefault="00054DEB" w:rsidP="00054DEB">
      <w:r w:rsidRPr="00F058BA">
        <w:t>Tables</w:t>
      </w:r>
      <w:r w:rsidR="00C4637B">
        <w:t> </w:t>
      </w:r>
      <w:r w:rsidRPr="00F058BA">
        <w:t>3.1 and 3.2 list Greater Western Water’s outcome commitments for its former City West Water and Western Water service areas and include its annual performance results and its end of period rating for each outcome as reported in its price submission.</w:t>
      </w:r>
      <w:r w:rsidRPr="00F058BA">
        <w:rPr>
          <w:rStyle w:val="FootnoteReference"/>
        </w:rPr>
        <w:footnoteReference w:id="28"/>
      </w:r>
      <w:r w:rsidRPr="00F058BA">
        <w:t xml:space="preserve"> The information in these tables informs our assessment under the Performance element of PREMO, which is discussed in Chapter 7.</w:t>
      </w:r>
    </w:p>
    <w:p w14:paraId="59161768" w14:textId="77777777" w:rsidR="00F32D29" w:rsidRDefault="00F32D29" w:rsidP="00054DEB"/>
    <w:p w14:paraId="2482B3FB" w14:textId="77777777" w:rsidR="00555E19" w:rsidRPr="00F058BA" w:rsidRDefault="00555E19" w:rsidP="00054DEB"/>
    <w:p w14:paraId="0E80C327" w14:textId="6250DAE0" w:rsidR="00054DEB" w:rsidRPr="003231C3" w:rsidRDefault="00054DEB" w:rsidP="00054DEB">
      <w:pPr>
        <w:pStyle w:val="Heading4"/>
      </w:pPr>
      <w:r w:rsidRPr="003231C3">
        <w:lastRenderedPageBreak/>
        <w:t>Central region (City West Water commitments)</w:t>
      </w:r>
    </w:p>
    <w:p w14:paraId="7CCB5DB2" w14:textId="62E01ACB" w:rsidR="00054DEB" w:rsidRDefault="00054DEB" w:rsidP="00C04C29">
      <w:pPr>
        <w:pStyle w:val="Figure-Table-BoxHeading"/>
        <w:keepNext/>
        <w:keepLines/>
        <w:spacing w:before="360" w:line="288" w:lineRule="auto"/>
        <w:ind w:left="0" w:firstLine="0"/>
      </w:pPr>
      <w:r w:rsidRPr="003231C3">
        <w:t>Table 3.1</w:t>
      </w:r>
      <w:r w:rsidRPr="003231C3">
        <w:tab/>
        <w:t>Greater Western Water’s self</w:t>
      </w:r>
      <w:r w:rsidRPr="003231C3">
        <w:noBreakHyphen/>
        <w:t>assessment of performance against the City West Water Outcome commitments</w:t>
      </w:r>
    </w:p>
    <w:tbl>
      <w:tblPr>
        <w:tblStyle w:val="TableGrid"/>
        <w:tblW w:w="0" w:type="auto"/>
        <w:tblLook w:val="04A0" w:firstRow="1" w:lastRow="0" w:firstColumn="1" w:lastColumn="0" w:noHBand="0" w:noVBand="1"/>
      </w:tblPr>
      <w:tblGrid>
        <w:gridCol w:w="3668"/>
        <w:gridCol w:w="979"/>
        <w:gridCol w:w="979"/>
        <w:gridCol w:w="979"/>
        <w:gridCol w:w="950"/>
        <w:gridCol w:w="987"/>
        <w:gridCol w:w="1096"/>
      </w:tblGrid>
      <w:tr w:rsidR="00054DEB" w14:paraId="0398C78B" w14:textId="77777777" w:rsidTr="00D612ED">
        <w:trPr>
          <w:cnfStyle w:val="100000000000" w:firstRow="1" w:lastRow="0" w:firstColumn="0" w:lastColumn="0" w:oddVBand="0" w:evenVBand="0" w:oddHBand="0" w:evenHBand="0" w:firstRowFirstColumn="0" w:firstRowLastColumn="0" w:lastRowFirstColumn="0" w:lastRowLastColumn="0"/>
          <w:cantSplit/>
        </w:trPr>
        <w:tc>
          <w:tcPr>
            <w:tcW w:w="3668" w:type="dxa"/>
          </w:tcPr>
          <w:p w14:paraId="20D66E27" w14:textId="77777777" w:rsidR="00054DEB" w:rsidRPr="002014BB" w:rsidRDefault="00054DEB" w:rsidP="00C04C29">
            <w:pPr>
              <w:pStyle w:val="TableHeading"/>
              <w:keepNext/>
              <w:keepLines/>
            </w:pPr>
            <w:r w:rsidRPr="002014BB">
              <w:t>Outcome</w:t>
            </w:r>
          </w:p>
        </w:tc>
        <w:tc>
          <w:tcPr>
            <w:tcW w:w="979" w:type="dxa"/>
          </w:tcPr>
          <w:p w14:paraId="5D4C84A4" w14:textId="77777777" w:rsidR="00054DEB" w:rsidRPr="002014BB" w:rsidRDefault="00054DEB" w:rsidP="00C04C29">
            <w:pPr>
              <w:pStyle w:val="TableHeading"/>
              <w:keepNext/>
              <w:keepLines/>
            </w:pPr>
            <w:r w:rsidRPr="002014BB">
              <w:t>2018</w:t>
            </w:r>
            <w:r>
              <w:noBreakHyphen/>
            </w:r>
            <w:r w:rsidRPr="002014BB">
              <w:t>19</w:t>
            </w:r>
          </w:p>
        </w:tc>
        <w:tc>
          <w:tcPr>
            <w:tcW w:w="979" w:type="dxa"/>
          </w:tcPr>
          <w:p w14:paraId="5B896370" w14:textId="77777777" w:rsidR="00054DEB" w:rsidRPr="002014BB" w:rsidRDefault="00054DEB" w:rsidP="00C04C29">
            <w:pPr>
              <w:pStyle w:val="TableHeading"/>
              <w:keepNext/>
              <w:keepLines/>
            </w:pPr>
            <w:r w:rsidRPr="002014BB">
              <w:t>2019</w:t>
            </w:r>
            <w:r>
              <w:noBreakHyphen/>
            </w:r>
            <w:r w:rsidRPr="002014BB">
              <w:t>20</w:t>
            </w:r>
          </w:p>
        </w:tc>
        <w:tc>
          <w:tcPr>
            <w:tcW w:w="979" w:type="dxa"/>
          </w:tcPr>
          <w:p w14:paraId="40B8B40D" w14:textId="77777777" w:rsidR="00054DEB" w:rsidRPr="002014BB" w:rsidRDefault="00054DEB" w:rsidP="00C04C29">
            <w:pPr>
              <w:pStyle w:val="TableHeading"/>
              <w:keepNext/>
              <w:keepLines/>
            </w:pPr>
            <w:r w:rsidRPr="002014BB">
              <w:t>2020</w:t>
            </w:r>
            <w:r>
              <w:noBreakHyphen/>
            </w:r>
            <w:r w:rsidRPr="002014BB">
              <w:t>21</w:t>
            </w:r>
          </w:p>
        </w:tc>
        <w:tc>
          <w:tcPr>
            <w:tcW w:w="950" w:type="dxa"/>
          </w:tcPr>
          <w:p w14:paraId="08E033F0" w14:textId="77777777" w:rsidR="00054DEB" w:rsidRPr="002014BB" w:rsidRDefault="00054DEB" w:rsidP="00C04C29">
            <w:pPr>
              <w:pStyle w:val="TableHeading"/>
              <w:keepNext/>
              <w:keepLines/>
            </w:pPr>
            <w:r w:rsidRPr="002014BB">
              <w:t>2021</w:t>
            </w:r>
            <w:r>
              <w:noBreakHyphen/>
            </w:r>
            <w:r w:rsidRPr="002014BB">
              <w:t>22</w:t>
            </w:r>
          </w:p>
        </w:tc>
        <w:tc>
          <w:tcPr>
            <w:tcW w:w="987" w:type="dxa"/>
          </w:tcPr>
          <w:p w14:paraId="1C35302B" w14:textId="77777777" w:rsidR="00054DEB" w:rsidRDefault="00054DEB" w:rsidP="00C04C29">
            <w:pPr>
              <w:pStyle w:val="TableHeading"/>
              <w:keepNext/>
              <w:keepLines/>
            </w:pPr>
            <w:r>
              <w:t>2022-23</w:t>
            </w:r>
          </w:p>
        </w:tc>
        <w:tc>
          <w:tcPr>
            <w:tcW w:w="1096" w:type="dxa"/>
          </w:tcPr>
          <w:p w14:paraId="3F859B04" w14:textId="5B54CDB3" w:rsidR="00054DEB" w:rsidRPr="002014BB" w:rsidRDefault="00054DEB" w:rsidP="00C04C29">
            <w:pPr>
              <w:pStyle w:val="TableHeading"/>
              <w:keepNext/>
              <w:keepLines/>
            </w:pPr>
            <w:r w:rsidRPr="00405B10">
              <w:t>Overall rating</w:t>
            </w:r>
            <w:r>
              <w:rPr>
                <w:vertAlign w:val="superscript"/>
              </w:rPr>
              <w:t xml:space="preserve"> </w:t>
            </w:r>
            <w:r w:rsidRPr="00405B10">
              <w:rPr>
                <w:vertAlign w:val="superscript"/>
              </w:rPr>
              <w:t>a</w:t>
            </w:r>
          </w:p>
        </w:tc>
      </w:tr>
      <w:tr w:rsidR="00054DEB" w14:paraId="35A4B30A" w14:textId="77777777" w:rsidTr="00D612ED">
        <w:trPr>
          <w:cnfStyle w:val="000000100000" w:firstRow="0" w:lastRow="0" w:firstColumn="0" w:lastColumn="0" w:oddVBand="0" w:evenVBand="0" w:oddHBand="1" w:evenHBand="0" w:firstRowFirstColumn="0" w:firstRowLastColumn="0" w:lastRowFirstColumn="0" w:lastRowLastColumn="0"/>
          <w:cantSplit/>
        </w:trPr>
        <w:tc>
          <w:tcPr>
            <w:tcW w:w="3668" w:type="dxa"/>
            <w:tcBorders>
              <w:right w:val="single" w:sz="4" w:space="0" w:color="FFFFFF" w:themeColor="background1"/>
            </w:tcBorders>
          </w:tcPr>
          <w:p w14:paraId="172BBFDE" w14:textId="77777777" w:rsidR="00054DEB" w:rsidRDefault="00054DEB" w:rsidP="00C04C29">
            <w:pPr>
              <w:pStyle w:val="TableBody"/>
              <w:keepNext/>
              <w:keepLines/>
              <w:rPr>
                <w:highlight w:val="cyan"/>
              </w:rPr>
            </w:pPr>
            <w:r w:rsidRPr="007117F3">
              <w:t xml:space="preserve">1. Services to my home and business are safe, </w:t>
            </w:r>
            <w:proofErr w:type="gramStart"/>
            <w:r w:rsidRPr="007117F3">
              <w:t>reliable</w:t>
            </w:r>
            <w:proofErr w:type="gramEnd"/>
            <w:r w:rsidRPr="007117F3">
              <w:t xml:space="preserve"> and efficiently managed</w:t>
            </w:r>
          </w:p>
        </w:tc>
        <w:tc>
          <w:tcPr>
            <w:tcW w:w="979" w:type="dxa"/>
            <w:tcBorders>
              <w:left w:val="single" w:sz="4" w:space="0" w:color="FFFFFF" w:themeColor="background1"/>
              <w:right w:val="single" w:sz="4" w:space="0" w:color="FFFFFF" w:themeColor="background1"/>
            </w:tcBorders>
            <w:shd w:val="clear" w:color="auto" w:fill="FFC000"/>
          </w:tcPr>
          <w:p w14:paraId="046C6D1C" w14:textId="77777777" w:rsidR="00054DEB" w:rsidRDefault="00054DEB" w:rsidP="00C04C29">
            <w:pPr>
              <w:pStyle w:val="TableBody"/>
              <w:keepNext/>
              <w:keepLines/>
              <w:rPr>
                <w:highlight w:val="cyan"/>
              </w:rPr>
            </w:pPr>
          </w:p>
        </w:tc>
        <w:tc>
          <w:tcPr>
            <w:tcW w:w="979" w:type="dxa"/>
            <w:tcBorders>
              <w:left w:val="single" w:sz="4" w:space="0" w:color="FFFFFF" w:themeColor="background1"/>
              <w:right w:val="single" w:sz="4" w:space="0" w:color="FFFFFF" w:themeColor="background1"/>
            </w:tcBorders>
            <w:shd w:val="clear" w:color="auto" w:fill="FFC000"/>
          </w:tcPr>
          <w:p w14:paraId="4EA28D42" w14:textId="77777777" w:rsidR="00054DEB" w:rsidRDefault="00054DEB" w:rsidP="00C04C29">
            <w:pPr>
              <w:pStyle w:val="TableBody"/>
              <w:keepNext/>
              <w:keepLines/>
              <w:rPr>
                <w:highlight w:val="cyan"/>
              </w:rPr>
            </w:pPr>
          </w:p>
        </w:tc>
        <w:tc>
          <w:tcPr>
            <w:tcW w:w="979" w:type="dxa"/>
            <w:tcBorders>
              <w:left w:val="single" w:sz="4" w:space="0" w:color="FFFFFF" w:themeColor="background1"/>
              <w:right w:val="single" w:sz="4" w:space="0" w:color="FFFFFF" w:themeColor="background1"/>
            </w:tcBorders>
            <w:shd w:val="clear" w:color="auto" w:fill="FFC000"/>
          </w:tcPr>
          <w:p w14:paraId="4D11FEC2" w14:textId="77777777" w:rsidR="00054DEB" w:rsidRDefault="00054DEB" w:rsidP="00C04C29">
            <w:pPr>
              <w:pStyle w:val="TableBody"/>
              <w:keepNext/>
              <w:keepLines/>
              <w:rPr>
                <w:highlight w:val="cyan"/>
              </w:rPr>
            </w:pPr>
          </w:p>
        </w:tc>
        <w:tc>
          <w:tcPr>
            <w:tcW w:w="950" w:type="dxa"/>
            <w:tcBorders>
              <w:left w:val="single" w:sz="4" w:space="0" w:color="FFFFFF" w:themeColor="background1"/>
              <w:right w:val="single" w:sz="4" w:space="0" w:color="FFFFFF" w:themeColor="background1"/>
            </w:tcBorders>
            <w:shd w:val="clear" w:color="auto" w:fill="FFC000"/>
          </w:tcPr>
          <w:p w14:paraId="466733E4" w14:textId="77777777" w:rsidR="00054DEB" w:rsidRDefault="00054DEB" w:rsidP="00C04C29">
            <w:pPr>
              <w:pStyle w:val="TableBody"/>
              <w:keepNext/>
              <w:keepLines/>
              <w:rPr>
                <w:highlight w:val="cyan"/>
              </w:rPr>
            </w:pPr>
          </w:p>
        </w:tc>
        <w:tc>
          <w:tcPr>
            <w:tcW w:w="987" w:type="dxa"/>
            <w:tcBorders>
              <w:left w:val="single" w:sz="4" w:space="0" w:color="FFFFFF" w:themeColor="background1"/>
              <w:right w:val="single" w:sz="4" w:space="0" w:color="FFFFFF" w:themeColor="background1"/>
            </w:tcBorders>
            <w:shd w:val="clear" w:color="auto" w:fill="FFC000"/>
          </w:tcPr>
          <w:p w14:paraId="003E7C63" w14:textId="77777777" w:rsidR="00054DEB" w:rsidRDefault="00054DEB" w:rsidP="00C04C29">
            <w:pPr>
              <w:pStyle w:val="TableBody"/>
              <w:keepNext/>
              <w:keepLines/>
              <w:rPr>
                <w:highlight w:val="cyan"/>
              </w:rPr>
            </w:pPr>
          </w:p>
        </w:tc>
        <w:tc>
          <w:tcPr>
            <w:tcW w:w="1096" w:type="dxa"/>
            <w:tcBorders>
              <w:left w:val="single" w:sz="4" w:space="0" w:color="FFFFFF" w:themeColor="background1"/>
            </w:tcBorders>
            <w:shd w:val="clear" w:color="auto" w:fill="FFC000"/>
          </w:tcPr>
          <w:p w14:paraId="5F861371" w14:textId="77777777" w:rsidR="00054DEB" w:rsidRPr="00DC0B4A" w:rsidRDefault="00054DEB" w:rsidP="00C04C29">
            <w:pPr>
              <w:keepNext/>
              <w:keepLines/>
              <w:rPr>
                <w:highlight w:val="cyan"/>
                <w:lang w:val="en-US"/>
              </w:rPr>
            </w:pPr>
          </w:p>
        </w:tc>
      </w:tr>
      <w:tr w:rsidR="00054DEB" w14:paraId="60877679" w14:textId="77777777" w:rsidTr="00D612ED">
        <w:trPr>
          <w:cnfStyle w:val="000000010000" w:firstRow="0" w:lastRow="0" w:firstColumn="0" w:lastColumn="0" w:oddVBand="0" w:evenVBand="0" w:oddHBand="0" w:evenHBand="1" w:firstRowFirstColumn="0" w:firstRowLastColumn="0" w:lastRowFirstColumn="0" w:lastRowLastColumn="0"/>
          <w:cantSplit/>
        </w:trPr>
        <w:tc>
          <w:tcPr>
            <w:tcW w:w="3668" w:type="dxa"/>
            <w:tcBorders>
              <w:right w:val="single" w:sz="4" w:space="0" w:color="FFFFFF" w:themeColor="background1"/>
            </w:tcBorders>
          </w:tcPr>
          <w:p w14:paraId="0A754A12" w14:textId="77777777" w:rsidR="00054DEB" w:rsidRDefault="00054DEB" w:rsidP="0059467B">
            <w:pPr>
              <w:pStyle w:val="TableBody"/>
              <w:keepNext/>
              <w:rPr>
                <w:highlight w:val="cyan"/>
              </w:rPr>
            </w:pPr>
            <w:r w:rsidRPr="007117F3">
              <w:t xml:space="preserve">2. Customer service is </w:t>
            </w:r>
            <w:proofErr w:type="gramStart"/>
            <w:r w:rsidRPr="007117F3">
              <w:t>accessible</w:t>
            </w:r>
            <w:proofErr w:type="gramEnd"/>
            <w:r w:rsidRPr="007117F3">
              <w:t xml:space="preserve"> and my enquiries are resolved promptly</w:t>
            </w:r>
          </w:p>
        </w:tc>
        <w:tc>
          <w:tcPr>
            <w:tcW w:w="979" w:type="dxa"/>
            <w:tcBorders>
              <w:left w:val="single" w:sz="4" w:space="0" w:color="FFFFFF" w:themeColor="background1"/>
              <w:right w:val="single" w:sz="4" w:space="0" w:color="FFFFFF" w:themeColor="background1"/>
            </w:tcBorders>
            <w:shd w:val="clear" w:color="auto" w:fill="00B050"/>
          </w:tcPr>
          <w:p w14:paraId="50A75A4C" w14:textId="77777777" w:rsidR="00054DEB" w:rsidRDefault="00054DEB" w:rsidP="0059467B">
            <w:pPr>
              <w:pStyle w:val="TableBody"/>
              <w:keepNext/>
              <w:rPr>
                <w:highlight w:val="cyan"/>
              </w:rPr>
            </w:pPr>
          </w:p>
        </w:tc>
        <w:tc>
          <w:tcPr>
            <w:tcW w:w="979" w:type="dxa"/>
            <w:tcBorders>
              <w:left w:val="single" w:sz="4" w:space="0" w:color="FFFFFF" w:themeColor="background1"/>
              <w:right w:val="single" w:sz="4" w:space="0" w:color="FFFFFF" w:themeColor="background1"/>
            </w:tcBorders>
            <w:shd w:val="clear" w:color="auto" w:fill="00B050"/>
          </w:tcPr>
          <w:p w14:paraId="3F3FF392" w14:textId="77777777" w:rsidR="00054DEB" w:rsidRDefault="00054DEB" w:rsidP="0059467B">
            <w:pPr>
              <w:pStyle w:val="TableBody"/>
              <w:keepNext/>
              <w:rPr>
                <w:highlight w:val="cyan"/>
              </w:rPr>
            </w:pPr>
          </w:p>
        </w:tc>
        <w:tc>
          <w:tcPr>
            <w:tcW w:w="979" w:type="dxa"/>
            <w:tcBorders>
              <w:left w:val="single" w:sz="4" w:space="0" w:color="FFFFFF" w:themeColor="background1"/>
              <w:right w:val="single" w:sz="4" w:space="0" w:color="FFFFFF" w:themeColor="background1"/>
            </w:tcBorders>
            <w:shd w:val="clear" w:color="auto" w:fill="00B050"/>
          </w:tcPr>
          <w:p w14:paraId="136FF957" w14:textId="77777777" w:rsidR="00054DEB" w:rsidRDefault="00054DEB" w:rsidP="0059467B">
            <w:pPr>
              <w:pStyle w:val="TableBody"/>
              <w:keepNext/>
              <w:rPr>
                <w:highlight w:val="cyan"/>
              </w:rPr>
            </w:pPr>
          </w:p>
        </w:tc>
        <w:tc>
          <w:tcPr>
            <w:tcW w:w="950" w:type="dxa"/>
            <w:tcBorders>
              <w:left w:val="single" w:sz="4" w:space="0" w:color="FFFFFF" w:themeColor="background1"/>
              <w:right w:val="single" w:sz="4" w:space="0" w:color="FFFFFF" w:themeColor="background1"/>
            </w:tcBorders>
            <w:shd w:val="clear" w:color="auto" w:fill="00B050"/>
          </w:tcPr>
          <w:p w14:paraId="49BD3527" w14:textId="77777777" w:rsidR="00054DEB" w:rsidRDefault="00054DEB" w:rsidP="0059467B">
            <w:pPr>
              <w:pStyle w:val="TableBody"/>
              <w:keepNext/>
              <w:rPr>
                <w:highlight w:val="cyan"/>
              </w:rPr>
            </w:pPr>
          </w:p>
        </w:tc>
        <w:tc>
          <w:tcPr>
            <w:tcW w:w="987" w:type="dxa"/>
            <w:tcBorders>
              <w:left w:val="single" w:sz="4" w:space="0" w:color="FFFFFF" w:themeColor="background1"/>
              <w:right w:val="single" w:sz="4" w:space="0" w:color="FFFFFF" w:themeColor="background1"/>
            </w:tcBorders>
            <w:shd w:val="clear" w:color="auto" w:fill="FFC000"/>
          </w:tcPr>
          <w:p w14:paraId="7AACFBFF" w14:textId="77777777" w:rsidR="00054DEB" w:rsidRDefault="00054DEB" w:rsidP="0059467B">
            <w:pPr>
              <w:pStyle w:val="TableBody"/>
              <w:keepNext/>
              <w:rPr>
                <w:highlight w:val="cyan"/>
              </w:rPr>
            </w:pPr>
          </w:p>
        </w:tc>
        <w:tc>
          <w:tcPr>
            <w:tcW w:w="1096" w:type="dxa"/>
            <w:tcBorders>
              <w:left w:val="single" w:sz="4" w:space="0" w:color="FFFFFF" w:themeColor="background1"/>
            </w:tcBorders>
            <w:shd w:val="clear" w:color="auto" w:fill="00B050"/>
          </w:tcPr>
          <w:p w14:paraId="594C55E1" w14:textId="77777777" w:rsidR="00054DEB" w:rsidRDefault="00054DEB" w:rsidP="0059467B">
            <w:pPr>
              <w:pStyle w:val="TableBody"/>
              <w:keepNext/>
              <w:rPr>
                <w:highlight w:val="cyan"/>
              </w:rPr>
            </w:pPr>
          </w:p>
        </w:tc>
      </w:tr>
      <w:tr w:rsidR="00054DEB" w14:paraId="203960FE" w14:textId="77777777" w:rsidTr="00D612ED">
        <w:trPr>
          <w:cnfStyle w:val="000000100000" w:firstRow="0" w:lastRow="0" w:firstColumn="0" w:lastColumn="0" w:oddVBand="0" w:evenVBand="0" w:oddHBand="1" w:evenHBand="0" w:firstRowFirstColumn="0" w:firstRowLastColumn="0" w:lastRowFirstColumn="0" w:lastRowLastColumn="0"/>
          <w:cantSplit/>
        </w:trPr>
        <w:tc>
          <w:tcPr>
            <w:tcW w:w="3668" w:type="dxa"/>
            <w:tcBorders>
              <w:right w:val="single" w:sz="4" w:space="0" w:color="FFFFFF" w:themeColor="background1"/>
            </w:tcBorders>
          </w:tcPr>
          <w:p w14:paraId="47D8E2B6" w14:textId="77777777" w:rsidR="00054DEB" w:rsidRDefault="00054DEB" w:rsidP="0059467B">
            <w:pPr>
              <w:pStyle w:val="TableBody"/>
              <w:keepNext/>
              <w:rPr>
                <w:highlight w:val="cyan"/>
              </w:rPr>
            </w:pPr>
            <w:r w:rsidRPr="0021635A">
              <w:t>3. Billing and payment options are efficient and convenient</w:t>
            </w:r>
          </w:p>
        </w:tc>
        <w:tc>
          <w:tcPr>
            <w:tcW w:w="979" w:type="dxa"/>
            <w:tcBorders>
              <w:left w:val="single" w:sz="4" w:space="0" w:color="FFFFFF" w:themeColor="background1"/>
              <w:right w:val="single" w:sz="4" w:space="0" w:color="FFFFFF" w:themeColor="background1"/>
            </w:tcBorders>
            <w:shd w:val="clear" w:color="auto" w:fill="00B050"/>
          </w:tcPr>
          <w:p w14:paraId="667E4964" w14:textId="77777777" w:rsidR="00054DEB" w:rsidRDefault="00054DEB" w:rsidP="0059467B">
            <w:pPr>
              <w:pStyle w:val="TableBody"/>
              <w:keepNext/>
              <w:rPr>
                <w:highlight w:val="cyan"/>
              </w:rPr>
            </w:pPr>
          </w:p>
        </w:tc>
        <w:tc>
          <w:tcPr>
            <w:tcW w:w="979" w:type="dxa"/>
            <w:tcBorders>
              <w:left w:val="single" w:sz="4" w:space="0" w:color="FFFFFF" w:themeColor="background1"/>
              <w:right w:val="single" w:sz="4" w:space="0" w:color="FFFFFF" w:themeColor="background1"/>
            </w:tcBorders>
            <w:shd w:val="clear" w:color="auto" w:fill="00B050"/>
          </w:tcPr>
          <w:p w14:paraId="15D2630A" w14:textId="77777777" w:rsidR="00054DEB" w:rsidRDefault="00054DEB" w:rsidP="0059467B">
            <w:pPr>
              <w:pStyle w:val="TableBody"/>
              <w:keepNext/>
              <w:rPr>
                <w:highlight w:val="cyan"/>
              </w:rPr>
            </w:pPr>
          </w:p>
        </w:tc>
        <w:tc>
          <w:tcPr>
            <w:tcW w:w="979" w:type="dxa"/>
            <w:tcBorders>
              <w:left w:val="single" w:sz="4" w:space="0" w:color="FFFFFF" w:themeColor="background1"/>
              <w:right w:val="single" w:sz="4" w:space="0" w:color="FFFFFF" w:themeColor="background1"/>
            </w:tcBorders>
            <w:shd w:val="clear" w:color="auto" w:fill="FFC000"/>
          </w:tcPr>
          <w:p w14:paraId="432E24B7" w14:textId="77777777" w:rsidR="00054DEB" w:rsidRDefault="00054DEB" w:rsidP="0059467B">
            <w:pPr>
              <w:pStyle w:val="TableBody"/>
              <w:keepNext/>
              <w:rPr>
                <w:highlight w:val="cyan"/>
              </w:rPr>
            </w:pPr>
          </w:p>
        </w:tc>
        <w:tc>
          <w:tcPr>
            <w:tcW w:w="950" w:type="dxa"/>
            <w:tcBorders>
              <w:left w:val="single" w:sz="4" w:space="0" w:color="FFFFFF" w:themeColor="background1"/>
              <w:right w:val="single" w:sz="4" w:space="0" w:color="FFFFFF" w:themeColor="background1"/>
            </w:tcBorders>
            <w:shd w:val="clear" w:color="auto" w:fill="FF0000"/>
          </w:tcPr>
          <w:p w14:paraId="5C434F27" w14:textId="77777777" w:rsidR="00054DEB" w:rsidRDefault="00054DEB" w:rsidP="0059467B">
            <w:pPr>
              <w:pStyle w:val="TableBody"/>
              <w:keepNext/>
              <w:rPr>
                <w:highlight w:val="cyan"/>
              </w:rPr>
            </w:pPr>
          </w:p>
        </w:tc>
        <w:tc>
          <w:tcPr>
            <w:tcW w:w="987" w:type="dxa"/>
            <w:tcBorders>
              <w:left w:val="single" w:sz="4" w:space="0" w:color="FFFFFF" w:themeColor="background1"/>
              <w:right w:val="single" w:sz="4" w:space="0" w:color="FFFFFF" w:themeColor="background1"/>
            </w:tcBorders>
            <w:shd w:val="clear" w:color="auto" w:fill="FF0000"/>
          </w:tcPr>
          <w:p w14:paraId="1D4080BC" w14:textId="77777777" w:rsidR="00054DEB" w:rsidRDefault="00054DEB" w:rsidP="0059467B">
            <w:pPr>
              <w:pStyle w:val="TableBody"/>
              <w:keepNext/>
              <w:rPr>
                <w:highlight w:val="cyan"/>
              </w:rPr>
            </w:pPr>
          </w:p>
        </w:tc>
        <w:tc>
          <w:tcPr>
            <w:tcW w:w="1096" w:type="dxa"/>
            <w:tcBorders>
              <w:left w:val="single" w:sz="4" w:space="0" w:color="FFFFFF" w:themeColor="background1"/>
            </w:tcBorders>
            <w:shd w:val="clear" w:color="auto" w:fill="FFC000"/>
          </w:tcPr>
          <w:p w14:paraId="4E975F8C" w14:textId="77777777" w:rsidR="00054DEB" w:rsidRDefault="00054DEB" w:rsidP="0059467B">
            <w:pPr>
              <w:pStyle w:val="TableBody"/>
              <w:keepNext/>
              <w:rPr>
                <w:highlight w:val="cyan"/>
              </w:rPr>
            </w:pPr>
          </w:p>
        </w:tc>
      </w:tr>
      <w:tr w:rsidR="00054DEB" w14:paraId="0B5722CE" w14:textId="77777777" w:rsidTr="00D612ED">
        <w:trPr>
          <w:cnfStyle w:val="000000010000" w:firstRow="0" w:lastRow="0" w:firstColumn="0" w:lastColumn="0" w:oddVBand="0" w:evenVBand="0" w:oddHBand="0" w:evenHBand="1" w:firstRowFirstColumn="0" w:firstRowLastColumn="0" w:lastRowFirstColumn="0" w:lastRowLastColumn="0"/>
          <w:cantSplit/>
        </w:trPr>
        <w:tc>
          <w:tcPr>
            <w:tcW w:w="3668" w:type="dxa"/>
            <w:tcBorders>
              <w:right w:val="single" w:sz="4" w:space="0" w:color="FFFFFF" w:themeColor="background1"/>
            </w:tcBorders>
          </w:tcPr>
          <w:p w14:paraId="544AAFA9" w14:textId="77777777" w:rsidR="00054DEB" w:rsidRDefault="00054DEB" w:rsidP="0059467B">
            <w:pPr>
              <w:pStyle w:val="TableBody"/>
              <w:keepNext/>
              <w:rPr>
                <w:highlight w:val="cyan"/>
              </w:rPr>
            </w:pPr>
            <w:r w:rsidRPr="0021635A">
              <w:t>4. Customers in hardship are supported</w:t>
            </w:r>
          </w:p>
        </w:tc>
        <w:tc>
          <w:tcPr>
            <w:tcW w:w="979" w:type="dxa"/>
            <w:tcBorders>
              <w:left w:val="single" w:sz="4" w:space="0" w:color="FFFFFF" w:themeColor="background1"/>
              <w:right w:val="single" w:sz="4" w:space="0" w:color="FFFFFF" w:themeColor="background1"/>
            </w:tcBorders>
            <w:shd w:val="clear" w:color="auto" w:fill="00B050"/>
          </w:tcPr>
          <w:p w14:paraId="5041D9DC" w14:textId="77777777" w:rsidR="00054DEB" w:rsidRDefault="00054DEB" w:rsidP="0059467B">
            <w:pPr>
              <w:pStyle w:val="TableBody"/>
              <w:keepNext/>
              <w:rPr>
                <w:highlight w:val="cyan"/>
              </w:rPr>
            </w:pPr>
          </w:p>
        </w:tc>
        <w:tc>
          <w:tcPr>
            <w:tcW w:w="979" w:type="dxa"/>
            <w:tcBorders>
              <w:left w:val="single" w:sz="4" w:space="0" w:color="FFFFFF" w:themeColor="background1"/>
              <w:right w:val="single" w:sz="4" w:space="0" w:color="FFFFFF" w:themeColor="background1"/>
            </w:tcBorders>
            <w:shd w:val="clear" w:color="auto" w:fill="FFC000"/>
          </w:tcPr>
          <w:p w14:paraId="094FA33E" w14:textId="77777777" w:rsidR="00054DEB" w:rsidRDefault="00054DEB" w:rsidP="0059467B">
            <w:pPr>
              <w:pStyle w:val="TableBody"/>
              <w:keepNext/>
              <w:rPr>
                <w:highlight w:val="cyan"/>
              </w:rPr>
            </w:pPr>
          </w:p>
        </w:tc>
        <w:tc>
          <w:tcPr>
            <w:tcW w:w="979" w:type="dxa"/>
            <w:tcBorders>
              <w:left w:val="single" w:sz="4" w:space="0" w:color="FFFFFF" w:themeColor="background1"/>
              <w:right w:val="single" w:sz="4" w:space="0" w:color="FFFFFF" w:themeColor="background1"/>
            </w:tcBorders>
            <w:shd w:val="clear" w:color="auto" w:fill="00B050"/>
          </w:tcPr>
          <w:p w14:paraId="4F363E97" w14:textId="77777777" w:rsidR="00054DEB" w:rsidRDefault="00054DEB" w:rsidP="0059467B">
            <w:pPr>
              <w:pStyle w:val="TableBody"/>
              <w:keepNext/>
              <w:rPr>
                <w:highlight w:val="cyan"/>
              </w:rPr>
            </w:pPr>
          </w:p>
        </w:tc>
        <w:tc>
          <w:tcPr>
            <w:tcW w:w="950" w:type="dxa"/>
            <w:tcBorders>
              <w:left w:val="single" w:sz="4" w:space="0" w:color="FFFFFF" w:themeColor="background1"/>
              <w:right w:val="single" w:sz="4" w:space="0" w:color="FFFFFF" w:themeColor="background1"/>
            </w:tcBorders>
            <w:shd w:val="clear" w:color="auto" w:fill="00B050"/>
          </w:tcPr>
          <w:p w14:paraId="6F0C021E" w14:textId="77777777" w:rsidR="00054DEB" w:rsidRDefault="00054DEB" w:rsidP="0059467B">
            <w:pPr>
              <w:pStyle w:val="TableBody"/>
              <w:keepNext/>
              <w:rPr>
                <w:highlight w:val="cyan"/>
              </w:rPr>
            </w:pPr>
          </w:p>
        </w:tc>
        <w:tc>
          <w:tcPr>
            <w:tcW w:w="987" w:type="dxa"/>
            <w:tcBorders>
              <w:left w:val="single" w:sz="4" w:space="0" w:color="FFFFFF" w:themeColor="background1"/>
              <w:right w:val="single" w:sz="4" w:space="0" w:color="FFFFFF" w:themeColor="background1"/>
            </w:tcBorders>
            <w:shd w:val="clear" w:color="auto" w:fill="FFC000"/>
          </w:tcPr>
          <w:p w14:paraId="3ABA1BE1" w14:textId="77777777" w:rsidR="00054DEB" w:rsidRDefault="00054DEB" w:rsidP="0059467B">
            <w:pPr>
              <w:pStyle w:val="TableBody"/>
              <w:keepNext/>
              <w:rPr>
                <w:highlight w:val="cyan"/>
              </w:rPr>
            </w:pPr>
          </w:p>
        </w:tc>
        <w:tc>
          <w:tcPr>
            <w:tcW w:w="1096" w:type="dxa"/>
            <w:tcBorders>
              <w:left w:val="single" w:sz="4" w:space="0" w:color="FFFFFF" w:themeColor="background1"/>
            </w:tcBorders>
            <w:shd w:val="clear" w:color="auto" w:fill="00B050"/>
          </w:tcPr>
          <w:p w14:paraId="10CC5EA2" w14:textId="77777777" w:rsidR="00054DEB" w:rsidRDefault="00054DEB" w:rsidP="0059467B">
            <w:pPr>
              <w:pStyle w:val="TableBody"/>
              <w:keepNext/>
              <w:rPr>
                <w:highlight w:val="cyan"/>
              </w:rPr>
            </w:pPr>
          </w:p>
        </w:tc>
      </w:tr>
      <w:tr w:rsidR="00054DEB" w14:paraId="20505853" w14:textId="77777777" w:rsidTr="00D612ED">
        <w:trPr>
          <w:cnfStyle w:val="000000100000" w:firstRow="0" w:lastRow="0" w:firstColumn="0" w:lastColumn="0" w:oddVBand="0" w:evenVBand="0" w:oddHBand="1" w:evenHBand="0" w:firstRowFirstColumn="0" w:firstRowLastColumn="0" w:lastRowFirstColumn="0" w:lastRowLastColumn="0"/>
          <w:cantSplit/>
        </w:trPr>
        <w:tc>
          <w:tcPr>
            <w:tcW w:w="3668" w:type="dxa"/>
            <w:tcBorders>
              <w:right w:val="single" w:sz="4" w:space="0" w:color="FFFFFF" w:themeColor="background1"/>
            </w:tcBorders>
          </w:tcPr>
          <w:p w14:paraId="28DEE3EC" w14:textId="77777777" w:rsidR="00054DEB" w:rsidRPr="0021635A" w:rsidRDefault="00054DEB" w:rsidP="0059467B">
            <w:pPr>
              <w:pStyle w:val="TableBody"/>
              <w:keepNext/>
            </w:pPr>
            <w:r w:rsidRPr="0021635A">
              <w:t>5. The whole of the water cycle is managed in an environmentally sustainable way</w:t>
            </w:r>
          </w:p>
        </w:tc>
        <w:tc>
          <w:tcPr>
            <w:tcW w:w="979" w:type="dxa"/>
            <w:tcBorders>
              <w:left w:val="single" w:sz="4" w:space="0" w:color="FFFFFF" w:themeColor="background1"/>
              <w:right w:val="single" w:sz="4" w:space="0" w:color="FFFFFF" w:themeColor="background1"/>
            </w:tcBorders>
            <w:shd w:val="clear" w:color="auto" w:fill="00B050"/>
          </w:tcPr>
          <w:p w14:paraId="09DA9939" w14:textId="77777777" w:rsidR="00054DEB" w:rsidRDefault="00054DEB" w:rsidP="0059467B">
            <w:pPr>
              <w:pStyle w:val="TableBody"/>
              <w:keepNext/>
              <w:rPr>
                <w:highlight w:val="cyan"/>
              </w:rPr>
            </w:pPr>
          </w:p>
        </w:tc>
        <w:tc>
          <w:tcPr>
            <w:tcW w:w="979" w:type="dxa"/>
            <w:tcBorders>
              <w:left w:val="single" w:sz="4" w:space="0" w:color="FFFFFF" w:themeColor="background1"/>
              <w:right w:val="single" w:sz="4" w:space="0" w:color="FFFFFF" w:themeColor="background1"/>
            </w:tcBorders>
            <w:shd w:val="clear" w:color="auto" w:fill="00B050"/>
          </w:tcPr>
          <w:p w14:paraId="2234D3EF" w14:textId="77777777" w:rsidR="00054DEB" w:rsidRDefault="00054DEB" w:rsidP="0059467B">
            <w:pPr>
              <w:pStyle w:val="TableBody"/>
              <w:keepNext/>
              <w:rPr>
                <w:highlight w:val="cyan"/>
              </w:rPr>
            </w:pPr>
          </w:p>
        </w:tc>
        <w:tc>
          <w:tcPr>
            <w:tcW w:w="979" w:type="dxa"/>
            <w:tcBorders>
              <w:left w:val="single" w:sz="4" w:space="0" w:color="FFFFFF" w:themeColor="background1"/>
              <w:right w:val="single" w:sz="4" w:space="0" w:color="FFFFFF" w:themeColor="background1"/>
            </w:tcBorders>
            <w:shd w:val="clear" w:color="auto" w:fill="00B050"/>
          </w:tcPr>
          <w:p w14:paraId="5FB34274" w14:textId="77777777" w:rsidR="00054DEB" w:rsidRDefault="00054DEB" w:rsidP="0059467B">
            <w:pPr>
              <w:pStyle w:val="TableBody"/>
              <w:keepNext/>
              <w:rPr>
                <w:highlight w:val="cyan"/>
              </w:rPr>
            </w:pPr>
          </w:p>
        </w:tc>
        <w:tc>
          <w:tcPr>
            <w:tcW w:w="950" w:type="dxa"/>
            <w:tcBorders>
              <w:left w:val="single" w:sz="4" w:space="0" w:color="FFFFFF" w:themeColor="background1"/>
              <w:right w:val="single" w:sz="4" w:space="0" w:color="FFFFFF" w:themeColor="background1"/>
            </w:tcBorders>
            <w:shd w:val="clear" w:color="auto" w:fill="00B050"/>
          </w:tcPr>
          <w:p w14:paraId="7B0932AE" w14:textId="77777777" w:rsidR="00054DEB" w:rsidRDefault="00054DEB" w:rsidP="0059467B">
            <w:pPr>
              <w:pStyle w:val="TableBody"/>
              <w:keepNext/>
              <w:rPr>
                <w:highlight w:val="cyan"/>
              </w:rPr>
            </w:pPr>
          </w:p>
        </w:tc>
        <w:tc>
          <w:tcPr>
            <w:tcW w:w="987" w:type="dxa"/>
            <w:tcBorders>
              <w:left w:val="single" w:sz="4" w:space="0" w:color="FFFFFF" w:themeColor="background1"/>
              <w:right w:val="single" w:sz="4" w:space="0" w:color="FFFFFF" w:themeColor="background1"/>
            </w:tcBorders>
            <w:shd w:val="clear" w:color="auto" w:fill="00B050"/>
          </w:tcPr>
          <w:p w14:paraId="2AEA358C" w14:textId="77777777" w:rsidR="00054DEB" w:rsidRDefault="00054DEB" w:rsidP="0059467B">
            <w:pPr>
              <w:pStyle w:val="TableBody"/>
              <w:keepNext/>
              <w:rPr>
                <w:highlight w:val="cyan"/>
              </w:rPr>
            </w:pPr>
          </w:p>
        </w:tc>
        <w:tc>
          <w:tcPr>
            <w:tcW w:w="1096" w:type="dxa"/>
            <w:tcBorders>
              <w:left w:val="single" w:sz="4" w:space="0" w:color="FFFFFF" w:themeColor="background1"/>
            </w:tcBorders>
            <w:shd w:val="clear" w:color="auto" w:fill="00B050"/>
          </w:tcPr>
          <w:p w14:paraId="76150AE8" w14:textId="77777777" w:rsidR="00054DEB" w:rsidRDefault="00054DEB" w:rsidP="0059467B">
            <w:pPr>
              <w:pStyle w:val="TableBody"/>
              <w:keepNext/>
              <w:rPr>
                <w:highlight w:val="cyan"/>
              </w:rPr>
            </w:pPr>
          </w:p>
        </w:tc>
      </w:tr>
      <w:tr w:rsidR="00054DEB" w14:paraId="55B98A77" w14:textId="77777777" w:rsidTr="00D612ED">
        <w:trPr>
          <w:cnfStyle w:val="000000010000" w:firstRow="0" w:lastRow="0" w:firstColumn="0" w:lastColumn="0" w:oddVBand="0" w:evenVBand="0" w:oddHBand="0" w:evenHBand="1" w:firstRowFirstColumn="0" w:firstRowLastColumn="0" w:lastRowFirstColumn="0" w:lastRowLastColumn="0"/>
          <w:cantSplit/>
        </w:trPr>
        <w:tc>
          <w:tcPr>
            <w:tcW w:w="3668" w:type="dxa"/>
            <w:tcBorders>
              <w:right w:val="single" w:sz="4" w:space="0" w:color="FFFFFF" w:themeColor="background1"/>
            </w:tcBorders>
          </w:tcPr>
          <w:p w14:paraId="45592D50" w14:textId="77777777" w:rsidR="00054DEB" w:rsidRPr="0021635A" w:rsidRDefault="00054DEB" w:rsidP="0059467B">
            <w:pPr>
              <w:pStyle w:val="TableBody"/>
              <w:keepNext/>
            </w:pPr>
            <w:r w:rsidRPr="0021635A">
              <w:t>6. CWW is a valued partner in servicing a growing Melbourne</w:t>
            </w:r>
          </w:p>
        </w:tc>
        <w:tc>
          <w:tcPr>
            <w:tcW w:w="979" w:type="dxa"/>
            <w:tcBorders>
              <w:left w:val="single" w:sz="4" w:space="0" w:color="FFFFFF" w:themeColor="background1"/>
              <w:right w:val="single" w:sz="4" w:space="0" w:color="FFFFFF" w:themeColor="background1"/>
            </w:tcBorders>
            <w:shd w:val="clear" w:color="auto" w:fill="FFC000"/>
          </w:tcPr>
          <w:p w14:paraId="092C22A5" w14:textId="77777777" w:rsidR="00054DEB" w:rsidRDefault="00054DEB" w:rsidP="0059467B">
            <w:pPr>
              <w:pStyle w:val="TableBody"/>
              <w:keepNext/>
              <w:rPr>
                <w:highlight w:val="cyan"/>
              </w:rPr>
            </w:pPr>
          </w:p>
        </w:tc>
        <w:tc>
          <w:tcPr>
            <w:tcW w:w="979" w:type="dxa"/>
            <w:tcBorders>
              <w:left w:val="single" w:sz="4" w:space="0" w:color="FFFFFF" w:themeColor="background1"/>
              <w:right w:val="single" w:sz="4" w:space="0" w:color="FFFFFF" w:themeColor="background1"/>
            </w:tcBorders>
            <w:shd w:val="clear" w:color="auto" w:fill="FFC000"/>
          </w:tcPr>
          <w:p w14:paraId="7D39B97A" w14:textId="77777777" w:rsidR="00054DEB" w:rsidRDefault="00054DEB" w:rsidP="0059467B">
            <w:pPr>
              <w:pStyle w:val="TableBody"/>
              <w:keepNext/>
              <w:rPr>
                <w:highlight w:val="cyan"/>
              </w:rPr>
            </w:pPr>
          </w:p>
        </w:tc>
        <w:tc>
          <w:tcPr>
            <w:tcW w:w="979" w:type="dxa"/>
            <w:tcBorders>
              <w:left w:val="single" w:sz="4" w:space="0" w:color="FFFFFF" w:themeColor="background1"/>
              <w:right w:val="single" w:sz="4" w:space="0" w:color="FFFFFF" w:themeColor="background1"/>
            </w:tcBorders>
            <w:shd w:val="clear" w:color="auto" w:fill="FFC000"/>
          </w:tcPr>
          <w:p w14:paraId="2A8D7D99" w14:textId="77777777" w:rsidR="00054DEB" w:rsidRDefault="00054DEB" w:rsidP="0059467B">
            <w:pPr>
              <w:pStyle w:val="TableBody"/>
              <w:keepNext/>
              <w:rPr>
                <w:highlight w:val="cyan"/>
              </w:rPr>
            </w:pPr>
          </w:p>
        </w:tc>
        <w:tc>
          <w:tcPr>
            <w:tcW w:w="950" w:type="dxa"/>
            <w:tcBorders>
              <w:left w:val="single" w:sz="4" w:space="0" w:color="FFFFFF" w:themeColor="background1"/>
              <w:right w:val="single" w:sz="4" w:space="0" w:color="FFFFFF" w:themeColor="background1"/>
            </w:tcBorders>
            <w:shd w:val="clear" w:color="auto" w:fill="00B050"/>
          </w:tcPr>
          <w:p w14:paraId="11182F3A" w14:textId="77777777" w:rsidR="00054DEB" w:rsidRDefault="00054DEB" w:rsidP="0059467B">
            <w:pPr>
              <w:pStyle w:val="TableBody"/>
              <w:keepNext/>
              <w:rPr>
                <w:highlight w:val="cyan"/>
              </w:rPr>
            </w:pPr>
          </w:p>
        </w:tc>
        <w:tc>
          <w:tcPr>
            <w:tcW w:w="987" w:type="dxa"/>
            <w:tcBorders>
              <w:left w:val="single" w:sz="4" w:space="0" w:color="FFFFFF" w:themeColor="background1"/>
              <w:right w:val="single" w:sz="4" w:space="0" w:color="FFFFFF" w:themeColor="background1"/>
            </w:tcBorders>
            <w:shd w:val="clear" w:color="auto" w:fill="00B050"/>
          </w:tcPr>
          <w:p w14:paraId="67D872F9" w14:textId="77777777" w:rsidR="00054DEB" w:rsidRDefault="00054DEB" w:rsidP="0059467B">
            <w:pPr>
              <w:pStyle w:val="TableBody"/>
              <w:keepNext/>
              <w:rPr>
                <w:highlight w:val="cyan"/>
              </w:rPr>
            </w:pPr>
          </w:p>
        </w:tc>
        <w:tc>
          <w:tcPr>
            <w:tcW w:w="1096" w:type="dxa"/>
            <w:tcBorders>
              <w:left w:val="single" w:sz="4" w:space="0" w:color="FFFFFF" w:themeColor="background1"/>
            </w:tcBorders>
            <w:shd w:val="clear" w:color="auto" w:fill="00B050"/>
          </w:tcPr>
          <w:p w14:paraId="75BFAF6B" w14:textId="77777777" w:rsidR="00054DEB" w:rsidRDefault="00054DEB" w:rsidP="0059467B">
            <w:pPr>
              <w:pStyle w:val="TableBody"/>
              <w:keepNext/>
              <w:rPr>
                <w:highlight w:val="cyan"/>
              </w:rPr>
            </w:pPr>
          </w:p>
        </w:tc>
      </w:tr>
    </w:tbl>
    <w:p w14:paraId="4A01D4F7" w14:textId="77777777" w:rsidR="00054DEB" w:rsidRPr="00F058BA" w:rsidRDefault="00054DEB" w:rsidP="00CE2118">
      <w:pPr>
        <w:pStyle w:val="Source"/>
        <w:jc w:val="left"/>
      </w:pPr>
      <w:r w:rsidRPr="00F058BA">
        <w:rPr>
          <w:b/>
        </w:rPr>
        <w:t>Note:</w:t>
      </w:r>
      <w:r w:rsidRPr="00F058BA">
        <w:t xml:space="preserve"> Green = achieved target; Amber = close to achieving target; Red = failed to meet target. </w:t>
      </w:r>
      <w:proofErr w:type="spellStart"/>
      <w:r w:rsidRPr="00F058BA">
        <w:rPr>
          <w:vertAlign w:val="superscript"/>
        </w:rPr>
        <w:t>a</w:t>
      </w:r>
      <w:proofErr w:type="spellEnd"/>
      <w:r w:rsidRPr="00F058BA">
        <w:t xml:space="preserve"> This is Greater Western Water’s self</w:t>
      </w:r>
      <w:r w:rsidRPr="00F058BA">
        <w:noBreakHyphen/>
        <w:t>assessment of its performance across the 2018–23 period as City West Water. Greater Western Water’s 2023</w:t>
      </w:r>
      <w:r w:rsidRPr="00F058BA">
        <w:noBreakHyphen/>
        <w:t>24 performance will be monitored and reported against the Outcome commitments it proposed in its 2024 price submission, and its performance against these will be published in our 2023</w:t>
      </w:r>
      <w:r w:rsidRPr="00F058BA">
        <w:noBreakHyphen/>
        <w:t>24 Outcomes Report.</w:t>
      </w:r>
    </w:p>
    <w:p w14:paraId="4353EA7C" w14:textId="00FE3706" w:rsidR="00054DEB" w:rsidRPr="00F058BA" w:rsidRDefault="00054DEB" w:rsidP="00054DEB">
      <w:r w:rsidRPr="00F058BA">
        <w:t>Greater Western Water considers it has achieved or exceeded its targets for 140 of its 204</w:t>
      </w:r>
      <w:r w:rsidR="00CC65E9">
        <w:t> </w:t>
      </w:r>
      <w:r w:rsidRPr="00F058BA">
        <w:t>total measures it reported for its City West Water area over the 2018–23 period. Of these 204 performance measures, 20 (10</w:t>
      </w:r>
      <w:r w:rsidR="007C1E84">
        <w:t> </w:t>
      </w:r>
      <w:r w:rsidRPr="00F058BA">
        <w:t>per cent) have been rated as amber ‘close to achieving target’ and 44 (21 per cent) as red ‘failed to meet target</w:t>
      </w:r>
      <w:r w:rsidR="00FA7C85">
        <w:t>’</w:t>
      </w:r>
      <w:r w:rsidRPr="00F058BA">
        <w:t>.</w:t>
      </w:r>
      <w:r w:rsidRPr="00F058BA">
        <w:rPr>
          <w:rStyle w:val="FootnoteReference"/>
        </w:rPr>
        <w:footnoteReference w:id="29"/>
      </w:r>
    </w:p>
    <w:p w14:paraId="05578053" w14:textId="77777777" w:rsidR="00054DEB" w:rsidRPr="00F058BA" w:rsidRDefault="00054DEB" w:rsidP="00054DEB">
      <w:r w:rsidRPr="00F058BA">
        <w:t xml:space="preserve">Greater Western Water almost met its ‘billing and payment options are efficient and convenient’ outcome for its City West Water service area. In its price submission, Greater Western Water stated that it saw the number of estimated meter reads increase dramatically through 2019–22 driven by the Covid-19 pandemic restrictions, and subsequently observed a rise in payment and bill complaints driven by corrections to bills. It also paused the promotion of its online accounts as it </w:t>
      </w:r>
      <w:r w:rsidRPr="00F058BA">
        <w:lastRenderedPageBreak/>
        <w:t>integrated and rescoped its replacement billing system, impacting its ability to meet its annual targets for its ‘customers with registered online accounts’ measure.</w:t>
      </w:r>
      <w:r w:rsidRPr="00F058BA">
        <w:rPr>
          <w:rStyle w:val="FootnoteReference"/>
        </w:rPr>
        <w:footnoteReference w:id="30"/>
      </w:r>
    </w:p>
    <w:p w14:paraId="08E2AB80" w14:textId="77777777" w:rsidR="00054DEB" w:rsidRPr="003231C3" w:rsidRDefault="00054DEB" w:rsidP="00054DEB">
      <w:pPr>
        <w:pStyle w:val="Heading4"/>
      </w:pPr>
      <w:r w:rsidRPr="003231C3">
        <w:t>Western region (Western Water commitments)</w:t>
      </w:r>
    </w:p>
    <w:p w14:paraId="7AD9FB94" w14:textId="77777777" w:rsidR="00054DEB" w:rsidRDefault="00054DEB" w:rsidP="00054DEB">
      <w:pPr>
        <w:pStyle w:val="Figure-Table-BoxHeading"/>
        <w:spacing w:before="360" w:line="288" w:lineRule="auto"/>
        <w:ind w:left="1440" w:hanging="1440"/>
      </w:pPr>
      <w:r w:rsidRPr="003231C3">
        <w:t>Table 3.2</w:t>
      </w:r>
      <w:r w:rsidRPr="003231C3">
        <w:tab/>
        <w:t>Greater Western Water’s self</w:t>
      </w:r>
      <w:r w:rsidRPr="003231C3">
        <w:noBreakHyphen/>
        <w:t>assessment of performance against the Western Water Outcome commitments</w:t>
      </w:r>
    </w:p>
    <w:tbl>
      <w:tblPr>
        <w:tblStyle w:val="TableGrid"/>
        <w:tblW w:w="0" w:type="auto"/>
        <w:tblLook w:val="04A0" w:firstRow="1" w:lastRow="0" w:firstColumn="1" w:lastColumn="0" w:noHBand="0" w:noVBand="1"/>
      </w:tblPr>
      <w:tblGrid>
        <w:gridCol w:w="3661"/>
        <w:gridCol w:w="980"/>
        <w:gridCol w:w="980"/>
        <w:gridCol w:w="980"/>
        <w:gridCol w:w="950"/>
        <w:gridCol w:w="991"/>
        <w:gridCol w:w="1096"/>
      </w:tblGrid>
      <w:tr w:rsidR="00054DEB" w14:paraId="5AEE1076" w14:textId="77777777" w:rsidTr="008B518F">
        <w:trPr>
          <w:cnfStyle w:val="100000000000" w:firstRow="1" w:lastRow="0" w:firstColumn="0" w:lastColumn="0" w:oddVBand="0" w:evenVBand="0" w:oddHBand="0" w:evenHBand="0" w:firstRowFirstColumn="0" w:firstRowLastColumn="0" w:lastRowFirstColumn="0" w:lastRowLastColumn="0"/>
        </w:trPr>
        <w:tc>
          <w:tcPr>
            <w:tcW w:w="3661" w:type="dxa"/>
          </w:tcPr>
          <w:p w14:paraId="179551CE" w14:textId="77777777" w:rsidR="00054DEB" w:rsidRPr="002014BB" w:rsidRDefault="00054DEB" w:rsidP="008B518F">
            <w:pPr>
              <w:pStyle w:val="TableHeading"/>
            </w:pPr>
            <w:r w:rsidRPr="002014BB">
              <w:t>Outcome</w:t>
            </w:r>
          </w:p>
        </w:tc>
        <w:tc>
          <w:tcPr>
            <w:tcW w:w="980" w:type="dxa"/>
          </w:tcPr>
          <w:p w14:paraId="56701B2F" w14:textId="77777777" w:rsidR="00054DEB" w:rsidRPr="002014BB" w:rsidRDefault="00054DEB" w:rsidP="008B518F">
            <w:pPr>
              <w:pStyle w:val="TableHeading"/>
            </w:pPr>
            <w:r w:rsidRPr="002014BB">
              <w:t>2018</w:t>
            </w:r>
            <w:r>
              <w:noBreakHyphen/>
            </w:r>
            <w:r w:rsidRPr="002014BB">
              <w:t>19</w:t>
            </w:r>
          </w:p>
        </w:tc>
        <w:tc>
          <w:tcPr>
            <w:tcW w:w="980" w:type="dxa"/>
          </w:tcPr>
          <w:p w14:paraId="25CFC1A1" w14:textId="77777777" w:rsidR="00054DEB" w:rsidRPr="002014BB" w:rsidRDefault="00054DEB" w:rsidP="008B518F">
            <w:pPr>
              <w:pStyle w:val="TableHeading"/>
            </w:pPr>
            <w:r w:rsidRPr="002014BB">
              <w:t>2019</w:t>
            </w:r>
            <w:r>
              <w:noBreakHyphen/>
            </w:r>
            <w:r w:rsidRPr="002014BB">
              <w:t>20</w:t>
            </w:r>
          </w:p>
        </w:tc>
        <w:tc>
          <w:tcPr>
            <w:tcW w:w="980" w:type="dxa"/>
          </w:tcPr>
          <w:p w14:paraId="2E43F204" w14:textId="77777777" w:rsidR="00054DEB" w:rsidRPr="002014BB" w:rsidRDefault="00054DEB" w:rsidP="008B518F">
            <w:pPr>
              <w:pStyle w:val="TableHeading"/>
            </w:pPr>
            <w:r w:rsidRPr="002014BB">
              <w:t>2020</w:t>
            </w:r>
            <w:r>
              <w:noBreakHyphen/>
            </w:r>
            <w:r w:rsidRPr="002014BB">
              <w:t>21</w:t>
            </w:r>
          </w:p>
        </w:tc>
        <w:tc>
          <w:tcPr>
            <w:tcW w:w="950" w:type="dxa"/>
          </w:tcPr>
          <w:p w14:paraId="7FA84397" w14:textId="77777777" w:rsidR="00054DEB" w:rsidRPr="002014BB" w:rsidRDefault="00054DEB" w:rsidP="008B518F">
            <w:pPr>
              <w:pStyle w:val="TableHeading"/>
            </w:pPr>
            <w:r w:rsidRPr="002014BB">
              <w:t>2021</w:t>
            </w:r>
            <w:r>
              <w:noBreakHyphen/>
            </w:r>
            <w:r w:rsidRPr="002014BB">
              <w:t>22</w:t>
            </w:r>
          </w:p>
        </w:tc>
        <w:tc>
          <w:tcPr>
            <w:tcW w:w="991" w:type="dxa"/>
          </w:tcPr>
          <w:p w14:paraId="7535E446" w14:textId="77777777" w:rsidR="00054DEB" w:rsidRDefault="00054DEB" w:rsidP="008B518F">
            <w:pPr>
              <w:pStyle w:val="TableHeading"/>
            </w:pPr>
            <w:r>
              <w:t>2022-23</w:t>
            </w:r>
          </w:p>
        </w:tc>
        <w:tc>
          <w:tcPr>
            <w:tcW w:w="1096" w:type="dxa"/>
          </w:tcPr>
          <w:p w14:paraId="2F834B57" w14:textId="421468B9" w:rsidR="00054DEB" w:rsidRPr="002014BB" w:rsidRDefault="00054DEB" w:rsidP="008B518F">
            <w:pPr>
              <w:pStyle w:val="TableHeading"/>
            </w:pPr>
            <w:r w:rsidRPr="00405B10">
              <w:t>Overall rating</w:t>
            </w:r>
            <w:r>
              <w:rPr>
                <w:vertAlign w:val="superscript"/>
              </w:rPr>
              <w:t xml:space="preserve"> </w:t>
            </w:r>
            <w:r w:rsidRPr="00405B10">
              <w:rPr>
                <w:vertAlign w:val="superscript"/>
              </w:rPr>
              <w:t>a</w:t>
            </w:r>
          </w:p>
        </w:tc>
      </w:tr>
      <w:tr w:rsidR="00054DEB" w14:paraId="43CF718C" w14:textId="77777777" w:rsidTr="008B518F">
        <w:trPr>
          <w:cnfStyle w:val="000000100000" w:firstRow="0" w:lastRow="0" w:firstColumn="0" w:lastColumn="0" w:oddVBand="0" w:evenVBand="0" w:oddHBand="1" w:evenHBand="0" w:firstRowFirstColumn="0" w:firstRowLastColumn="0" w:lastRowFirstColumn="0" w:lastRowLastColumn="0"/>
        </w:trPr>
        <w:tc>
          <w:tcPr>
            <w:tcW w:w="3661" w:type="dxa"/>
            <w:tcBorders>
              <w:right w:val="single" w:sz="4" w:space="0" w:color="FFFFFF" w:themeColor="background1"/>
            </w:tcBorders>
          </w:tcPr>
          <w:p w14:paraId="79FA601F" w14:textId="77777777" w:rsidR="00054DEB" w:rsidRDefault="00054DEB" w:rsidP="008B518F">
            <w:pPr>
              <w:pStyle w:val="TableBody"/>
              <w:rPr>
                <w:highlight w:val="cyan"/>
              </w:rPr>
            </w:pPr>
            <w:r w:rsidRPr="00F97737">
              <w:t>1. Fair and affordable charges for all customers</w:t>
            </w:r>
          </w:p>
        </w:tc>
        <w:tc>
          <w:tcPr>
            <w:tcW w:w="980" w:type="dxa"/>
            <w:tcBorders>
              <w:left w:val="single" w:sz="4" w:space="0" w:color="FFFFFF" w:themeColor="background1"/>
              <w:right w:val="single" w:sz="4" w:space="0" w:color="FFFFFF" w:themeColor="background1"/>
            </w:tcBorders>
            <w:shd w:val="clear" w:color="auto" w:fill="00B050"/>
          </w:tcPr>
          <w:p w14:paraId="15467CA0" w14:textId="77777777" w:rsidR="00054DEB" w:rsidRDefault="00054DEB" w:rsidP="008B518F">
            <w:pPr>
              <w:pStyle w:val="TableBody"/>
              <w:rPr>
                <w:highlight w:val="cyan"/>
              </w:rPr>
            </w:pPr>
          </w:p>
        </w:tc>
        <w:tc>
          <w:tcPr>
            <w:tcW w:w="980" w:type="dxa"/>
            <w:tcBorders>
              <w:left w:val="single" w:sz="4" w:space="0" w:color="FFFFFF" w:themeColor="background1"/>
              <w:right w:val="single" w:sz="4" w:space="0" w:color="FFFFFF" w:themeColor="background1"/>
            </w:tcBorders>
            <w:shd w:val="clear" w:color="auto" w:fill="00B050"/>
          </w:tcPr>
          <w:p w14:paraId="4C27C73D" w14:textId="77777777" w:rsidR="00054DEB" w:rsidRDefault="00054DEB" w:rsidP="008B518F">
            <w:pPr>
              <w:pStyle w:val="TableBody"/>
              <w:rPr>
                <w:highlight w:val="cyan"/>
              </w:rPr>
            </w:pPr>
          </w:p>
        </w:tc>
        <w:tc>
          <w:tcPr>
            <w:tcW w:w="980" w:type="dxa"/>
            <w:tcBorders>
              <w:left w:val="single" w:sz="4" w:space="0" w:color="FFFFFF" w:themeColor="background1"/>
              <w:right w:val="single" w:sz="4" w:space="0" w:color="FFFFFF" w:themeColor="background1"/>
            </w:tcBorders>
            <w:shd w:val="clear" w:color="auto" w:fill="00B050"/>
          </w:tcPr>
          <w:p w14:paraId="2D134315" w14:textId="77777777" w:rsidR="00054DEB" w:rsidRDefault="00054DEB" w:rsidP="008B518F">
            <w:pPr>
              <w:pStyle w:val="TableBody"/>
              <w:rPr>
                <w:highlight w:val="cyan"/>
              </w:rPr>
            </w:pPr>
          </w:p>
        </w:tc>
        <w:tc>
          <w:tcPr>
            <w:tcW w:w="950" w:type="dxa"/>
            <w:tcBorders>
              <w:left w:val="single" w:sz="4" w:space="0" w:color="FFFFFF" w:themeColor="background1"/>
              <w:right w:val="single" w:sz="4" w:space="0" w:color="FFFFFF" w:themeColor="background1"/>
            </w:tcBorders>
            <w:shd w:val="clear" w:color="auto" w:fill="00B050"/>
          </w:tcPr>
          <w:p w14:paraId="570140E3" w14:textId="77777777" w:rsidR="00054DEB" w:rsidRDefault="00054DEB" w:rsidP="008B518F">
            <w:pPr>
              <w:pStyle w:val="TableBody"/>
              <w:rPr>
                <w:highlight w:val="cyan"/>
              </w:rPr>
            </w:pPr>
          </w:p>
        </w:tc>
        <w:tc>
          <w:tcPr>
            <w:tcW w:w="991" w:type="dxa"/>
            <w:tcBorders>
              <w:left w:val="single" w:sz="4" w:space="0" w:color="FFFFFF" w:themeColor="background1"/>
              <w:right w:val="single" w:sz="4" w:space="0" w:color="FFFFFF" w:themeColor="background1"/>
            </w:tcBorders>
            <w:shd w:val="clear" w:color="auto" w:fill="00B050"/>
          </w:tcPr>
          <w:p w14:paraId="66233082" w14:textId="77777777" w:rsidR="00054DEB" w:rsidRDefault="00054DEB" w:rsidP="008B518F">
            <w:pPr>
              <w:pStyle w:val="TableBody"/>
              <w:rPr>
                <w:highlight w:val="cyan"/>
              </w:rPr>
            </w:pPr>
          </w:p>
        </w:tc>
        <w:tc>
          <w:tcPr>
            <w:tcW w:w="1096" w:type="dxa"/>
            <w:tcBorders>
              <w:left w:val="single" w:sz="4" w:space="0" w:color="FFFFFF" w:themeColor="background1"/>
            </w:tcBorders>
            <w:shd w:val="clear" w:color="auto" w:fill="00B050"/>
          </w:tcPr>
          <w:p w14:paraId="6F08E894" w14:textId="77777777" w:rsidR="00054DEB" w:rsidRDefault="00054DEB" w:rsidP="008B518F">
            <w:pPr>
              <w:pStyle w:val="TableBody"/>
              <w:rPr>
                <w:highlight w:val="cyan"/>
              </w:rPr>
            </w:pPr>
          </w:p>
        </w:tc>
      </w:tr>
      <w:tr w:rsidR="00054DEB" w14:paraId="0CE1FF11" w14:textId="77777777" w:rsidTr="008B518F">
        <w:trPr>
          <w:cnfStyle w:val="000000010000" w:firstRow="0" w:lastRow="0" w:firstColumn="0" w:lastColumn="0" w:oddVBand="0" w:evenVBand="0" w:oddHBand="0" w:evenHBand="1" w:firstRowFirstColumn="0" w:firstRowLastColumn="0" w:lastRowFirstColumn="0" w:lastRowLastColumn="0"/>
        </w:trPr>
        <w:tc>
          <w:tcPr>
            <w:tcW w:w="3661" w:type="dxa"/>
            <w:tcBorders>
              <w:right w:val="single" w:sz="4" w:space="0" w:color="FFFFFF" w:themeColor="background1"/>
            </w:tcBorders>
          </w:tcPr>
          <w:p w14:paraId="0843E466" w14:textId="77777777" w:rsidR="00054DEB" w:rsidRDefault="00054DEB" w:rsidP="008B518F">
            <w:pPr>
              <w:pStyle w:val="TableBody"/>
              <w:rPr>
                <w:highlight w:val="cyan"/>
              </w:rPr>
            </w:pPr>
            <w:r w:rsidRPr="0036115E">
              <w:t>2. Reliable, safe services to existing and new customers</w:t>
            </w:r>
          </w:p>
        </w:tc>
        <w:tc>
          <w:tcPr>
            <w:tcW w:w="980" w:type="dxa"/>
            <w:tcBorders>
              <w:left w:val="single" w:sz="4" w:space="0" w:color="FFFFFF" w:themeColor="background1"/>
              <w:right w:val="single" w:sz="4" w:space="0" w:color="FFFFFF" w:themeColor="background1"/>
            </w:tcBorders>
            <w:shd w:val="clear" w:color="auto" w:fill="00B050"/>
          </w:tcPr>
          <w:p w14:paraId="2F9DDD0B" w14:textId="77777777" w:rsidR="00054DEB" w:rsidRDefault="00054DEB" w:rsidP="008B518F">
            <w:pPr>
              <w:pStyle w:val="TableBody"/>
              <w:rPr>
                <w:highlight w:val="cyan"/>
              </w:rPr>
            </w:pPr>
          </w:p>
        </w:tc>
        <w:tc>
          <w:tcPr>
            <w:tcW w:w="980" w:type="dxa"/>
            <w:tcBorders>
              <w:left w:val="single" w:sz="4" w:space="0" w:color="FFFFFF" w:themeColor="background1"/>
              <w:right w:val="single" w:sz="4" w:space="0" w:color="FFFFFF" w:themeColor="background1"/>
            </w:tcBorders>
            <w:shd w:val="clear" w:color="auto" w:fill="00B050"/>
          </w:tcPr>
          <w:p w14:paraId="5635CD7B" w14:textId="77777777" w:rsidR="00054DEB" w:rsidRDefault="00054DEB" w:rsidP="008B518F">
            <w:pPr>
              <w:pStyle w:val="TableBody"/>
              <w:rPr>
                <w:highlight w:val="cyan"/>
              </w:rPr>
            </w:pPr>
          </w:p>
        </w:tc>
        <w:tc>
          <w:tcPr>
            <w:tcW w:w="980" w:type="dxa"/>
            <w:tcBorders>
              <w:left w:val="single" w:sz="4" w:space="0" w:color="FFFFFF" w:themeColor="background1"/>
              <w:right w:val="single" w:sz="4" w:space="0" w:color="FFFFFF" w:themeColor="background1"/>
            </w:tcBorders>
            <w:shd w:val="clear" w:color="auto" w:fill="00B050"/>
          </w:tcPr>
          <w:p w14:paraId="6918C365" w14:textId="77777777" w:rsidR="00054DEB" w:rsidRDefault="00054DEB" w:rsidP="008B518F">
            <w:pPr>
              <w:pStyle w:val="TableBody"/>
              <w:rPr>
                <w:highlight w:val="cyan"/>
              </w:rPr>
            </w:pPr>
          </w:p>
        </w:tc>
        <w:tc>
          <w:tcPr>
            <w:tcW w:w="950" w:type="dxa"/>
            <w:tcBorders>
              <w:left w:val="single" w:sz="4" w:space="0" w:color="FFFFFF" w:themeColor="background1"/>
              <w:right w:val="single" w:sz="4" w:space="0" w:color="FFFFFF" w:themeColor="background1"/>
            </w:tcBorders>
            <w:shd w:val="clear" w:color="auto" w:fill="00B050"/>
          </w:tcPr>
          <w:p w14:paraId="760CE01E" w14:textId="77777777" w:rsidR="00054DEB" w:rsidRDefault="00054DEB" w:rsidP="008B518F">
            <w:pPr>
              <w:pStyle w:val="TableBody"/>
              <w:rPr>
                <w:highlight w:val="cyan"/>
              </w:rPr>
            </w:pPr>
          </w:p>
        </w:tc>
        <w:tc>
          <w:tcPr>
            <w:tcW w:w="991" w:type="dxa"/>
            <w:tcBorders>
              <w:left w:val="single" w:sz="4" w:space="0" w:color="FFFFFF" w:themeColor="background1"/>
              <w:right w:val="single" w:sz="4" w:space="0" w:color="FFFFFF" w:themeColor="background1"/>
            </w:tcBorders>
            <w:shd w:val="clear" w:color="auto" w:fill="00B050"/>
          </w:tcPr>
          <w:p w14:paraId="66FEC459" w14:textId="77777777" w:rsidR="00054DEB" w:rsidRDefault="00054DEB" w:rsidP="008B518F">
            <w:pPr>
              <w:pStyle w:val="TableBody"/>
              <w:rPr>
                <w:highlight w:val="cyan"/>
              </w:rPr>
            </w:pPr>
          </w:p>
        </w:tc>
        <w:tc>
          <w:tcPr>
            <w:tcW w:w="1096" w:type="dxa"/>
            <w:tcBorders>
              <w:left w:val="single" w:sz="4" w:space="0" w:color="FFFFFF" w:themeColor="background1"/>
            </w:tcBorders>
            <w:shd w:val="clear" w:color="auto" w:fill="00B050"/>
          </w:tcPr>
          <w:p w14:paraId="56BF886F" w14:textId="77777777" w:rsidR="00054DEB" w:rsidRDefault="00054DEB" w:rsidP="008B518F">
            <w:pPr>
              <w:pStyle w:val="TableBody"/>
              <w:rPr>
                <w:highlight w:val="cyan"/>
              </w:rPr>
            </w:pPr>
          </w:p>
        </w:tc>
      </w:tr>
      <w:tr w:rsidR="00054DEB" w14:paraId="337EF443" w14:textId="77777777" w:rsidTr="008B518F">
        <w:trPr>
          <w:cnfStyle w:val="000000100000" w:firstRow="0" w:lastRow="0" w:firstColumn="0" w:lastColumn="0" w:oddVBand="0" w:evenVBand="0" w:oddHBand="1" w:evenHBand="0" w:firstRowFirstColumn="0" w:firstRowLastColumn="0" w:lastRowFirstColumn="0" w:lastRowLastColumn="0"/>
        </w:trPr>
        <w:tc>
          <w:tcPr>
            <w:tcW w:w="3661" w:type="dxa"/>
            <w:tcBorders>
              <w:right w:val="single" w:sz="4" w:space="0" w:color="FFFFFF" w:themeColor="background1"/>
            </w:tcBorders>
          </w:tcPr>
          <w:p w14:paraId="5502E280" w14:textId="77777777" w:rsidR="00054DEB" w:rsidRDefault="00054DEB" w:rsidP="008B518F">
            <w:pPr>
              <w:pStyle w:val="TableBody"/>
              <w:rPr>
                <w:highlight w:val="cyan"/>
              </w:rPr>
            </w:pPr>
            <w:r w:rsidRPr="0036115E">
              <w:t>3. Innovative approaches to addressing customer needs</w:t>
            </w:r>
          </w:p>
        </w:tc>
        <w:tc>
          <w:tcPr>
            <w:tcW w:w="980" w:type="dxa"/>
            <w:tcBorders>
              <w:left w:val="single" w:sz="4" w:space="0" w:color="FFFFFF" w:themeColor="background1"/>
              <w:right w:val="single" w:sz="4" w:space="0" w:color="FFFFFF" w:themeColor="background1"/>
            </w:tcBorders>
            <w:shd w:val="clear" w:color="auto" w:fill="00B050"/>
          </w:tcPr>
          <w:p w14:paraId="6AB83299" w14:textId="77777777" w:rsidR="00054DEB" w:rsidRDefault="00054DEB" w:rsidP="008B518F">
            <w:pPr>
              <w:pStyle w:val="TableBody"/>
              <w:rPr>
                <w:highlight w:val="cyan"/>
              </w:rPr>
            </w:pPr>
          </w:p>
        </w:tc>
        <w:tc>
          <w:tcPr>
            <w:tcW w:w="980" w:type="dxa"/>
            <w:tcBorders>
              <w:left w:val="single" w:sz="4" w:space="0" w:color="FFFFFF" w:themeColor="background1"/>
              <w:right w:val="single" w:sz="4" w:space="0" w:color="FFFFFF" w:themeColor="background1"/>
            </w:tcBorders>
            <w:shd w:val="clear" w:color="auto" w:fill="00B050"/>
          </w:tcPr>
          <w:p w14:paraId="3779F937" w14:textId="77777777" w:rsidR="00054DEB" w:rsidRDefault="00054DEB" w:rsidP="008B518F">
            <w:pPr>
              <w:pStyle w:val="TableBody"/>
              <w:rPr>
                <w:highlight w:val="cyan"/>
              </w:rPr>
            </w:pPr>
          </w:p>
        </w:tc>
        <w:tc>
          <w:tcPr>
            <w:tcW w:w="980" w:type="dxa"/>
            <w:tcBorders>
              <w:left w:val="single" w:sz="4" w:space="0" w:color="FFFFFF" w:themeColor="background1"/>
              <w:right w:val="single" w:sz="4" w:space="0" w:color="FFFFFF" w:themeColor="background1"/>
            </w:tcBorders>
            <w:shd w:val="clear" w:color="auto" w:fill="00B050"/>
          </w:tcPr>
          <w:p w14:paraId="5D5A8074" w14:textId="77777777" w:rsidR="00054DEB" w:rsidRDefault="00054DEB" w:rsidP="008B518F">
            <w:pPr>
              <w:pStyle w:val="TableBody"/>
              <w:rPr>
                <w:highlight w:val="cyan"/>
              </w:rPr>
            </w:pPr>
          </w:p>
        </w:tc>
        <w:tc>
          <w:tcPr>
            <w:tcW w:w="950" w:type="dxa"/>
            <w:tcBorders>
              <w:left w:val="single" w:sz="4" w:space="0" w:color="FFFFFF" w:themeColor="background1"/>
              <w:right w:val="single" w:sz="4" w:space="0" w:color="FFFFFF" w:themeColor="background1"/>
            </w:tcBorders>
            <w:shd w:val="clear" w:color="auto" w:fill="00B050"/>
          </w:tcPr>
          <w:p w14:paraId="73FEDB4C" w14:textId="77777777" w:rsidR="00054DEB" w:rsidRDefault="00054DEB" w:rsidP="008B518F">
            <w:pPr>
              <w:pStyle w:val="TableBody"/>
              <w:rPr>
                <w:highlight w:val="cyan"/>
              </w:rPr>
            </w:pPr>
          </w:p>
        </w:tc>
        <w:tc>
          <w:tcPr>
            <w:tcW w:w="991" w:type="dxa"/>
            <w:tcBorders>
              <w:left w:val="single" w:sz="4" w:space="0" w:color="FFFFFF" w:themeColor="background1"/>
              <w:right w:val="single" w:sz="4" w:space="0" w:color="FFFFFF" w:themeColor="background1"/>
            </w:tcBorders>
            <w:shd w:val="clear" w:color="auto" w:fill="00B050"/>
          </w:tcPr>
          <w:p w14:paraId="132FE7CD" w14:textId="77777777" w:rsidR="00054DEB" w:rsidRDefault="00054DEB" w:rsidP="008B518F">
            <w:pPr>
              <w:pStyle w:val="TableBody"/>
              <w:rPr>
                <w:highlight w:val="cyan"/>
              </w:rPr>
            </w:pPr>
          </w:p>
        </w:tc>
        <w:tc>
          <w:tcPr>
            <w:tcW w:w="1096" w:type="dxa"/>
            <w:tcBorders>
              <w:left w:val="single" w:sz="4" w:space="0" w:color="FFFFFF" w:themeColor="background1"/>
            </w:tcBorders>
            <w:shd w:val="clear" w:color="auto" w:fill="00B050"/>
          </w:tcPr>
          <w:p w14:paraId="2FDC5A3F" w14:textId="77777777" w:rsidR="00054DEB" w:rsidRDefault="00054DEB" w:rsidP="008B518F">
            <w:pPr>
              <w:pStyle w:val="TableBody"/>
              <w:rPr>
                <w:highlight w:val="cyan"/>
              </w:rPr>
            </w:pPr>
          </w:p>
        </w:tc>
      </w:tr>
      <w:tr w:rsidR="00054DEB" w14:paraId="17CD3640" w14:textId="77777777" w:rsidTr="008B518F">
        <w:trPr>
          <w:cnfStyle w:val="000000010000" w:firstRow="0" w:lastRow="0" w:firstColumn="0" w:lastColumn="0" w:oddVBand="0" w:evenVBand="0" w:oddHBand="0" w:evenHBand="1" w:firstRowFirstColumn="0" w:firstRowLastColumn="0" w:lastRowFirstColumn="0" w:lastRowLastColumn="0"/>
          <w:trHeight w:val="420"/>
        </w:trPr>
        <w:tc>
          <w:tcPr>
            <w:tcW w:w="3661" w:type="dxa"/>
            <w:tcBorders>
              <w:right w:val="single" w:sz="4" w:space="0" w:color="FFFFFF" w:themeColor="background1"/>
            </w:tcBorders>
          </w:tcPr>
          <w:p w14:paraId="286D6BDC" w14:textId="77777777" w:rsidR="00054DEB" w:rsidRDefault="00054DEB" w:rsidP="008B518F">
            <w:pPr>
              <w:pStyle w:val="TableBody"/>
              <w:rPr>
                <w:highlight w:val="cyan"/>
              </w:rPr>
            </w:pPr>
            <w:r w:rsidRPr="0036115E">
              <w:t>4. Care of the environment</w:t>
            </w:r>
          </w:p>
        </w:tc>
        <w:tc>
          <w:tcPr>
            <w:tcW w:w="980" w:type="dxa"/>
            <w:tcBorders>
              <w:left w:val="single" w:sz="4" w:space="0" w:color="FFFFFF" w:themeColor="background1"/>
              <w:right w:val="single" w:sz="4" w:space="0" w:color="FFFFFF" w:themeColor="background1"/>
            </w:tcBorders>
            <w:shd w:val="clear" w:color="auto" w:fill="FFC000"/>
          </w:tcPr>
          <w:p w14:paraId="08CF8F46" w14:textId="77777777" w:rsidR="00054DEB" w:rsidRDefault="00054DEB" w:rsidP="008B518F">
            <w:pPr>
              <w:pStyle w:val="TableBody"/>
              <w:rPr>
                <w:highlight w:val="cyan"/>
              </w:rPr>
            </w:pPr>
          </w:p>
        </w:tc>
        <w:tc>
          <w:tcPr>
            <w:tcW w:w="980" w:type="dxa"/>
            <w:tcBorders>
              <w:left w:val="single" w:sz="4" w:space="0" w:color="FFFFFF" w:themeColor="background1"/>
              <w:right w:val="single" w:sz="4" w:space="0" w:color="FFFFFF" w:themeColor="background1"/>
            </w:tcBorders>
            <w:shd w:val="clear" w:color="auto" w:fill="FFC000"/>
          </w:tcPr>
          <w:p w14:paraId="1DB81453" w14:textId="77777777" w:rsidR="00054DEB" w:rsidRDefault="00054DEB" w:rsidP="008B518F">
            <w:pPr>
              <w:pStyle w:val="TableBody"/>
              <w:rPr>
                <w:highlight w:val="cyan"/>
              </w:rPr>
            </w:pPr>
          </w:p>
        </w:tc>
        <w:tc>
          <w:tcPr>
            <w:tcW w:w="980" w:type="dxa"/>
            <w:tcBorders>
              <w:left w:val="single" w:sz="4" w:space="0" w:color="FFFFFF" w:themeColor="background1"/>
              <w:right w:val="single" w:sz="4" w:space="0" w:color="FFFFFF" w:themeColor="background1"/>
            </w:tcBorders>
            <w:shd w:val="clear" w:color="auto" w:fill="FFC000"/>
          </w:tcPr>
          <w:p w14:paraId="39F067DB" w14:textId="77777777" w:rsidR="00054DEB" w:rsidRDefault="00054DEB" w:rsidP="008B518F">
            <w:pPr>
              <w:pStyle w:val="TableBody"/>
              <w:rPr>
                <w:highlight w:val="cyan"/>
              </w:rPr>
            </w:pPr>
          </w:p>
        </w:tc>
        <w:tc>
          <w:tcPr>
            <w:tcW w:w="950" w:type="dxa"/>
            <w:tcBorders>
              <w:left w:val="single" w:sz="4" w:space="0" w:color="FFFFFF" w:themeColor="background1"/>
              <w:right w:val="single" w:sz="4" w:space="0" w:color="FFFFFF" w:themeColor="background1"/>
            </w:tcBorders>
            <w:shd w:val="clear" w:color="auto" w:fill="FFC000"/>
          </w:tcPr>
          <w:p w14:paraId="56CCFCC5" w14:textId="77777777" w:rsidR="00054DEB" w:rsidRDefault="00054DEB" w:rsidP="008B518F">
            <w:pPr>
              <w:pStyle w:val="TableBody"/>
              <w:rPr>
                <w:highlight w:val="cyan"/>
              </w:rPr>
            </w:pPr>
          </w:p>
        </w:tc>
        <w:tc>
          <w:tcPr>
            <w:tcW w:w="991" w:type="dxa"/>
            <w:tcBorders>
              <w:left w:val="single" w:sz="4" w:space="0" w:color="FFFFFF" w:themeColor="background1"/>
              <w:right w:val="single" w:sz="4" w:space="0" w:color="FFFFFF" w:themeColor="background1"/>
            </w:tcBorders>
            <w:shd w:val="clear" w:color="auto" w:fill="FF0000"/>
          </w:tcPr>
          <w:p w14:paraId="110A04F6" w14:textId="77777777" w:rsidR="00054DEB" w:rsidRDefault="00054DEB" w:rsidP="008B518F">
            <w:pPr>
              <w:pStyle w:val="TableBody"/>
              <w:rPr>
                <w:highlight w:val="cyan"/>
              </w:rPr>
            </w:pPr>
          </w:p>
        </w:tc>
        <w:tc>
          <w:tcPr>
            <w:tcW w:w="1096" w:type="dxa"/>
            <w:tcBorders>
              <w:left w:val="single" w:sz="4" w:space="0" w:color="FFFFFF" w:themeColor="background1"/>
            </w:tcBorders>
            <w:shd w:val="clear" w:color="auto" w:fill="FF0000"/>
          </w:tcPr>
          <w:p w14:paraId="486CFA5A" w14:textId="77777777" w:rsidR="00054DEB" w:rsidRDefault="00054DEB" w:rsidP="008B518F">
            <w:pPr>
              <w:pStyle w:val="TableBody"/>
              <w:rPr>
                <w:highlight w:val="cyan"/>
              </w:rPr>
            </w:pPr>
          </w:p>
        </w:tc>
      </w:tr>
      <w:tr w:rsidR="00054DEB" w14:paraId="194E1F97" w14:textId="77777777" w:rsidTr="008B518F">
        <w:trPr>
          <w:cnfStyle w:val="000000100000" w:firstRow="0" w:lastRow="0" w:firstColumn="0" w:lastColumn="0" w:oddVBand="0" w:evenVBand="0" w:oddHBand="1" w:evenHBand="0" w:firstRowFirstColumn="0" w:firstRowLastColumn="0" w:lastRowFirstColumn="0" w:lastRowLastColumn="0"/>
        </w:trPr>
        <w:tc>
          <w:tcPr>
            <w:tcW w:w="3661" w:type="dxa"/>
            <w:tcBorders>
              <w:right w:val="single" w:sz="4" w:space="0" w:color="FFFFFF" w:themeColor="background1"/>
            </w:tcBorders>
          </w:tcPr>
          <w:p w14:paraId="36A6E9C7" w14:textId="77777777" w:rsidR="00054DEB" w:rsidRPr="0036115E" w:rsidRDefault="00054DEB" w:rsidP="008B518F">
            <w:pPr>
              <w:pStyle w:val="TableBody"/>
            </w:pPr>
            <w:r w:rsidRPr="0036115E">
              <w:t>5. Sustainable contribution to the community and regional livability</w:t>
            </w:r>
          </w:p>
        </w:tc>
        <w:tc>
          <w:tcPr>
            <w:tcW w:w="980" w:type="dxa"/>
            <w:tcBorders>
              <w:left w:val="single" w:sz="4" w:space="0" w:color="FFFFFF" w:themeColor="background1"/>
              <w:right w:val="single" w:sz="4" w:space="0" w:color="FFFFFF" w:themeColor="background1"/>
            </w:tcBorders>
            <w:shd w:val="clear" w:color="auto" w:fill="00B050"/>
          </w:tcPr>
          <w:p w14:paraId="3C63376F" w14:textId="77777777" w:rsidR="00054DEB" w:rsidRDefault="00054DEB" w:rsidP="008B518F">
            <w:pPr>
              <w:pStyle w:val="TableBody"/>
              <w:rPr>
                <w:highlight w:val="cyan"/>
              </w:rPr>
            </w:pPr>
          </w:p>
        </w:tc>
        <w:tc>
          <w:tcPr>
            <w:tcW w:w="980" w:type="dxa"/>
            <w:tcBorders>
              <w:left w:val="single" w:sz="4" w:space="0" w:color="FFFFFF" w:themeColor="background1"/>
              <w:right w:val="single" w:sz="4" w:space="0" w:color="FFFFFF" w:themeColor="background1"/>
            </w:tcBorders>
            <w:shd w:val="clear" w:color="auto" w:fill="FFC000"/>
          </w:tcPr>
          <w:p w14:paraId="45526362" w14:textId="77777777" w:rsidR="00054DEB" w:rsidRDefault="00054DEB" w:rsidP="008B518F">
            <w:pPr>
              <w:pStyle w:val="TableBody"/>
              <w:rPr>
                <w:highlight w:val="cyan"/>
              </w:rPr>
            </w:pPr>
          </w:p>
        </w:tc>
        <w:tc>
          <w:tcPr>
            <w:tcW w:w="980" w:type="dxa"/>
            <w:tcBorders>
              <w:left w:val="single" w:sz="4" w:space="0" w:color="FFFFFF" w:themeColor="background1"/>
              <w:right w:val="single" w:sz="4" w:space="0" w:color="FFFFFF" w:themeColor="background1"/>
            </w:tcBorders>
            <w:shd w:val="clear" w:color="auto" w:fill="00B050"/>
          </w:tcPr>
          <w:p w14:paraId="04BB7A13" w14:textId="77777777" w:rsidR="00054DEB" w:rsidRDefault="00054DEB" w:rsidP="008B518F">
            <w:pPr>
              <w:pStyle w:val="TableBody"/>
              <w:rPr>
                <w:highlight w:val="cyan"/>
              </w:rPr>
            </w:pPr>
          </w:p>
        </w:tc>
        <w:tc>
          <w:tcPr>
            <w:tcW w:w="950" w:type="dxa"/>
            <w:tcBorders>
              <w:left w:val="single" w:sz="4" w:space="0" w:color="FFFFFF" w:themeColor="background1"/>
              <w:right w:val="single" w:sz="4" w:space="0" w:color="FFFFFF" w:themeColor="background1"/>
            </w:tcBorders>
            <w:shd w:val="clear" w:color="auto" w:fill="00B050"/>
          </w:tcPr>
          <w:p w14:paraId="2746EBB8" w14:textId="77777777" w:rsidR="00054DEB" w:rsidRDefault="00054DEB" w:rsidP="008B518F">
            <w:pPr>
              <w:pStyle w:val="TableBody"/>
              <w:rPr>
                <w:highlight w:val="cyan"/>
              </w:rPr>
            </w:pPr>
          </w:p>
        </w:tc>
        <w:tc>
          <w:tcPr>
            <w:tcW w:w="991" w:type="dxa"/>
            <w:tcBorders>
              <w:left w:val="single" w:sz="4" w:space="0" w:color="FFFFFF" w:themeColor="background1"/>
              <w:right w:val="single" w:sz="4" w:space="0" w:color="FFFFFF" w:themeColor="background1"/>
            </w:tcBorders>
            <w:shd w:val="clear" w:color="auto" w:fill="FFC000"/>
          </w:tcPr>
          <w:p w14:paraId="66CDA9E3" w14:textId="77777777" w:rsidR="00054DEB" w:rsidRDefault="00054DEB" w:rsidP="008B518F">
            <w:pPr>
              <w:pStyle w:val="TableBody"/>
              <w:rPr>
                <w:highlight w:val="cyan"/>
              </w:rPr>
            </w:pPr>
          </w:p>
        </w:tc>
        <w:tc>
          <w:tcPr>
            <w:tcW w:w="1096" w:type="dxa"/>
            <w:tcBorders>
              <w:left w:val="single" w:sz="4" w:space="0" w:color="FFFFFF" w:themeColor="background1"/>
            </w:tcBorders>
            <w:shd w:val="clear" w:color="auto" w:fill="FFC000"/>
          </w:tcPr>
          <w:p w14:paraId="7AFB6492" w14:textId="77777777" w:rsidR="00054DEB" w:rsidRDefault="00054DEB" w:rsidP="008B518F">
            <w:pPr>
              <w:pStyle w:val="TableBody"/>
              <w:rPr>
                <w:highlight w:val="cyan"/>
              </w:rPr>
            </w:pPr>
          </w:p>
        </w:tc>
      </w:tr>
    </w:tbl>
    <w:p w14:paraId="651EA2B8" w14:textId="77777777" w:rsidR="00054DEB" w:rsidRPr="00F058BA" w:rsidRDefault="00054DEB" w:rsidP="00054DEB">
      <w:pPr>
        <w:pStyle w:val="Source"/>
        <w:jc w:val="left"/>
      </w:pPr>
      <w:r w:rsidRPr="00F058BA">
        <w:rPr>
          <w:b/>
        </w:rPr>
        <w:t>Note:</w:t>
      </w:r>
      <w:r w:rsidRPr="00F058BA">
        <w:t xml:space="preserve"> Green = achieved target; Amber = close to achieving target; Red = failed to meet target. </w:t>
      </w:r>
      <w:proofErr w:type="spellStart"/>
      <w:r w:rsidRPr="00F058BA">
        <w:rPr>
          <w:vertAlign w:val="superscript"/>
        </w:rPr>
        <w:t>a</w:t>
      </w:r>
      <w:proofErr w:type="spellEnd"/>
      <w:r w:rsidRPr="00F058BA">
        <w:t xml:space="preserve"> This is Greater Western Water’s self</w:t>
      </w:r>
      <w:r w:rsidRPr="00F058BA">
        <w:noBreakHyphen/>
        <w:t>assessment of its performance across the 2018–23 period as Western Water. Greater Western Water’s 2023</w:t>
      </w:r>
      <w:r w:rsidRPr="00F058BA">
        <w:noBreakHyphen/>
        <w:t>24 performance will be monitored and reported against the Outcome commitments it proposed in its 2024 price submission, and its performance against these will be published in our 2023</w:t>
      </w:r>
      <w:r w:rsidRPr="00F058BA">
        <w:noBreakHyphen/>
        <w:t>24 Outcomes Report.</w:t>
      </w:r>
    </w:p>
    <w:p w14:paraId="635555E4" w14:textId="0C6230EA" w:rsidR="00054DEB" w:rsidRPr="00F058BA" w:rsidRDefault="00054DEB" w:rsidP="00054DEB">
      <w:r w:rsidRPr="00F058BA">
        <w:t>Greater Western Water considers it has achieved or exceeded its targets for 79 of its 106 total measures it reported for its Western Water service area over the 2018–23 period. Of these 106 performance measures, 15 (14 per cent) have been rated as amber ‘close to achieving target’ and 12 (11 per cent) as red ‘failed to meet target</w:t>
      </w:r>
      <w:r w:rsidR="00CC65E9">
        <w:t>’</w:t>
      </w:r>
      <w:r w:rsidRPr="00F058BA">
        <w:t>.</w:t>
      </w:r>
      <w:r w:rsidRPr="00F058BA">
        <w:rPr>
          <w:rStyle w:val="FootnoteReference"/>
        </w:rPr>
        <w:footnoteReference w:id="31"/>
      </w:r>
    </w:p>
    <w:p w14:paraId="5BCCFEFE" w14:textId="7A3AAFF5" w:rsidR="00054DEB" w:rsidRPr="00F058BA" w:rsidRDefault="00054DEB" w:rsidP="00054DEB">
      <w:r w:rsidRPr="00F058BA">
        <w:t xml:space="preserve">Greater Western Water almost met its ‘care of the environment’ outcome for its Western Water service area. In its price submission, Greater Western Water stated it fell short in managing its treatment and disposal of sewage in a safe and compliant manner, with a high number of sewer spills occurring over the period. It stated that this was driven partially by La Nina conditions, with </w:t>
      </w:r>
      <w:r w:rsidRPr="00F058BA">
        <w:lastRenderedPageBreak/>
        <w:t>higher rainfall leading to greater likelihood of spills from sewer overflows. It had also set ambitious targets of zero annual sewer spills throughout the period.</w:t>
      </w:r>
      <w:bookmarkStart w:id="64" w:name="_Hlk160799354"/>
      <w:r w:rsidRPr="00F058BA">
        <w:rPr>
          <w:rStyle w:val="FootnoteReference"/>
        </w:rPr>
        <w:footnoteReference w:id="32"/>
      </w:r>
      <w:bookmarkEnd w:id="64"/>
    </w:p>
    <w:p w14:paraId="71475542" w14:textId="4092E3AC" w:rsidR="00703377" w:rsidRDefault="00703377" w:rsidP="00703377">
      <w:r w:rsidRPr="001113A2">
        <w:t>We received four submissions from environmental groups responding to Greater Western Water’s price submission, raising concerns about the current condition of Greater Western Water’s water and wastewater treatment plants and their impact on waterways and native wildlife.</w:t>
      </w:r>
      <w:r w:rsidRPr="001113A2">
        <w:rPr>
          <w:vertAlign w:val="superscript"/>
        </w:rPr>
        <w:footnoteReference w:id="33"/>
      </w:r>
      <w:r w:rsidRPr="001113A2">
        <w:t xml:space="preserve"> Greater Western Water’s proposed capital program includes major investment to upgrade several wastewater treatment plants to address these issues</w:t>
      </w:r>
      <w:r w:rsidR="00BD0943">
        <w:t xml:space="preserve"> (see capital expenditure Section 4.2.2)</w:t>
      </w:r>
      <w:r w:rsidRPr="001113A2">
        <w:t>.</w:t>
      </w:r>
      <w:r>
        <w:t xml:space="preserve"> </w:t>
      </w:r>
    </w:p>
    <w:p w14:paraId="625F3714" w14:textId="4B03F127" w:rsidR="00054DEB" w:rsidRPr="00F058BA" w:rsidRDefault="00054DEB" w:rsidP="00054DEB">
      <w:r w:rsidRPr="00F058BA">
        <w:t>Across the 2018–23 period, Greater Western Water published its performance results twice a year on its website.</w:t>
      </w:r>
      <w:r w:rsidRPr="00F058BA">
        <w:rPr>
          <w:rStyle w:val="FootnoteReference"/>
        </w:rPr>
        <w:footnoteReference w:id="34"/>
      </w:r>
      <w:r w:rsidRPr="00F058BA">
        <w:t xml:space="preserve"> </w:t>
      </w:r>
    </w:p>
    <w:p w14:paraId="79D0EE2D" w14:textId="13294A10" w:rsidR="00054DEB" w:rsidRPr="00F058BA" w:rsidRDefault="00E82A0F" w:rsidP="00054DEB">
      <w:r w:rsidRPr="00F058BA">
        <w:t>Based on the figures and explanation provided above, our</w:t>
      </w:r>
      <w:r w:rsidR="00054DEB" w:rsidRPr="00F058BA">
        <w:t xml:space="preserve"> draft decision is that we agree with Greater Western Water’s self-assessment that it has, overall, met its outcome commitments for the 2018–23 period.</w:t>
      </w:r>
    </w:p>
    <w:p w14:paraId="4CC856B6" w14:textId="66D163F4" w:rsidR="004D59CD" w:rsidRPr="00F058BA" w:rsidRDefault="004D59CD" w:rsidP="00054DEB">
      <w:pPr>
        <w:pStyle w:val="Heading3numbered"/>
        <w:rPr>
          <w:b w:val="0"/>
        </w:rPr>
      </w:pPr>
      <w:bookmarkStart w:id="65" w:name="_Toc150515683"/>
      <w:bookmarkStart w:id="66" w:name="_Toc161400979"/>
      <w:r w:rsidRPr="00F058BA">
        <w:t>3.2.2 Outcome commitments for 2023–28</w:t>
      </w:r>
      <w:bookmarkEnd w:id="65"/>
      <w:bookmarkEnd w:id="66"/>
    </w:p>
    <w:p w14:paraId="563FF72C" w14:textId="77777777" w:rsidR="00054DEB" w:rsidRPr="00F058BA" w:rsidRDefault="00054DEB" w:rsidP="00054DEB">
      <w:r w:rsidRPr="00F058BA">
        <w:t xml:space="preserve">Greater Western Water engaged with its customers to refine its outcomes for the period from 1 July 2023 to 30 June 2028. It has proposed a </w:t>
      </w:r>
      <w:proofErr w:type="gramStart"/>
      <w:r w:rsidRPr="00F058BA">
        <w:t>single outcomes</w:t>
      </w:r>
      <w:proofErr w:type="gramEnd"/>
      <w:r w:rsidRPr="00F058BA">
        <w:t xml:space="preserve"> set which unifies its central (City West Water) and western (Western Water) service areas, and it has begun monitoring its 2023</w:t>
      </w:r>
      <w:r w:rsidRPr="00F058BA">
        <w:noBreakHyphen/>
        <w:t>24 performance against these new outcomes and targets. It has established five outcomes it proposes to deliver:</w:t>
      </w:r>
    </w:p>
    <w:p w14:paraId="6EFA3E6E" w14:textId="77777777" w:rsidR="00054DEB" w:rsidRPr="00F058BA" w:rsidRDefault="00054DEB" w:rsidP="00ED1290">
      <w:pPr>
        <w:pStyle w:val="ListBullet"/>
      </w:pPr>
      <w:r w:rsidRPr="00F058BA">
        <w:t xml:space="preserve">Your water is safe, consistent and </w:t>
      </w:r>
      <w:proofErr w:type="gramStart"/>
      <w:r w:rsidRPr="00F058BA">
        <w:t>resilient</w:t>
      </w:r>
      <w:proofErr w:type="gramEnd"/>
    </w:p>
    <w:p w14:paraId="1139EDF0" w14:textId="77777777" w:rsidR="00054DEB" w:rsidRPr="00F058BA" w:rsidRDefault="00054DEB" w:rsidP="00ED1290">
      <w:pPr>
        <w:pStyle w:val="ListBullet"/>
      </w:pPr>
      <w:r w:rsidRPr="00F058BA">
        <w:t xml:space="preserve">When things go wrong, we fix </w:t>
      </w:r>
      <w:proofErr w:type="gramStart"/>
      <w:r w:rsidRPr="00F058BA">
        <w:t>them</w:t>
      </w:r>
      <w:proofErr w:type="gramEnd"/>
    </w:p>
    <w:p w14:paraId="7669B9EB" w14:textId="77777777" w:rsidR="00054DEB" w:rsidRPr="00F058BA" w:rsidRDefault="00054DEB" w:rsidP="00ED1290">
      <w:pPr>
        <w:pStyle w:val="ListBullet"/>
      </w:pPr>
      <w:r w:rsidRPr="00F058BA">
        <w:t xml:space="preserve">We support our diverse communities and </w:t>
      </w:r>
      <w:proofErr w:type="gramStart"/>
      <w:r w:rsidRPr="00F058BA">
        <w:t>customers</w:t>
      </w:r>
      <w:proofErr w:type="gramEnd"/>
    </w:p>
    <w:p w14:paraId="510E733E" w14:textId="77777777" w:rsidR="00054DEB" w:rsidRPr="00F058BA" w:rsidRDefault="00054DEB" w:rsidP="00ED1290">
      <w:pPr>
        <w:pStyle w:val="ListBullet"/>
      </w:pPr>
      <w:r w:rsidRPr="00F058BA">
        <w:t xml:space="preserve">We enable growth and help businesses </w:t>
      </w:r>
      <w:proofErr w:type="gramStart"/>
      <w:r w:rsidRPr="00F058BA">
        <w:t>thrive</w:t>
      </w:r>
      <w:proofErr w:type="gramEnd"/>
    </w:p>
    <w:p w14:paraId="3267E991" w14:textId="77777777" w:rsidR="00054DEB" w:rsidRPr="00F058BA" w:rsidRDefault="00054DEB" w:rsidP="00ED1290">
      <w:pPr>
        <w:pStyle w:val="ListBullet"/>
      </w:pPr>
      <w:r w:rsidRPr="00F058BA">
        <w:t>We heal and care for Country.</w:t>
      </w:r>
    </w:p>
    <w:p w14:paraId="5778238F" w14:textId="3EC00D83" w:rsidR="00054DEB" w:rsidRPr="00F058BA" w:rsidRDefault="00054DEB" w:rsidP="00054DEB">
      <w:r w:rsidRPr="00F058BA">
        <w:lastRenderedPageBreak/>
        <w:t>Among the initiatives to deliver on its commitments, Greater Western Water plans to improve water supply reliability in the Macedon Ranges and Sunbury, as well as ensure water security for Sunbury and the western region. To help support communities, it is investing in its water and sewerage networks, particularly to renew water main infrastructure and provide sewer services to growth regions. It is also investing heavily to improve its asset ecosystem and asset monitoring.</w:t>
      </w:r>
      <w:r w:rsidRPr="00F058BA">
        <w:rPr>
          <w:rStyle w:val="FootnoteReference"/>
        </w:rPr>
        <w:footnoteReference w:id="35"/>
      </w:r>
    </w:p>
    <w:p w14:paraId="36F91485" w14:textId="77777777" w:rsidR="00054DEB" w:rsidRPr="00F058BA" w:rsidRDefault="00054DEB" w:rsidP="00054DEB">
      <w:pPr>
        <w:pStyle w:val="Heading3"/>
      </w:pPr>
      <w:bookmarkStart w:id="67" w:name="_Toc150515684"/>
      <w:bookmarkStart w:id="68" w:name="_Toc161400980"/>
      <w:r w:rsidRPr="00F058BA">
        <w:t>3.2.3</w:t>
      </w:r>
      <w:r w:rsidRPr="00F058BA">
        <w:tab/>
        <w:t>Our assessment of measures and targets</w:t>
      </w:r>
      <w:bookmarkEnd w:id="67"/>
      <w:bookmarkEnd w:id="68"/>
    </w:p>
    <w:p w14:paraId="0C94F78E" w14:textId="77777777" w:rsidR="00054DEB" w:rsidRPr="00F058BA" w:rsidRDefault="00054DEB" w:rsidP="00054DEB">
      <w:r w:rsidRPr="00F058BA">
        <w:t xml:space="preserve">Greater Western Water proposed a set of 21 measures and annual targets that it will use to report on performance across the 5 outcomes. These are set out in </w:t>
      </w:r>
      <w:r w:rsidRPr="00F058BA">
        <w:rPr>
          <w:i/>
        </w:rPr>
        <w:t>Appendix C:</w:t>
      </w:r>
      <w:r w:rsidRPr="00F058BA">
        <w:t xml:space="preserve"> </w:t>
      </w:r>
      <w:r w:rsidRPr="00F058BA">
        <w:rPr>
          <w:i/>
        </w:rPr>
        <w:t>Customer Scorecard</w:t>
      </w:r>
      <w:r w:rsidRPr="00F058BA">
        <w:t xml:space="preserve"> on pages 202 to 204 of its price submission. Performance against these measures will inform our assessment during future price reviews.</w:t>
      </w:r>
    </w:p>
    <w:p w14:paraId="49E9AFC4" w14:textId="77777777" w:rsidR="00054DEB" w:rsidRPr="00F058BA" w:rsidRDefault="00054DEB" w:rsidP="00054DEB">
      <w:r w:rsidRPr="00F058BA">
        <w:t>We have assessed Greater Western Water’s proposed measures against the criteria set out in our guidance which states that proposed output measures for each outcome must:</w:t>
      </w:r>
    </w:p>
    <w:p w14:paraId="2508E05A" w14:textId="77777777" w:rsidR="00054DEB" w:rsidRPr="00F058BA" w:rsidRDefault="00054DEB" w:rsidP="00ED1290">
      <w:pPr>
        <w:pStyle w:val="ListBullet"/>
      </w:pPr>
      <w:r w:rsidRPr="00F058BA">
        <w:t xml:space="preserve">be relevant to, or be a reasonable proxy for, the delivery of the outcome they </w:t>
      </w:r>
      <w:proofErr w:type="gramStart"/>
      <w:r w:rsidRPr="00F058BA">
        <w:t>represent</w:t>
      </w:r>
      <w:proofErr w:type="gramEnd"/>
    </w:p>
    <w:p w14:paraId="6093909E" w14:textId="77777777" w:rsidR="00054DEB" w:rsidRPr="00F058BA" w:rsidRDefault="00054DEB" w:rsidP="00ED1290">
      <w:pPr>
        <w:pStyle w:val="ListBullet"/>
      </w:pPr>
      <w:r w:rsidRPr="00F058BA">
        <w:t xml:space="preserve">be </w:t>
      </w:r>
      <w:proofErr w:type="gramStart"/>
      <w:r w:rsidRPr="00F058BA">
        <w:t>measurable</w:t>
      </w:r>
      <w:proofErr w:type="gramEnd"/>
    </w:p>
    <w:p w14:paraId="181FF8E2" w14:textId="77777777" w:rsidR="00054DEB" w:rsidRPr="00F058BA" w:rsidRDefault="00054DEB" w:rsidP="00ED1290">
      <w:pPr>
        <w:pStyle w:val="ListBullet"/>
      </w:pPr>
      <w:r w:rsidRPr="00F058BA">
        <w:t xml:space="preserve">be clearly defined and </w:t>
      </w:r>
      <w:proofErr w:type="gramStart"/>
      <w:r w:rsidRPr="00F058BA">
        <w:t>unambiguous</w:t>
      </w:r>
      <w:proofErr w:type="gramEnd"/>
    </w:p>
    <w:p w14:paraId="1D9BB6C4" w14:textId="77777777" w:rsidR="00054DEB" w:rsidRPr="00F058BA" w:rsidRDefault="00054DEB" w:rsidP="00ED1290">
      <w:pPr>
        <w:pStyle w:val="ListBullet"/>
      </w:pPr>
      <w:r w:rsidRPr="00F058BA">
        <w:t xml:space="preserve">be easy for customers to </w:t>
      </w:r>
      <w:proofErr w:type="gramStart"/>
      <w:r w:rsidRPr="00F058BA">
        <w:t>understand</w:t>
      </w:r>
      <w:proofErr w:type="gramEnd"/>
    </w:p>
    <w:p w14:paraId="79BF4DAC" w14:textId="77777777" w:rsidR="00054DEB" w:rsidRPr="00F058BA" w:rsidRDefault="00054DEB" w:rsidP="00ED1290">
      <w:pPr>
        <w:pStyle w:val="ListBullet"/>
      </w:pPr>
      <w:r w:rsidRPr="00F058BA">
        <w:t>have performance targets listed for each year of the regulatory period.</w:t>
      </w:r>
      <w:r w:rsidRPr="00F058BA">
        <w:rPr>
          <w:rStyle w:val="FootnoteReference"/>
        </w:rPr>
        <w:footnoteReference w:id="36"/>
      </w:r>
    </w:p>
    <w:p w14:paraId="3B13C2D6" w14:textId="507E2CC5" w:rsidR="00054DEB" w:rsidRPr="001754B4" w:rsidRDefault="00054DEB" w:rsidP="00054DEB">
      <w:r w:rsidRPr="00F058BA">
        <w:t xml:space="preserve">Evidence provided by Greater Western Water demonstrates that its outcomes, measures, and targets were developed in consultation with its </w:t>
      </w:r>
      <w:r w:rsidRPr="00D063B0">
        <w:t xml:space="preserve">customers, and that they are supported by </w:t>
      </w:r>
      <w:r w:rsidR="009777D9" w:rsidRPr="00D063B0">
        <w:t>most of</w:t>
      </w:r>
      <w:r w:rsidRPr="00D063B0">
        <w:t xml:space="preserve"> its customers</w:t>
      </w:r>
      <w:r w:rsidR="009777D9" w:rsidRPr="00D063B0">
        <w:t xml:space="preserve"> who engaged in the process</w:t>
      </w:r>
      <w:r w:rsidRPr="00D063B0">
        <w:t xml:space="preserve">. </w:t>
      </w:r>
      <w:r w:rsidR="00F817AF" w:rsidRPr="00D063B0">
        <w:t>Greater Western</w:t>
      </w:r>
      <w:r w:rsidR="00F817AF" w:rsidRPr="00F058BA">
        <w:t xml:space="preserve"> Water has established an ongoing customer forum (discussed below); it provided its</w:t>
      </w:r>
      <w:r w:rsidRPr="00F058BA">
        <w:t xml:space="preserve"> customer forum </w:t>
      </w:r>
      <w:r w:rsidR="00F817AF" w:rsidRPr="00F058BA">
        <w:t>with</w:t>
      </w:r>
      <w:r w:rsidRPr="00F058BA">
        <w:t xml:space="preserve"> its proposed </w:t>
      </w:r>
      <w:r w:rsidR="00F817AF" w:rsidRPr="00F058BA">
        <w:t>outcomes and measures for those outcomes, and</w:t>
      </w:r>
      <w:r w:rsidRPr="00F058BA">
        <w:t xml:space="preserve"> the customer forum </w:t>
      </w:r>
      <w:r w:rsidR="00F817AF" w:rsidRPr="00F058BA">
        <w:t xml:space="preserve">was given the opportunity to select </w:t>
      </w:r>
      <w:r w:rsidRPr="00F058BA">
        <w:t xml:space="preserve">which measures </w:t>
      </w:r>
      <w:r w:rsidR="00F817AF" w:rsidRPr="00F058BA">
        <w:t xml:space="preserve">best </w:t>
      </w:r>
      <w:r w:rsidRPr="00F058BA">
        <w:t>represented their values. The customer forum then endorsed the outcomes and measures. Greater Western Water also sought additional support from its Customer Advisory Group to endorse its outcome set</w:t>
      </w:r>
      <w:r w:rsidR="00360B78" w:rsidRPr="00F058BA">
        <w:t>.</w:t>
      </w:r>
      <w:r w:rsidRPr="00F058BA">
        <w:rPr>
          <w:rStyle w:val="FootnoteReference"/>
        </w:rPr>
        <w:footnoteReference w:id="37"/>
      </w:r>
      <w:r w:rsidRPr="00F058BA">
        <w:t xml:space="preserve"> </w:t>
      </w:r>
    </w:p>
    <w:p w14:paraId="00264F42" w14:textId="2115133A" w:rsidR="00054DEB" w:rsidRPr="00F058BA" w:rsidRDefault="00054DEB" w:rsidP="00054DEB">
      <w:r w:rsidRPr="00F058BA">
        <w:t xml:space="preserve">Generally, we consider Greater Western Water’s measures will provide a sound basis to track performance and delivery against each outcome, once the matters we identified in our assessment have been addressed. We have provided Greater Western Water with our standard outcomes </w:t>
      </w:r>
      <w:r w:rsidRPr="00F058BA">
        <w:lastRenderedPageBreak/>
        <w:t>reporting template, and we will work with the business to ensure its final set of measures complies with our guidance requirements.</w:t>
      </w:r>
    </w:p>
    <w:p w14:paraId="58BB3D57" w14:textId="71AA75C4" w:rsidR="00054DEB" w:rsidRPr="00F058BA" w:rsidRDefault="00054DEB" w:rsidP="00054DEB">
      <w:r w:rsidRPr="00F058BA">
        <w:t xml:space="preserve">Greater Western Water’s proposed targets for its outcome measures generally suggests customer </w:t>
      </w:r>
      <w:r w:rsidR="00124385" w:rsidRPr="00F058BA">
        <w:t>service levels will</w:t>
      </w:r>
      <w:r w:rsidRPr="00F058BA">
        <w:t xml:space="preserve"> remain steady. However, several measures are unclear in how customer </w:t>
      </w:r>
      <w:r w:rsidR="00C07FDD" w:rsidRPr="00F058BA">
        <w:t xml:space="preserve">outcomes </w:t>
      </w:r>
      <w:r w:rsidRPr="00F058BA">
        <w:t>change.</w:t>
      </w:r>
    </w:p>
    <w:p w14:paraId="222D0C73" w14:textId="4784B366" w:rsidR="00054DEB" w:rsidRPr="00BD79DF" w:rsidRDefault="00BD79DF" w:rsidP="00054DEB">
      <w:r w:rsidRPr="00F058BA">
        <w:t xml:space="preserve">As indicated above, </w:t>
      </w:r>
      <w:r w:rsidR="00054DEB" w:rsidRPr="00F058BA">
        <w:t>Greater Western Water has established an ongoing customer forum that will meet annually to track its performance against its outcomes ‘score card</w:t>
      </w:r>
      <w:r w:rsidR="00564962" w:rsidRPr="00F058BA">
        <w:t>’</w:t>
      </w:r>
      <w:r w:rsidR="00054DEB" w:rsidRPr="00F058BA">
        <w:t>. Greater Western Water has committed to publishing its performance on its website.</w:t>
      </w:r>
      <w:r w:rsidR="00054DEB" w:rsidRPr="00F058BA">
        <w:rPr>
          <w:rStyle w:val="FootnoteReference"/>
        </w:rPr>
        <w:footnoteReference w:id="38"/>
      </w:r>
    </w:p>
    <w:p w14:paraId="35435179" w14:textId="77777777" w:rsidR="00054DEB" w:rsidRDefault="00054DEB" w:rsidP="00054DEB">
      <w:r w:rsidRPr="00F058BA">
        <w:t>Our draft decision accepts Greater Western Water’s self-assessment of ‘Standard’ for the Outcome element of PREMO, which is discussed further in Chapter 7.</w:t>
      </w:r>
    </w:p>
    <w:p w14:paraId="5910313B" w14:textId="6B414C12" w:rsidR="00C66654" w:rsidRDefault="00C66654" w:rsidP="00C66654">
      <w:pPr>
        <w:pStyle w:val="Heading2"/>
      </w:pPr>
      <w:bookmarkStart w:id="69" w:name="_Toc161400981"/>
      <w:r>
        <w:t>3.3</w:t>
      </w:r>
      <w:r>
        <w:tab/>
        <w:t xml:space="preserve">Service standards related to service reliability and </w:t>
      </w:r>
      <w:proofErr w:type="gramStart"/>
      <w:r>
        <w:t>faults</w:t>
      </w:r>
      <w:bookmarkEnd w:id="63"/>
      <w:bookmarkEnd w:id="69"/>
      <w:proofErr w:type="gramEnd"/>
    </w:p>
    <w:p w14:paraId="5D3D7B6D" w14:textId="2B3DEC5E" w:rsidR="001D30B4" w:rsidRPr="001D30B4" w:rsidRDefault="001D30B4" w:rsidP="001D30B4">
      <w:pPr>
        <w:rPr>
          <w:rFonts w:ascii="Arial" w:hAnsi="Arial" w:cs="Arial"/>
        </w:rPr>
      </w:pPr>
      <w:r w:rsidRPr="001D30B4">
        <w:rPr>
          <w:rFonts w:ascii="Arial" w:hAnsi="Arial" w:cs="Arial"/>
        </w:rPr>
        <w:t xml:space="preserve">Service standards are a common set of services applicable to all Victorian consumers required under clause </w:t>
      </w:r>
      <w:r w:rsidRPr="001D30B4">
        <w:t xml:space="preserve">18.2 of the </w:t>
      </w:r>
      <w:r w:rsidRPr="001D30B4">
        <w:rPr>
          <w:i/>
          <w:iCs/>
        </w:rPr>
        <w:t>Water Industry Standard – Urban Customer Service</w:t>
      </w:r>
      <w:r w:rsidRPr="001D30B4">
        <w:t xml:space="preserve"> (Water Industry Standard).</w:t>
      </w:r>
      <w:r w:rsidRPr="001D30B4">
        <w:rPr>
          <w:rFonts w:ascii="Arial" w:hAnsi="Arial" w:cs="Arial"/>
        </w:rPr>
        <w:t xml:space="preserve"> Each water business must specify its own service levels against each of these service standards. Rather than performance measures, these service standards and corresponding service levels are the minimum level of service customers can expect to receive. </w:t>
      </w:r>
    </w:p>
    <w:p w14:paraId="62D1074A" w14:textId="714D6E36" w:rsidR="001D30B4" w:rsidRPr="001D30B4" w:rsidRDefault="001D30B4" w:rsidP="001D30B4">
      <w:r w:rsidRPr="001D30B4">
        <w:t xml:space="preserve">Greater Western Water’s proposed service standards relating to reliability and faults can be found on </w:t>
      </w:r>
      <w:r w:rsidRPr="00F058BA">
        <w:t>pages</w:t>
      </w:r>
      <w:r w:rsidR="005760BB" w:rsidRPr="00F058BA">
        <w:t> </w:t>
      </w:r>
      <w:r w:rsidRPr="00F058BA">
        <w:t>46 and 47</w:t>
      </w:r>
      <w:r w:rsidRPr="001D30B4">
        <w:t xml:space="preserve"> of its price submission. </w:t>
      </w:r>
    </w:p>
    <w:p w14:paraId="08117AD4" w14:textId="24815E7F" w:rsidR="001D30B4" w:rsidRPr="00354864" w:rsidRDefault="001D30B4" w:rsidP="001D30B4">
      <w:r w:rsidRPr="00F058BA">
        <w:t xml:space="preserve">Greater Western Water has proposed a revised set of service standards for the 2024–28 regulatory period, which consolidates the current two sets of service standards from the former City West Water and Western Water businesses and aligns the service levels with Greater Western Water’s average performance over the past three years. </w:t>
      </w:r>
      <w:r w:rsidRPr="00F058BA">
        <w:rPr>
          <w:rFonts w:ascii="Arial" w:hAnsi="Arial" w:cs="Arial"/>
        </w:rPr>
        <w:t>This is consistent with customer feedback Greater Western Water received through its deliberative panel to maintain current service levels and to adopt the same service levels across Greater Western Water’s central and western service areas.</w:t>
      </w:r>
    </w:p>
    <w:p w14:paraId="21A1BB6F" w14:textId="77777777" w:rsidR="001D30B4" w:rsidRPr="00F058BA" w:rsidRDefault="001D30B4" w:rsidP="001D30B4">
      <w:pPr>
        <w:rPr>
          <w:rFonts w:ascii="Arial" w:hAnsi="Arial" w:cs="Arial"/>
        </w:rPr>
      </w:pPr>
      <w:r w:rsidRPr="00F058BA">
        <w:rPr>
          <w:rFonts w:ascii="Arial" w:hAnsi="Arial" w:cs="Arial"/>
        </w:rPr>
        <w:t>Greater Western Water has proposed the following:</w:t>
      </w:r>
    </w:p>
    <w:p w14:paraId="54A04F70" w14:textId="77777777" w:rsidR="001D30B4" w:rsidRPr="00F058BA" w:rsidRDefault="001D30B4" w:rsidP="00ED1290">
      <w:pPr>
        <w:pStyle w:val="ListBullet"/>
      </w:pPr>
      <w:r w:rsidRPr="00F058BA">
        <w:t>Where its three-year average performance outperformed either the former City West Water or Western Water service levels, it will maintain the minimum existing service level target.</w:t>
      </w:r>
    </w:p>
    <w:p w14:paraId="25146BC8" w14:textId="77777777" w:rsidR="001D30B4" w:rsidRPr="00F058BA" w:rsidRDefault="001D30B4" w:rsidP="00ED1290">
      <w:pPr>
        <w:pStyle w:val="ListBullet"/>
      </w:pPr>
      <w:r w:rsidRPr="00F058BA">
        <w:t xml:space="preserve">Where its three-year average performance was between or fell short of the former City West Water and Western Water service levels, it has set the service level target equal to its three-year average performance. </w:t>
      </w:r>
    </w:p>
    <w:p w14:paraId="1B77A74F" w14:textId="77777777" w:rsidR="001D30B4" w:rsidRPr="00F058BA" w:rsidRDefault="001D30B4" w:rsidP="001D30B4">
      <w:r w:rsidRPr="00F058BA">
        <w:lastRenderedPageBreak/>
        <w:t>Greater Western Water has also specified its minimum water pressure as required by the Water Industry Standard.</w:t>
      </w:r>
    </w:p>
    <w:p w14:paraId="6278CB08" w14:textId="77777777" w:rsidR="00DD6C49" w:rsidRDefault="001D30B4" w:rsidP="00DD6C49">
      <w:pPr>
        <w:rPr>
          <w:rFonts w:ascii="Arial" w:hAnsi="Arial" w:cs="Arial"/>
        </w:rPr>
      </w:pPr>
      <w:r w:rsidRPr="001D30B4">
        <w:rPr>
          <w:rFonts w:ascii="Arial" w:hAnsi="Arial" w:cs="Arial"/>
        </w:rPr>
        <w:t xml:space="preserve">Our preliminary assessment is that the service standards relating to reliability and faults proposed by </w:t>
      </w:r>
      <w:r w:rsidRPr="001D30B4">
        <w:t xml:space="preserve">Greater Western Water </w:t>
      </w:r>
      <w:r w:rsidRPr="00F058BA">
        <w:rPr>
          <w:rFonts w:ascii="Arial" w:hAnsi="Arial" w:cs="Arial"/>
        </w:rPr>
        <w:t>comply</w:t>
      </w:r>
      <w:r w:rsidRPr="001D30B4">
        <w:rPr>
          <w:rFonts w:ascii="Arial" w:hAnsi="Arial" w:cs="Arial"/>
        </w:rPr>
        <w:t xml:space="preserve"> with the requirements of the Water Industry Standard.</w:t>
      </w:r>
    </w:p>
    <w:p w14:paraId="56AF2328" w14:textId="6171B6A5" w:rsidR="00DD6C49" w:rsidRDefault="00DD6C49" w:rsidP="00DD6C49">
      <w:r>
        <w:rPr>
          <w:rFonts w:ascii="Arial" w:hAnsi="Arial" w:cs="Arial"/>
        </w:rPr>
        <w:t xml:space="preserve">Service standards </w:t>
      </w:r>
      <w:r>
        <w:t xml:space="preserve">are approved in our Water Industry Standard. </w:t>
      </w:r>
      <w:r w:rsidRPr="00DD6C49">
        <w:t>Accordingly, in early 2024</w:t>
      </w:r>
      <w:r w:rsidRPr="00DD6C49">
        <w:noBreakHyphen/>
        <w:t>25, we</w:t>
      </w:r>
      <w:r>
        <w:t xml:space="preserve"> will update the Water Industry Standard to reflect approved </w:t>
      </w:r>
      <w:r>
        <w:rPr>
          <w:rFonts w:ascii="Arial" w:hAnsi="Arial" w:cs="Arial"/>
        </w:rPr>
        <w:t>service standards.</w:t>
      </w:r>
    </w:p>
    <w:p w14:paraId="3143ACA7" w14:textId="1782AE97" w:rsidR="00697FDC" w:rsidRPr="00F058BA" w:rsidRDefault="00977A37" w:rsidP="00F22C01">
      <w:pPr>
        <w:pStyle w:val="Heading2"/>
      </w:pPr>
      <w:bookmarkStart w:id="70" w:name="_Toc161400982"/>
      <w:r w:rsidRPr="00F058BA">
        <w:t>3.</w:t>
      </w:r>
      <w:r w:rsidR="00C66654" w:rsidRPr="00F058BA">
        <w:t>4</w:t>
      </w:r>
      <w:r w:rsidRPr="00F058BA">
        <w:tab/>
      </w:r>
      <w:r w:rsidR="00697FDC" w:rsidRPr="00F058BA">
        <w:t>Guaranteed service levels</w:t>
      </w:r>
      <w:bookmarkEnd w:id="70"/>
      <w:r w:rsidR="00D00DA2" w:rsidRPr="00F058BA">
        <w:t xml:space="preserve"> </w:t>
      </w:r>
    </w:p>
    <w:p w14:paraId="3EA5C85B" w14:textId="77777777" w:rsidR="00BB06B0" w:rsidRDefault="00BB06B0" w:rsidP="00BB06B0">
      <w:pPr>
        <w:pStyle w:val="Pull-out"/>
      </w:pPr>
      <w:r w:rsidRPr="00F058BA">
        <w:t>Our draft decision is to accept Greater Western Water’s proposed guaranteed service levels.</w:t>
      </w:r>
    </w:p>
    <w:p w14:paraId="790418AE" w14:textId="77777777" w:rsidR="00BB06B0" w:rsidRDefault="00BB06B0" w:rsidP="00BB06B0">
      <w:r>
        <w:t>Guaranteed service levels define a water corporation’s commitment to deliver a specified level of service. For each guaranteed service level, typically a water business commits to a payment or a rebate on bills to those who have received a level of service below the guaranteed level.</w:t>
      </w:r>
    </w:p>
    <w:p w14:paraId="2D33D24F" w14:textId="4504A83C" w:rsidR="00BB06B0" w:rsidRPr="00E26638" w:rsidRDefault="00BB06B0" w:rsidP="00BB06B0">
      <w:r w:rsidRPr="00E26638">
        <w:t>Greater Western Water’s proposed guaranteed service levels are set out on pages</w:t>
      </w:r>
      <w:r w:rsidR="00C37926" w:rsidRPr="00E26638">
        <w:t> </w:t>
      </w:r>
      <w:r w:rsidRPr="00E26638">
        <w:t xml:space="preserve">48 to 51 of its price submission. </w:t>
      </w:r>
    </w:p>
    <w:p w14:paraId="0A93AC1C" w14:textId="135B82BB" w:rsidR="00D34FF4" w:rsidRPr="00E26638" w:rsidRDefault="00D34FF4">
      <w:r w:rsidRPr="00E26638">
        <w:t>Greater Western Water’s proposed guaranteed service levels consolidate the current guaranteed service level schemes from the former City West Water and Western Water businesses and increase the rebate amounts in line with inflation.</w:t>
      </w:r>
    </w:p>
    <w:p w14:paraId="081372EA" w14:textId="49BE0255" w:rsidR="00BB06B0" w:rsidRPr="00E26638" w:rsidRDefault="00BB06B0" w:rsidP="00BB06B0">
      <w:r w:rsidRPr="00E26638">
        <w:t xml:space="preserve">Greater Western Water has proposed to adopt all the guaranteed service levels, with increased rebates, from the former City West Water scheme. </w:t>
      </w:r>
      <w:r w:rsidR="00F366A7" w:rsidRPr="00E26638">
        <w:t xml:space="preserve">The Western Water scheme is largely a subset of the City West Water scheme and as such </w:t>
      </w:r>
      <w:r w:rsidR="00894BD6" w:rsidRPr="00E26638">
        <w:t xml:space="preserve">customers in the former Western Water service area </w:t>
      </w:r>
      <w:r w:rsidR="00047A24" w:rsidRPr="00E26638">
        <w:t>will see an increase in the number of guar</w:t>
      </w:r>
      <w:r w:rsidR="00AE0890" w:rsidRPr="00E26638">
        <w:t>anteed service levels</w:t>
      </w:r>
      <w:r w:rsidR="00647AAE" w:rsidRPr="00E26638">
        <w:t>.</w:t>
      </w:r>
      <w:r w:rsidRPr="00E26638">
        <w:t xml:space="preserve"> </w:t>
      </w:r>
      <w:r w:rsidR="00ED68F9" w:rsidRPr="00E26638">
        <w:t>Greater Western Water</w:t>
      </w:r>
      <w:r w:rsidRPr="00E26638">
        <w:t xml:space="preserve"> has also proposed an additional guaranteed service level for water quality events, which was developed in consultation with Melbourne Water, </w:t>
      </w:r>
      <w:proofErr w:type="gramStart"/>
      <w:r w:rsidRPr="00E26638">
        <w:t>South East</w:t>
      </w:r>
      <w:proofErr w:type="gramEnd"/>
      <w:r w:rsidRPr="00E26638">
        <w:t xml:space="preserve"> Water and Yarra Valley Water to ensure a consistent response for customers affected by system-wide water quality events across Melbourne. In accordance with these other water businesses, when water quality advisories are issued it proposes a community rebate of:</w:t>
      </w:r>
    </w:p>
    <w:p w14:paraId="6D2C4137" w14:textId="197BF1B9" w:rsidR="00BB06B0" w:rsidRPr="00E26638" w:rsidRDefault="00BB06B0" w:rsidP="00ED1290">
      <w:pPr>
        <w:pStyle w:val="ListBullet"/>
      </w:pPr>
      <w:r w:rsidRPr="00E26638">
        <w:t>$5,000 for small, localised events impacting less than 50</w:t>
      </w:r>
      <w:r w:rsidR="002D11F3" w:rsidRPr="00E26638">
        <w:t> </w:t>
      </w:r>
      <w:proofErr w:type="gramStart"/>
      <w:r w:rsidRPr="00E26638">
        <w:t>customers</w:t>
      </w:r>
      <w:proofErr w:type="gramEnd"/>
    </w:p>
    <w:p w14:paraId="55CEBC63" w14:textId="7EDD4A2D" w:rsidR="00BB06B0" w:rsidRPr="00E26638" w:rsidRDefault="00BB06B0" w:rsidP="00ED1290">
      <w:pPr>
        <w:pStyle w:val="ListBullet"/>
      </w:pPr>
      <w:r w:rsidRPr="00E26638">
        <w:t>$10,000 for each affected postcode for advisories that affect more than 50</w:t>
      </w:r>
      <w:r w:rsidR="009D38DB" w:rsidRPr="00E26638">
        <w:t> </w:t>
      </w:r>
      <w:r w:rsidRPr="00E26638">
        <w:t>customers.</w:t>
      </w:r>
    </w:p>
    <w:p w14:paraId="771E00E5" w14:textId="77777777" w:rsidR="00BB06B0" w:rsidRPr="00E26638" w:rsidRDefault="00BB06B0" w:rsidP="00BB06B0">
      <w:r w:rsidRPr="00E26638">
        <w:lastRenderedPageBreak/>
        <w:t>Greater Western Water consulted on its proposed guaranteed service levels with its customers in an online forum held in May 2023. Feedback from this forum indicates customers support Greater Western Water’s proposed guaranteed service levels.</w:t>
      </w:r>
      <w:r w:rsidRPr="00E26638">
        <w:rPr>
          <w:rStyle w:val="FootnoteReference"/>
        </w:rPr>
        <w:footnoteReference w:id="39"/>
      </w:r>
      <w:r w:rsidRPr="00E26638">
        <w:t xml:space="preserve">  </w:t>
      </w:r>
    </w:p>
    <w:p w14:paraId="551556B6" w14:textId="77777777" w:rsidR="00BB06B0" w:rsidRDefault="00BB06B0" w:rsidP="00BB06B0">
      <w:r w:rsidRPr="00E26638">
        <w:t>We propose to accept Greater Western Water’s proposed guaranteed service levels, on the basis that they have been agreed with customers during its engagement.</w:t>
      </w:r>
      <w:r w:rsidRPr="00C530E3">
        <w:t xml:space="preserve"> Final guaranteed service levels and rebates will be subject to our consideration of any feedback following the release of our draft decision.</w:t>
      </w:r>
    </w:p>
    <w:p w14:paraId="3C20F919" w14:textId="4CF78214" w:rsidR="00A66EE0" w:rsidRPr="00BB06B0" w:rsidRDefault="00BB06B0" w:rsidP="00697FDC">
      <w:r>
        <w:t xml:space="preserve">Guaranteed service levels are approved in our water industry standards. Accordingly, in early </w:t>
      </w:r>
      <w:r w:rsidRPr="00A464C0">
        <w:t>2024</w:t>
      </w:r>
      <w:r w:rsidRPr="00A464C0">
        <w:noBreakHyphen/>
        <w:t>25,</w:t>
      </w:r>
      <w:r>
        <w:t xml:space="preserve"> we will update the standards to reflect the guaranteed service levels published in our final decision.</w:t>
      </w:r>
    </w:p>
    <w:p w14:paraId="016BFD53" w14:textId="2537E331" w:rsidR="00684979" w:rsidRDefault="00684979" w:rsidP="00684979">
      <w:pPr>
        <w:rPr>
          <w:highlight w:val="cyan"/>
        </w:rPr>
        <w:sectPr w:rsidR="00684979" w:rsidSect="00736B75">
          <w:footerReference w:type="default" r:id="rId35"/>
          <w:pgSz w:w="11906" w:h="16838" w:code="9"/>
          <w:pgMar w:top="1134" w:right="1134" w:bottom="1134" w:left="1134" w:header="709" w:footer="692" w:gutter="0"/>
          <w:cols w:space="708"/>
          <w:docGrid w:linePitch="360"/>
        </w:sectPr>
      </w:pPr>
    </w:p>
    <w:p w14:paraId="05917CCF" w14:textId="64945FF8" w:rsidR="00A66EE0" w:rsidRDefault="00977A37" w:rsidP="00F22C01">
      <w:pPr>
        <w:pStyle w:val="Heading1"/>
        <w:ind w:left="709" w:hanging="709"/>
      </w:pPr>
      <w:bookmarkStart w:id="71" w:name="_Toc161400983"/>
      <w:r>
        <w:lastRenderedPageBreak/>
        <w:t>4.</w:t>
      </w:r>
      <w:r>
        <w:tab/>
      </w:r>
      <w:r w:rsidR="006E5F9F" w:rsidRPr="006E5F9F">
        <w:t>Revenue requirement</w:t>
      </w:r>
      <w:bookmarkEnd w:id="71"/>
    </w:p>
    <w:p w14:paraId="33CED049" w14:textId="07CF4624" w:rsidR="008C56F3" w:rsidRDefault="008C56F3" w:rsidP="008C56F3">
      <w:r>
        <w:t>The revenue requirement is the forecast amount a water corporation needs to deliver on customer outcomes, government policy, and obligations monitored by technical regulators including the Environment Protection Authority Victoria and the Department of Health.</w:t>
      </w:r>
      <w:r w:rsidR="00A9068B" w:rsidRPr="00E26638">
        <w:rPr>
          <w:rStyle w:val="FootnoteReference"/>
        </w:rPr>
        <w:footnoteReference w:id="40"/>
      </w:r>
      <w:r w:rsidR="006761A1">
        <w:t xml:space="preserve"> </w:t>
      </w:r>
      <w:r>
        <w:t xml:space="preserve">Along with forecast demand, it is an input to calculating prices. </w:t>
      </w:r>
    </w:p>
    <w:p w14:paraId="20195C29" w14:textId="6EAD9A2B" w:rsidR="008C56F3" w:rsidRDefault="008C56F3" w:rsidP="008C56F3">
      <w:r>
        <w:t>We have used a building block methodology to establish the revenue requirement.</w:t>
      </w:r>
      <w:r w:rsidR="006761A1">
        <w:t xml:space="preserve"> </w:t>
      </w:r>
      <w:r>
        <w:t xml:space="preserve">This chapter outlines our assessment of </w:t>
      </w:r>
      <w:r w:rsidR="00AA1D9F">
        <w:t>Greater Western Water</w:t>
      </w:r>
      <w:r>
        <w:t>’s revenue requirement based on the following steps:</w:t>
      </w:r>
    </w:p>
    <w:p w14:paraId="07F149FE" w14:textId="585204E1" w:rsidR="008C56F3" w:rsidRDefault="008C56F3" w:rsidP="00ED1290">
      <w:pPr>
        <w:pStyle w:val="ListBullet"/>
      </w:pPr>
      <w:r>
        <w:t>establish an efficient benchmark level of forecast operating expenditure for the next regulatory period (Section 4.1)</w:t>
      </w:r>
    </w:p>
    <w:p w14:paraId="4EB0587C" w14:textId="46DB65B4" w:rsidR="008C56F3" w:rsidRDefault="008C56F3" w:rsidP="00ED1290">
      <w:pPr>
        <w:pStyle w:val="ListBullet"/>
      </w:pPr>
      <w:r>
        <w:t>establish an efficient benchmark level of forecast capital expenditure for the next regulatory period (Section 4.2)</w:t>
      </w:r>
    </w:p>
    <w:p w14:paraId="5E3F6443" w14:textId="5CBCDBC0" w:rsidR="008C56F3" w:rsidRDefault="008C56F3" w:rsidP="00ED1290">
      <w:pPr>
        <w:pStyle w:val="ListBullet"/>
      </w:pPr>
      <w:r>
        <w:t>roll</w:t>
      </w:r>
      <w:r w:rsidR="006761A1">
        <w:noBreakHyphen/>
      </w:r>
      <w:r>
        <w:t>forward the regulatory asset base (Section 4.3)</w:t>
      </w:r>
    </w:p>
    <w:p w14:paraId="40F648AA" w14:textId="11638042" w:rsidR="008C56F3" w:rsidRDefault="008C56F3" w:rsidP="00ED1290">
      <w:pPr>
        <w:pStyle w:val="ListBullet"/>
      </w:pPr>
      <w:r>
        <w:t>apply a rate of return to the regulatory asset base, calculated using:</w:t>
      </w:r>
    </w:p>
    <w:p w14:paraId="434E71EE" w14:textId="14C5FC8F" w:rsidR="008C56F3" w:rsidRDefault="008C56F3" w:rsidP="008C56F3">
      <w:pPr>
        <w:pStyle w:val="ListBullet2"/>
      </w:pPr>
      <w:r>
        <w:t>a benchmark cost of debt estimated using a 10</w:t>
      </w:r>
      <w:r w:rsidR="006761A1">
        <w:noBreakHyphen/>
      </w:r>
      <w:r>
        <w:t>year trailing average approach (Section</w:t>
      </w:r>
      <w:r w:rsidR="008A4CEC">
        <w:t> </w:t>
      </w:r>
      <w:r>
        <w:t>4.4.1)</w:t>
      </w:r>
    </w:p>
    <w:p w14:paraId="33759EF0" w14:textId="4B448480" w:rsidR="008C56F3" w:rsidRDefault="008C56F3" w:rsidP="008C56F3">
      <w:pPr>
        <w:pStyle w:val="ListBullet2"/>
      </w:pPr>
      <w:r>
        <w:t xml:space="preserve">a benchmark </w:t>
      </w:r>
      <w:proofErr w:type="gramStart"/>
      <w:r>
        <w:t>return</w:t>
      </w:r>
      <w:proofErr w:type="gramEnd"/>
      <w:r>
        <w:t xml:space="preserve"> on equity value determined by </w:t>
      </w:r>
      <w:r w:rsidR="00AA1D9F">
        <w:t>Greater Western Water</w:t>
      </w:r>
      <w:r>
        <w:t>’s PREMO rating (Section</w:t>
      </w:r>
      <w:r w:rsidR="008A4CEC">
        <w:t> </w:t>
      </w:r>
      <w:r>
        <w:t>4.4.2)</w:t>
      </w:r>
    </w:p>
    <w:p w14:paraId="425F311B" w14:textId="6AB85F29" w:rsidR="008C56F3" w:rsidRDefault="008C56F3" w:rsidP="00ED1290">
      <w:pPr>
        <w:pStyle w:val="ListBullet"/>
      </w:pPr>
      <w:r>
        <w:t>establish a return of capital through a regulatory depreciation allowance (Section 4.5)</w:t>
      </w:r>
    </w:p>
    <w:p w14:paraId="0EA37EF9" w14:textId="7ED9825E" w:rsidR="006E5F9F" w:rsidRDefault="008C56F3" w:rsidP="00ED1290">
      <w:pPr>
        <w:pStyle w:val="ListBullet"/>
      </w:pPr>
      <w:r>
        <w:t>establish a benchmark tax allowance (Section 4.6)</w:t>
      </w:r>
      <w:r w:rsidR="00807E92">
        <w:t>.</w:t>
      </w:r>
    </w:p>
    <w:p w14:paraId="677F87D0" w14:textId="6E2E0D79" w:rsidR="00C62F03" w:rsidRPr="00EF63F9" w:rsidRDefault="00C62F03" w:rsidP="00E93CBF">
      <w:pPr>
        <w:pStyle w:val="Pull-out"/>
      </w:pPr>
      <w:r w:rsidRPr="00E26638">
        <w:t xml:space="preserve">Our draft decision is to </w:t>
      </w:r>
      <w:r w:rsidR="00742BEF" w:rsidRPr="00E26638">
        <w:t>adopt</w:t>
      </w:r>
      <w:r w:rsidRPr="00E26638">
        <w:t xml:space="preserve"> a revenue requirement of $3,439 million, 1.3 per cent lower than that proposed by Greater Western Water.</w:t>
      </w:r>
    </w:p>
    <w:p w14:paraId="0C886954" w14:textId="3122A950" w:rsidR="00E93CBF" w:rsidRDefault="00AA1D9F" w:rsidP="00E93CBF">
      <w:r>
        <w:t>Greater Western Water</w:t>
      </w:r>
      <w:r w:rsidR="00E93CBF">
        <w:t xml:space="preserve"> proposed a revenue requirement </w:t>
      </w:r>
      <w:r w:rsidR="00E93CBF" w:rsidRPr="00E26638">
        <w:t>of $</w:t>
      </w:r>
      <w:r w:rsidR="003550BE" w:rsidRPr="00E26638">
        <w:t>3,483</w:t>
      </w:r>
      <w:r w:rsidR="006761A1" w:rsidRPr="00E26638">
        <w:t> million</w:t>
      </w:r>
      <w:r w:rsidR="00E93CBF" w:rsidRPr="00E26638">
        <w:t xml:space="preserve"> over a </w:t>
      </w:r>
      <w:r w:rsidR="009F6832" w:rsidRPr="00E26638">
        <w:t>4</w:t>
      </w:r>
      <w:r w:rsidR="006761A1" w:rsidRPr="00E26638">
        <w:noBreakHyphen/>
      </w:r>
      <w:r w:rsidR="00E93CBF" w:rsidRPr="00E26638">
        <w:t>year period starting 1</w:t>
      </w:r>
      <w:r w:rsidR="00D41553" w:rsidRPr="00E26638">
        <w:t> </w:t>
      </w:r>
      <w:r w:rsidR="00E93CBF" w:rsidRPr="00E26638">
        <w:t xml:space="preserve">July </w:t>
      </w:r>
      <w:r w:rsidR="009F6832" w:rsidRPr="00E26638">
        <w:t>2024</w:t>
      </w:r>
      <w:r w:rsidR="00E93CBF" w:rsidRPr="00E26638">
        <w:t xml:space="preserve">. Our draft decision </w:t>
      </w:r>
      <w:r w:rsidR="009F4970" w:rsidRPr="00E26638">
        <w:t>approve</w:t>
      </w:r>
      <w:r w:rsidR="00744AE3" w:rsidRPr="00E26638">
        <w:t>s a</w:t>
      </w:r>
      <w:r w:rsidR="009F4970" w:rsidRPr="00E26638">
        <w:t xml:space="preserve"> </w:t>
      </w:r>
      <w:r w:rsidR="00E93CBF" w:rsidRPr="00E26638">
        <w:t xml:space="preserve">revenue requirement </w:t>
      </w:r>
      <w:r w:rsidR="00744AE3" w:rsidRPr="00E26638">
        <w:t>of $</w:t>
      </w:r>
      <w:r w:rsidR="003550BE" w:rsidRPr="00E26638">
        <w:t>3,439</w:t>
      </w:r>
      <w:r w:rsidR="00735139" w:rsidRPr="00E26638">
        <w:t> </w:t>
      </w:r>
      <w:r w:rsidR="00744AE3" w:rsidRPr="00E26638">
        <w:t>million (</w:t>
      </w:r>
      <w:r w:rsidR="00E93CBF" w:rsidRPr="00E26638">
        <w:t>Table</w:t>
      </w:r>
      <w:r w:rsidR="00744AE3" w:rsidRPr="00E26638">
        <w:t> </w:t>
      </w:r>
      <w:r w:rsidR="00E93CBF" w:rsidRPr="00E26638">
        <w:t>4.1</w:t>
      </w:r>
      <w:r w:rsidR="00744AE3" w:rsidRPr="00E26638">
        <w:t>)</w:t>
      </w:r>
      <w:r w:rsidR="008B2FE0" w:rsidRPr="00E26638">
        <w:t>,</w:t>
      </w:r>
      <w:r w:rsidR="008B2FE0">
        <w:t xml:space="preserve"> which</w:t>
      </w:r>
      <w:r w:rsidR="00E93CBF">
        <w:t xml:space="preserve"> </w:t>
      </w:r>
      <w:r w:rsidR="00F238C3">
        <w:t>reflects our assessment of each element of the revenue requirement, including forecast operating and capital expenditure</w:t>
      </w:r>
      <w:r w:rsidR="00CA728D">
        <w:t>.</w:t>
      </w:r>
      <w:r w:rsidR="00512E88">
        <w:t xml:space="preserve"> </w:t>
      </w:r>
    </w:p>
    <w:p w14:paraId="683D627A" w14:textId="680E0CDA" w:rsidR="00E93CBF" w:rsidRDefault="00E93CBF" w:rsidP="00496730">
      <w:pPr>
        <w:pStyle w:val="Figure-Table-BoxHeading"/>
        <w:keepNext/>
        <w:spacing w:after="0" w:line="288" w:lineRule="auto"/>
      </w:pPr>
      <w:r w:rsidRPr="00B47ECD">
        <w:lastRenderedPageBreak/>
        <w:t>Table 4.1</w:t>
      </w:r>
      <w:r>
        <w:tab/>
        <w:t xml:space="preserve">Draft decision on </w:t>
      </w:r>
      <w:r w:rsidR="00AA1D9F">
        <w:t>Greater Western Water</w:t>
      </w:r>
      <w:r>
        <w:t>’s revenue requirement</w:t>
      </w:r>
    </w:p>
    <w:p w14:paraId="09783564" w14:textId="639A38F5" w:rsidR="005D3964" w:rsidRDefault="00E93CBF" w:rsidP="00CA7347">
      <w:pPr>
        <w:pStyle w:val="Figure-Table-BoxSubtitle"/>
        <w:keepNext/>
        <w:spacing w:before="0" w:line="240" w:lineRule="auto"/>
        <w:ind w:left="1418"/>
      </w:pPr>
      <w:r>
        <w:t>$</w:t>
      </w:r>
      <w:r w:rsidR="006761A1">
        <w:t> million</w:t>
      </w:r>
      <w:r>
        <w:t xml:space="preserve"> 2022</w:t>
      </w:r>
      <w:r w:rsidR="006761A1">
        <w:noBreakHyphen/>
      </w:r>
      <w:r>
        <w:t>23</w:t>
      </w:r>
    </w:p>
    <w:tbl>
      <w:tblPr>
        <w:tblStyle w:val="TableGrid"/>
        <w:tblW w:w="0" w:type="auto"/>
        <w:tblLook w:val="04A0" w:firstRow="1" w:lastRow="0" w:firstColumn="1" w:lastColumn="0" w:noHBand="0" w:noVBand="1"/>
      </w:tblPr>
      <w:tblGrid>
        <w:gridCol w:w="2835"/>
        <w:gridCol w:w="1219"/>
        <w:gridCol w:w="1219"/>
        <w:gridCol w:w="1219"/>
        <w:gridCol w:w="1219"/>
        <w:gridCol w:w="1220"/>
      </w:tblGrid>
      <w:tr w:rsidR="00105632" w14:paraId="5429BA5F" w14:textId="77777777" w:rsidTr="00C87540">
        <w:trPr>
          <w:cnfStyle w:val="100000000000" w:firstRow="1" w:lastRow="0" w:firstColumn="0" w:lastColumn="0" w:oddVBand="0" w:evenVBand="0" w:oddHBand="0" w:evenHBand="0" w:firstRowFirstColumn="0" w:firstRowLastColumn="0" w:lastRowFirstColumn="0" w:lastRowLastColumn="0"/>
        </w:trPr>
        <w:tc>
          <w:tcPr>
            <w:tcW w:w="2835" w:type="dxa"/>
          </w:tcPr>
          <w:p w14:paraId="39F1EBDA" w14:textId="77777777" w:rsidR="00105632" w:rsidRDefault="00105632" w:rsidP="005760BB">
            <w:pPr>
              <w:pStyle w:val="TableHeading"/>
              <w:keepNext/>
            </w:pPr>
          </w:p>
        </w:tc>
        <w:tc>
          <w:tcPr>
            <w:tcW w:w="1219" w:type="dxa"/>
          </w:tcPr>
          <w:p w14:paraId="283F3C0B" w14:textId="6FED27D7" w:rsidR="00105632" w:rsidRPr="000C6AFA" w:rsidRDefault="00105632" w:rsidP="005760BB">
            <w:pPr>
              <w:pStyle w:val="TableHeading"/>
              <w:keepNext/>
              <w:ind w:right="113"/>
              <w:jc w:val="right"/>
            </w:pPr>
            <w:r w:rsidRPr="000C6AFA">
              <w:t>2024</w:t>
            </w:r>
            <w:r w:rsidR="006761A1" w:rsidRPr="000C6AFA">
              <w:noBreakHyphen/>
            </w:r>
            <w:r w:rsidRPr="000C6AFA">
              <w:t>25</w:t>
            </w:r>
          </w:p>
        </w:tc>
        <w:tc>
          <w:tcPr>
            <w:tcW w:w="1219" w:type="dxa"/>
          </w:tcPr>
          <w:p w14:paraId="1CEF2B8B" w14:textId="3D7C05FC" w:rsidR="00105632" w:rsidRPr="000C6AFA" w:rsidRDefault="00105632" w:rsidP="005760BB">
            <w:pPr>
              <w:pStyle w:val="TableHeading"/>
              <w:keepNext/>
              <w:ind w:right="113"/>
              <w:jc w:val="right"/>
            </w:pPr>
            <w:r w:rsidRPr="000C6AFA">
              <w:t>2025</w:t>
            </w:r>
            <w:r w:rsidR="006761A1" w:rsidRPr="000C6AFA">
              <w:noBreakHyphen/>
            </w:r>
            <w:r w:rsidRPr="000C6AFA">
              <w:t>26</w:t>
            </w:r>
          </w:p>
        </w:tc>
        <w:tc>
          <w:tcPr>
            <w:tcW w:w="1219" w:type="dxa"/>
          </w:tcPr>
          <w:p w14:paraId="1E663A28" w14:textId="11EBD17C" w:rsidR="00105632" w:rsidRPr="000C6AFA" w:rsidRDefault="00105632" w:rsidP="005760BB">
            <w:pPr>
              <w:pStyle w:val="TableHeading"/>
              <w:keepNext/>
              <w:ind w:right="113"/>
              <w:jc w:val="right"/>
            </w:pPr>
            <w:r w:rsidRPr="000C6AFA">
              <w:t>2026</w:t>
            </w:r>
            <w:r w:rsidR="006761A1" w:rsidRPr="000C6AFA">
              <w:noBreakHyphen/>
            </w:r>
            <w:r w:rsidRPr="000C6AFA">
              <w:t>27</w:t>
            </w:r>
          </w:p>
        </w:tc>
        <w:tc>
          <w:tcPr>
            <w:tcW w:w="1219" w:type="dxa"/>
          </w:tcPr>
          <w:p w14:paraId="52D1CF05" w14:textId="34012E98" w:rsidR="00105632" w:rsidRPr="000C6AFA" w:rsidRDefault="00105632" w:rsidP="005760BB">
            <w:pPr>
              <w:pStyle w:val="TableHeading"/>
              <w:keepNext/>
              <w:ind w:right="113"/>
              <w:jc w:val="right"/>
            </w:pPr>
            <w:r w:rsidRPr="000C6AFA">
              <w:t>2027</w:t>
            </w:r>
            <w:r w:rsidR="006761A1" w:rsidRPr="000C6AFA">
              <w:noBreakHyphen/>
            </w:r>
            <w:r w:rsidRPr="000C6AFA">
              <w:t>28</w:t>
            </w:r>
          </w:p>
        </w:tc>
        <w:tc>
          <w:tcPr>
            <w:tcW w:w="1220" w:type="dxa"/>
          </w:tcPr>
          <w:p w14:paraId="55FFDF63" w14:textId="65290004" w:rsidR="00105632" w:rsidRDefault="00105632" w:rsidP="005760BB">
            <w:pPr>
              <w:pStyle w:val="TableHeading"/>
              <w:keepNext/>
              <w:ind w:right="113"/>
              <w:jc w:val="right"/>
            </w:pPr>
            <w:r w:rsidRPr="008F0E76">
              <w:t>Total</w:t>
            </w:r>
          </w:p>
        </w:tc>
      </w:tr>
      <w:tr w:rsidR="007A3958" w14:paraId="4366B18F" w14:textId="77777777" w:rsidTr="00C87540">
        <w:trPr>
          <w:cnfStyle w:val="000000100000" w:firstRow="0" w:lastRow="0" w:firstColumn="0" w:lastColumn="0" w:oddVBand="0" w:evenVBand="0" w:oddHBand="1" w:evenHBand="0" w:firstRowFirstColumn="0" w:firstRowLastColumn="0" w:lastRowFirstColumn="0" w:lastRowLastColumn="0"/>
        </w:trPr>
        <w:tc>
          <w:tcPr>
            <w:tcW w:w="2835" w:type="dxa"/>
          </w:tcPr>
          <w:p w14:paraId="5FDFAD72" w14:textId="234F16AA" w:rsidR="007A3958" w:rsidRDefault="007A3958" w:rsidP="000B54FD">
            <w:pPr>
              <w:pStyle w:val="TableBody"/>
            </w:pPr>
            <w:r w:rsidRPr="00D27DEB">
              <w:t>Operating expenditure</w:t>
            </w:r>
          </w:p>
        </w:tc>
        <w:tc>
          <w:tcPr>
            <w:tcW w:w="1219" w:type="dxa"/>
            <w:vAlign w:val="center"/>
          </w:tcPr>
          <w:p w14:paraId="63944E1A" w14:textId="16E84F36" w:rsidR="007A3958" w:rsidRPr="00E26638" w:rsidRDefault="00020E56" w:rsidP="00C11578">
            <w:pPr>
              <w:pStyle w:val="TableBody"/>
              <w:ind w:right="113"/>
              <w:jc w:val="right"/>
            </w:pPr>
            <w:r w:rsidRPr="00E26638">
              <w:rPr>
                <w:rFonts w:ascii="Arial" w:hAnsi="Arial" w:cs="Arial"/>
                <w:color w:val="000000"/>
              </w:rPr>
              <w:t xml:space="preserve">     610.8 </w:t>
            </w:r>
          </w:p>
        </w:tc>
        <w:tc>
          <w:tcPr>
            <w:tcW w:w="1219" w:type="dxa"/>
            <w:vAlign w:val="center"/>
          </w:tcPr>
          <w:p w14:paraId="4B852325" w14:textId="69337E2A" w:rsidR="007A3958" w:rsidRPr="00E26638" w:rsidRDefault="00020E56" w:rsidP="00C11578">
            <w:pPr>
              <w:pStyle w:val="TableBody"/>
              <w:ind w:right="113"/>
              <w:jc w:val="right"/>
            </w:pPr>
            <w:r w:rsidRPr="00E26638">
              <w:rPr>
                <w:rFonts w:ascii="Arial" w:hAnsi="Arial" w:cs="Arial"/>
                <w:color w:val="000000"/>
              </w:rPr>
              <w:t xml:space="preserve">     612.8 </w:t>
            </w:r>
          </w:p>
        </w:tc>
        <w:tc>
          <w:tcPr>
            <w:tcW w:w="1219" w:type="dxa"/>
            <w:vAlign w:val="center"/>
          </w:tcPr>
          <w:p w14:paraId="4DA22B44" w14:textId="777C1042" w:rsidR="007A3958" w:rsidRPr="00E26638" w:rsidRDefault="00020E56" w:rsidP="00C11578">
            <w:pPr>
              <w:pStyle w:val="TableBody"/>
              <w:ind w:right="113"/>
              <w:jc w:val="right"/>
            </w:pPr>
            <w:r w:rsidRPr="00E26638">
              <w:rPr>
                <w:rFonts w:ascii="Arial" w:hAnsi="Arial" w:cs="Arial"/>
                <w:color w:val="000000"/>
              </w:rPr>
              <w:t xml:space="preserve">     612.9 </w:t>
            </w:r>
          </w:p>
        </w:tc>
        <w:tc>
          <w:tcPr>
            <w:tcW w:w="1219" w:type="dxa"/>
            <w:vAlign w:val="center"/>
          </w:tcPr>
          <w:p w14:paraId="6162ADF6" w14:textId="6D88AF9B" w:rsidR="007A3958" w:rsidRPr="00E26638" w:rsidRDefault="00020E56" w:rsidP="00C11578">
            <w:pPr>
              <w:pStyle w:val="TableBody"/>
              <w:ind w:right="113"/>
              <w:jc w:val="right"/>
            </w:pPr>
            <w:r w:rsidRPr="00E26638">
              <w:rPr>
                <w:rFonts w:ascii="Arial" w:hAnsi="Arial" w:cs="Arial"/>
                <w:color w:val="000000"/>
              </w:rPr>
              <w:t xml:space="preserve">     615.0 </w:t>
            </w:r>
          </w:p>
        </w:tc>
        <w:tc>
          <w:tcPr>
            <w:tcW w:w="1220" w:type="dxa"/>
            <w:vAlign w:val="center"/>
          </w:tcPr>
          <w:p w14:paraId="21B8A38A" w14:textId="2FC5C26C" w:rsidR="007A3958" w:rsidRPr="00E26638" w:rsidRDefault="00020E56" w:rsidP="00C11578">
            <w:pPr>
              <w:pStyle w:val="TableBody"/>
              <w:ind w:right="113"/>
              <w:jc w:val="right"/>
            </w:pPr>
            <w:r w:rsidRPr="00E26638">
              <w:rPr>
                <w:rFonts w:ascii="Arial" w:hAnsi="Arial" w:cs="Arial"/>
                <w:color w:val="000000"/>
              </w:rPr>
              <w:t xml:space="preserve">   2,451.5 </w:t>
            </w:r>
          </w:p>
        </w:tc>
      </w:tr>
      <w:tr w:rsidR="007A3958" w14:paraId="05674937" w14:textId="77777777" w:rsidTr="00C87540">
        <w:trPr>
          <w:cnfStyle w:val="000000010000" w:firstRow="0" w:lastRow="0" w:firstColumn="0" w:lastColumn="0" w:oddVBand="0" w:evenVBand="0" w:oddHBand="0" w:evenHBand="1" w:firstRowFirstColumn="0" w:firstRowLastColumn="0" w:lastRowFirstColumn="0" w:lastRowLastColumn="0"/>
        </w:trPr>
        <w:tc>
          <w:tcPr>
            <w:tcW w:w="2835" w:type="dxa"/>
          </w:tcPr>
          <w:p w14:paraId="55B69F47" w14:textId="2C253B92" w:rsidR="007A3958" w:rsidRDefault="007A3958" w:rsidP="000B54FD">
            <w:pPr>
              <w:pStyle w:val="TableBody"/>
            </w:pPr>
            <w:r w:rsidRPr="00D27DEB">
              <w:t>Return on assets</w:t>
            </w:r>
          </w:p>
        </w:tc>
        <w:tc>
          <w:tcPr>
            <w:tcW w:w="1219" w:type="dxa"/>
            <w:vAlign w:val="center"/>
          </w:tcPr>
          <w:p w14:paraId="31406A2B" w14:textId="50C07F7A" w:rsidR="007A3958" w:rsidRPr="00E26638" w:rsidRDefault="00020E56" w:rsidP="00C11578">
            <w:pPr>
              <w:pStyle w:val="TableBody"/>
              <w:ind w:right="113"/>
              <w:jc w:val="right"/>
            </w:pPr>
            <w:r w:rsidRPr="00E26638">
              <w:rPr>
                <w:rFonts w:ascii="Arial" w:hAnsi="Arial" w:cs="Arial"/>
                <w:color w:val="000000"/>
              </w:rPr>
              <w:t xml:space="preserve">       93.3 </w:t>
            </w:r>
          </w:p>
        </w:tc>
        <w:tc>
          <w:tcPr>
            <w:tcW w:w="1219" w:type="dxa"/>
            <w:vAlign w:val="center"/>
          </w:tcPr>
          <w:p w14:paraId="0F35CFF0" w14:textId="03E747C9" w:rsidR="007A3958" w:rsidRPr="00E26638" w:rsidRDefault="00020E56" w:rsidP="00C11578">
            <w:pPr>
              <w:pStyle w:val="TableBody"/>
              <w:ind w:right="113"/>
              <w:jc w:val="right"/>
            </w:pPr>
            <w:r w:rsidRPr="00E26638">
              <w:rPr>
                <w:rFonts w:ascii="Arial" w:hAnsi="Arial" w:cs="Arial"/>
                <w:color w:val="000000"/>
              </w:rPr>
              <w:t xml:space="preserve">       99.6 </w:t>
            </w:r>
          </w:p>
        </w:tc>
        <w:tc>
          <w:tcPr>
            <w:tcW w:w="1219" w:type="dxa"/>
            <w:vAlign w:val="center"/>
          </w:tcPr>
          <w:p w14:paraId="1E76D546" w14:textId="5AB9A30A" w:rsidR="007A3958" w:rsidRPr="00E26638" w:rsidRDefault="00020E56" w:rsidP="00C11578">
            <w:pPr>
              <w:pStyle w:val="TableBody"/>
              <w:ind w:right="113"/>
              <w:jc w:val="right"/>
            </w:pPr>
            <w:r w:rsidRPr="00E26638">
              <w:rPr>
                <w:rFonts w:ascii="Arial" w:hAnsi="Arial" w:cs="Arial"/>
                <w:color w:val="000000"/>
              </w:rPr>
              <w:t xml:space="preserve">     106.2 </w:t>
            </w:r>
          </w:p>
        </w:tc>
        <w:tc>
          <w:tcPr>
            <w:tcW w:w="1219" w:type="dxa"/>
            <w:vAlign w:val="center"/>
          </w:tcPr>
          <w:p w14:paraId="4FE0A2EA" w14:textId="1EB0993E" w:rsidR="007A3958" w:rsidRPr="00E26638" w:rsidRDefault="00020E56" w:rsidP="00C11578">
            <w:pPr>
              <w:pStyle w:val="TableBody"/>
              <w:ind w:right="113"/>
              <w:jc w:val="right"/>
            </w:pPr>
            <w:r w:rsidRPr="00E26638">
              <w:rPr>
                <w:rFonts w:ascii="Arial" w:hAnsi="Arial" w:cs="Arial"/>
                <w:color w:val="000000"/>
              </w:rPr>
              <w:t xml:space="preserve">     113.7 </w:t>
            </w:r>
          </w:p>
        </w:tc>
        <w:tc>
          <w:tcPr>
            <w:tcW w:w="1220" w:type="dxa"/>
            <w:vAlign w:val="center"/>
          </w:tcPr>
          <w:p w14:paraId="77D6C598" w14:textId="77F3947F" w:rsidR="007A3958" w:rsidRPr="00E26638" w:rsidRDefault="00020E56" w:rsidP="00C11578">
            <w:pPr>
              <w:pStyle w:val="TableBody"/>
              <w:ind w:right="113"/>
              <w:jc w:val="right"/>
            </w:pPr>
            <w:r w:rsidRPr="00E26638">
              <w:rPr>
                <w:rFonts w:ascii="Arial" w:hAnsi="Arial" w:cs="Arial"/>
                <w:color w:val="000000"/>
              </w:rPr>
              <w:t xml:space="preserve">      412.9 </w:t>
            </w:r>
          </w:p>
        </w:tc>
      </w:tr>
      <w:tr w:rsidR="007A3958" w14:paraId="7E287CC4" w14:textId="77777777" w:rsidTr="00C87540">
        <w:trPr>
          <w:cnfStyle w:val="000000100000" w:firstRow="0" w:lastRow="0" w:firstColumn="0" w:lastColumn="0" w:oddVBand="0" w:evenVBand="0" w:oddHBand="1" w:evenHBand="0" w:firstRowFirstColumn="0" w:firstRowLastColumn="0" w:lastRowFirstColumn="0" w:lastRowLastColumn="0"/>
        </w:trPr>
        <w:tc>
          <w:tcPr>
            <w:tcW w:w="2835" w:type="dxa"/>
          </w:tcPr>
          <w:p w14:paraId="66707328" w14:textId="2B6B1247" w:rsidR="007A3958" w:rsidRDefault="007A3958" w:rsidP="000B54FD">
            <w:pPr>
              <w:pStyle w:val="TableBody"/>
            </w:pPr>
            <w:r w:rsidRPr="00D27DEB">
              <w:t>Regulatory depreciation</w:t>
            </w:r>
          </w:p>
        </w:tc>
        <w:tc>
          <w:tcPr>
            <w:tcW w:w="1219" w:type="dxa"/>
            <w:vAlign w:val="center"/>
          </w:tcPr>
          <w:p w14:paraId="01C6BC8D" w14:textId="5694B616" w:rsidR="007A3958" w:rsidRPr="00E26638" w:rsidRDefault="00020E56" w:rsidP="00C11578">
            <w:pPr>
              <w:pStyle w:val="TableBody"/>
              <w:ind w:right="113"/>
              <w:jc w:val="right"/>
            </w:pPr>
            <w:r w:rsidRPr="00E26638">
              <w:rPr>
                <w:rFonts w:ascii="Arial" w:hAnsi="Arial" w:cs="Arial"/>
                <w:color w:val="000000"/>
              </w:rPr>
              <w:t xml:space="preserve">     100.4 </w:t>
            </w:r>
          </w:p>
        </w:tc>
        <w:tc>
          <w:tcPr>
            <w:tcW w:w="1219" w:type="dxa"/>
            <w:vAlign w:val="center"/>
          </w:tcPr>
          <w:p w14:paraId="403C2AF7" w14:textId="221A3DD7" w:rsidR="007A3958" w:rsidRPr="00E26638" w:rsidRDefault="00020E56" w:rsidP="00C11578">
            <w:pPr>
              <w:pStyle w:val="TableBody"/>
              <w:ind w:right="113"/>
              <w:jc w:val="right"/>
            </w:pPr>
            <w:r w:rsidRPr="00E26638">
              <w:rPr>
                <w:rFonts w:ascii="Arial" w:hAnsi="Arial" w:cs="Arial"/>
                <w:color w:val="000000"/>
              </w:rPr>
              <w:t xml:space="preserve">     104.7 </w:t>
            </w:r>
          </w:p>
        </w:tc>
        <w:tc>
          <w:tcPr>
            <w:tcW w:w="1219" w:type="dxa"/>
            <w:vAlign w:val="center"/>
          </w:tcPr>
          <w:p w14:paraId="5F4929FA" w14:textId="63C31E65" w:rsidR="007A3958" w:rsidRPr="00E26638" w:rsidRDefault="00020E56" w:rsidP="00C11578">
            <w:pPr>
              <w:pStyle w:val="TableBody"/>
              <w:ind w:right="113"/>
              <w:jc w:val="right"/>
            </w:pPr>
            <w:r w:rsidRPr="00E26638">
              <w:rPr>
                <w:rFonts w:ascii="Arial" w:hAnsi="Arial" w:cs="Arial"/>
                <w:color w:val="000000"/>
              </w:rPr>
              <w:t xml:space="preserve">     109.5 </w:t>
            </w:r>
          </w:p>
        </w:tc>
        <w:tc>
          <w:tcPr>
            <w:tcW w:w="1219" w:type="dxa"/>
            <w:vAlign w:val="center"/>
          </w:tcPr>
          <w:p w14:paraId="14DC55BB" w14:textId="4F71F8DC" w:rsidR="007A3958" w:rsidRPr="00E26638" w:rsidRDefault="00020E56" w:rsidP="00C11578">
            <w:pPr>
              <w:pStyle w:val="TableBody"/>
              <w:ind w:right="113"/>
              <w:jc w:val="right"/>
            </w:pPr>
            <w:r w:rsidRPr="00E26638">
              <w:rPr>
                <w:rFonts w:ascii="Arial" w:hAnsi="Arial" w:cs="Arial"/>
                <w:color w:val="000000"/>
              </w:rPr>
              <w:t xml:space="preserve">     114.2 </w:t>
            </w:r>
          </w:p>
        </w:tc>
        <w:tc>
          <w:tcPr>
            <w:tcW w:w="1220" w:type="dxa"/>
            <w:vAlign w:val="center"/>
          </w:tcPr>
          <w:p w14:paraId="63D1AEB7" w14:textId="6264E68A" w:rsidR="007A3958" w:rsidRPr="00E26638" w:rsidRDefault="00020E56" w:rsidP="00C11578">
            <w:pPr>
              <w:pStyle w:val="TableBody"/>
              <w:ind w:right="113"/>
              <w:jc w:val="right"/>
            </w:pPr>
            <w:r w:rsidRPr="00E26638">
              <w:rPr>
                <w:rFonts w:ascii="Arial" w:hAnsi="Arial" w:cs="Arial"/>
                <w:color w:val="000000"/>
              </w:rPr>
              <w:t xml:space="preserve">      428.8 </w:t>
            </w:r>
          </w:p>
        </w:tc>
      </w:tr>
      <w:tr w:rsidR="007A3958" w14:paraId="2A920492" w14:textId="77777777" w:rsidTr="00C87540">
        <w:trPr>
          <w:cnfStyle w:val="000000010000" w:firstRow="0" w:lastRow="0" w:firstColumn="0" w:lastColumn="0" w:oddVBand="0" w:evenVBand="0" w:oddHBand="0" w:evenHBand="1" w:firstRowFirstColumn="0" w:firstRowLastColumn="0" w:lastRowFirstColumn="0" w:lastRowLastColumn="0"/>
        </w:trPr>
        <w:tc>
          <w:tcPr>
            <w:tcW w:w="2835" w:type="dxa"/>
          </w:tcPr>
          <w:p w14:paraId="7E4193EC" w14:textId="7E1E3FF9" w:rsidR="007A3958" w:rsidRPr="009974CD" w:rsidRDefault="007A3958" w:rsidP="000B54FD">
            <w:pPr>
              <w:pStyle w:val="TableBody"/>
            </w:pPr>
            <w:r w:rsidRPr="009974CD">
              <w:t>Tax allowance</w:t>
            </w:r>
          </w:p>
        </w:tc>
        <w:tc>
          <w:tcPr>
            <w:tcW w:w="1219" w:type="dxa"/>
            <w:vAlign w:val="center"/>
          </w:tcPr>
          <w:p w14:paraId="5FC251E2" w14:textId="072F9EFE" w:rsidR="007A3958" w:rsidRPr="00E26638" w:rsidRDefault="00F26F85" w:rsidP="00C11578">
            <w:pPr>
              <w:pStyle w:val="TableBody"/>
              <w:ind w:right="113"/>
              <w:jc w:val="right"/>
            </w:pPr>
            <w:r w:rsidRPr="00E26638">
              <w:rPr>
                <w:rFonts w:ascii="Arial" w:hAnsi="Arial" w:cs="Arial"/>
                <w:color w:val="000000"/>
              </w:rPr>
              <w:t xml:space="preserve">       34.0 </w:t>
            </w:r>
          </w:p>
        </w:tc>
        <w:tc>
          <w:tcPr>
            <w:tcW w:w="1219" w:type="dxa"/>
            <w:vAlign w:val="center"/>
          </w:tcPr>
          <w:p w14:paraId="3CCC3AE5" w14:textId="48F338E2" w:rsidR="007A3958" w:rsidRPr="00E26638" w:rsidRDefault="00F26F85" w:rsidP="00C11578">
            <w:pPr>
              <w:pStyle w:val="TableBody"/>
              <w:ind w:right="113"/>
              <w:jc w:val="right"/>
            </w:pPr>
            <w:r w:rsidRPr="00E26638">
              <w:rPr>
                <w:rFonts w:ascii="Arial" w:hAnsi="Arial" w:cs="Arial"/>
                <w:color w:val="000000"/>
              </w:rPr>
              <w:t xml:space="preserve">       36.7 </w:t>
            </w:r>
          </w:p>
        </w:tc>
        <w:tc>
          <w:tcPr>
            <w:tcW w:w="1219" w:type="dxa"/>
            <w:vAlign w:val="center"/>
          </w:tcPr>
          <w:p w14:paraId="01FC3D56" w14:textId="35DA224D" w:rsidR="007A3958" w:rsidRPr="00E26638" w:rsidRDefault="00F26F85" w:rsidP="00C11578">
            <w:pPr>
              <w:pStyle w:val="TableBody"/>
              <w:ind w:right="113"/>
              <w:jc w:val="right"/>
            </w:pPr>
            <w:r w:rsidRPr="00E26638">
              <w:rPr>
                <w:rFonts w:ascii="Arial" w:hAnsi="Arial" w:cs="Arial"/>
                <w:color w:val="000000"/>
              </w:rPr>
              <w:t xml:space="preserve">       36.7 </w:t>
            </w:r>
          </w:p>
        </w:tc>
        <w:tc>
          <w:tcPr>
            <w:tcW w:w="1219" w:type="dxa"/>
            <w:vAlign w:val="center"/>
          </w:tcPr>
          <w:p w14:paraId="44C9AD10" w14:textId="0C62A28B" w:rsidR="007A3958" w:rsidRPr="00E26638" w:rsidRDefault="00F26F85" w:rsidP="00C11578">
            <w:pPr>
              <w:pStyle w:val="TableBody"/>
              <w:ind w:right="113"/>
              <w:jc w:val="right"/>
            </w:pPr>
            <w:r w:rsidRPr="00E26638">
              <w:rPr>
                <w:rFonts w:ascii="Arial" w:hAnsi="Arial" w:cs="Arial"/>
                <w:color w:val="000000"/>
              </w:rPr>
              <w:t xml:space="preserve">       38.5 </w:t>
            </w:r>
          </w:p>
        </w:tc>
        <w:tc>
          <w:tcPr>
            <w:tcW w:w="1220" w:type="dxa"/>
            <w:vAlign w:val="center"/>
          </w:tcPr>
          <w:p w14:paraId="080107B9" w14:textId="3F02554F" w:rsidR="007A3958" w:rsidRPr="00E26638" w:rsidRDefault="00F26F85" w:rsidP="00C11578">
            <w:pPr>
              <w:pStyle w:val="TableBody"/>
              <w:ind w:right="113"/>
              <w:jc w:val="right"/>
            </w:pPr>
            <w:r w:rsidRPr="00E26638">
              <w:rPr>
                <w:rFonts w:ascii="Arial" w:hAnsi="Arial" w:cs="Arial"/>
                <w:color w:val="000000"/>
              </w:rPr>
              <w:t xml:space="preserve">      145.8 </w:t>
            </w:r>
          </w:p>
        </w:tc>
      </w:tr>
      <w:tr w:rsidR="007A3958" w:rsidRPr="00B23B2F" w14:paraId="081496B7" w14:textId="77777777" w:rsidTr="00C87540">
        <w:trPr>
          <w:cnfStyle w:val="000000100000" w:firstRow="0" w:lastRow="0" w:firstColumn="0" w:lastColumn="0" w:oddVBand="0" w:evenVBand="0" w:oddHBand="1" w:evenHBand="0" w:firstRowFirstColumn="0" w:firstRowLastColumn="0" w:lastRowFirstColumn="0" w:lastRowLastColumn="0"/>
        </w:trPr>
        <w:tc>
          <w:tcPr>
            <w:tcW w:w="2835" w:type="dxa"/>
          </w:tcPr>
          <w:p w14:paraId="3EC63001" w14:textId="6989251F" w:rsidR="007A3958" w:rsidRPr="00040B8E" w:rsidRDefault="007A3958" w:rsidP="000B54FD">
            <w:pPr>
              <w:pStyle w:val="TableBody"/>
              <w:rPr>
                <w:b/>
                <w:bCs/>
              </w:rPr>
            </w:pPr>
            <w:r w:rsidRPr="00040B8E">
              <w:rPr>
                <w:b/>
                <w:bCs/>
              </w:rPr>
              <w:t>Draft decision – revenue requirement</w:t>
            </w:r>
          </w:p>
        </w:tc>
        <w:tc>
          <w:tcPr>
            <w:tcW w:w="1219" w:type="dxa"/>
            <w:vAlign w:val="center"/>
          </w:tcPr>
          <w:p w14:paraId="450AACE5" w14:textId="578F94FC" w:rsidR="007A3958" w:rsidRPr="00E26638" w:rsidRDefault="00F26F85" w:rsidP="00C11578">
            <w:pPr>
              <w:pStyle w:val="TableBody"/>
              <w:ind w:right="113"/>
              <w:jc w:val="right"/>
              <w:rPr>
                <w:b/>
              </w:rPr>
            </w:pPr>
            <w:r w:rsidRPr="00E26638">
              <w:rPr>
                <w:rFonts w:ascii="Arial" w:hAnsi="Arial" w:cs="Arial"/>
                <w:color w:val="000000"/>
              </w:rPr>
              <w:t xml:space="preserve">     838.5 </w:t>
            </w:r>
          </w:p>
        </w:tc>
        <w:tc>
          <w:tcPr>
            <w:tcW w:w="1219" w:type="dxa"/>
            <w:vAlign w:val="center"/>
          </w:tcPr>
          <w:p w14:paraId="4597A109" w14:textId="3A5366DB" w:rsidR="007A3958" w:rsidRPr="00E26638" w:rsidRDefault="00F26F85" w:rsidP="00C11578">
            <w:pPr>
              <w:pStyle w:val="TableBody"/>
              <w:ind w:right="113"/>
              <w:jc w:val="right"/>
              <w:rPr>
                <w:b/>
              </w:rPr>
            </w:pPr>
            <w:r w:rsidRPr="00E26638">
              <w:rPr>
                <w:rFonts w:ascii="Arial" w:hAnsi="Arial" w:cs="Arial"/>
                <w:color w:val="000000"/>
              </w:rPr>
              <w:t xml:space="preserve">     853.8 </w:t>
            </w:r>
          </w:p>
        </w:tc>
        <w:tc>
          <w:tcPr>
            <w:tcW w:w="1219" w:type="dxa"/>
            <w:vAlign w:val="center"/>
          </w:tcPr>
          <w:p w14:paraId="6509B9EC" w14:textId="2C9DBB33" w:rsidR="007A3958" w:rsidRPr="00E26638" w:rsidRDefault="00F26F85" w:rsidP="00C11578">
            <w:pPr>
              <w:pStyle w:val="TableBody"/>
              <w:ind w:right="113"/>
              <w:jc w:val="right"/>
              <w:rPr>
                <w:b/>
              </w:rPr>
            </w:pPr>
            <w:r w:rsidRPr="00E26638">
              <w:rPr>
                <w:rFonts w:ascii="Arial" w:hAnsi="Arial" w:cs="Arial"/>
                <w:color w:val="000000"/>
              </w:rPr>
              <w:t xml:space="preserve">     865.3 </w:t>
            </w:r>
          </w:p>
        </w:tc>
        <w:tc>
          <w:tcPr>
            <w:tcW w:w="1219" w:type="dxa"/>
            <w:vAlign w:val="center"/>
          </w:tcPr>
          <w:p w14:paraId="412E82E7" w14:textId="3A234CA0" w:rsidR="007A3958" w:rsidRPr="00E26638" w:rsidRDefault="00F26F85" w:rsidP="00C11578">
            <w:pPr>
              <w:pStyle w:val="TableBody"/>
              <w:ind w:right="113"/>
              <w:jc w:val="right"/>
              <w:rPr>
                <w:b/>
              </w:rPr>
            </w:pPr>
            <w:r w:rsidRPr="00E26638">
              <w:rPr>
                <w:rFonts w:ascii="Arial" w:hAnsi="Arial" w:cs="Arial"/>
                <w:color w:val="000000"/>
              </w:rPr>
              <w:t xml:space="preserve">     881.4 </w:t>
            </w:r>
          </w:p>
        </w:tc>
        <w:tc>
          <w:tcPr>
            <w:tcW w:w="1220" w:type="dxa"/>
            <w:vAlign w:val="center"/>
          </w:tcPr>
          <w:p w14:paraId="3060AE89" w14:textId="773F5955" w:rsidR="007A3958" w:rsidRPr="00E26638" w:rsidRDefault="00F26F85" w:rsidP="00C11578">
            <w:pPr>
              <w:pStyle w:val="TableBody"/>
              <w:ind w:right="113"/>
              <w:jc w:val="right"/>
              <w:rPr>
                <w:b/>
              </w:rPr>
            </w:pPr>
            <w:r w:rsidRPr="00E26638">
              <w:rPr>
                <w:rFonts w:ascii="Arial" w:hAnsi="Arial" w:cs="Arial"/>
                <w:color w:val="000000"/>
              </w:rPr>
              <w:t xml:space="preserve">   3,439.0 </w:t>
            </w:r>
          </w:p>
        </w:tc>
      </w:tr>
    </w:tbl>
    <w:p w14:paraId="05FAB220" w14:textId="73F253FE" w:rsidR="00B82E70" w:rsidRDefault="00B82E70" w:rsidP="00B82E70">
      <w:pPr>
        <w:pStyle w:val="Source"/>
        <w:jc w:val="left"/>
      </w:pPr>
      <w:r w:rsidRPr="00E81BA0">
        <w:rPr>
          <w:b/>
          <w:bCs/>
        </w:rPr>
        <w:t>Note:</w:t>
      </w:r>
      <w:r>
        <w:t xml:space="preserve"> Numbers have been rounded.</w:t>
      </w:r>
    </w:p>
    <w:p w14:paraId="629939BF" w14:textId="34635539" w:rsidR="00434715" w:rsidRPr="00E26638" w:rsidRDefault="00B82E70" w:rsidP="00B82E70">
      <w:r w:rsidRPr="00E26638">
        <w:t xml:space="preserve">Table 4.2 summarises how our draft decision on </w:t>
      </w:r>
      <w:r w:rsidR="00AA1D9F" w:rsidRPr="00E26638">
        <w:t>Greater Western Water</w:t>
      </w:r>
      <w:r w:rsidRPr="00E26638">
        <w:t>’s revenue requirement (row</w:t>
      </w:r>
      <w:r w:rsidR="00847AEB" w:rsidRPr="00E26638">
        <w:t> </w:t>
      </w:r>
      <w:r w:rsidR="00911B43" w:rsidRPr="00E26638">
        <w:t>F</w:t>
      </w:r>
      <w:r w:rsidRPr="00E26638">
        <w:t xml:space="preserve">) differs to the revenue requirement proposed by </w:t>
      </w:r>
      <w:r w:rsidR="00AA1D9F" w:rsidRPr="00E26638">
        <w:t>Greater Western Water</w:t>
      </w:r>
      <w:r w:rsidRPr="00E26638">
        <w:t xml:space="preserve"> in its price submission (row</w:t>
      </w:r>
      <w:r w:rsidR="00847AEB" w:rsidRPr="00E26638">
        <w:t> </w:t>
      </w:r>
      <w:r w:rsidRPr="00E26638">
        <w:t xml:space="preserve">A). </w:t>
      </w:r>
      <w:r w:rsidR="00434715" w:rsidRPr="00E26638">
        <w:t xml:space="preserve">Adjustments relate to operating expenditure and capital expenditure (which flows through to </w:t>
      </w:r>
      <w:r w:rsidR="00EE39CB" w:rsidRPr="00E26638">
        <w:t>return on assets and deprecation) and the impact of our adjustment to our long-term inflation rate</w:t>
      </w:r>
      <w:r w:rsidR="00CB1319" w:rsidRPr="00E26638">
        <w:t xml:space="preserve"> (</w:t>
      </w:r>
      <w:r w:rsidR="00C44586" w:rsidRPr="00E26638">
        <w:t xml:space="preserve">which </w:t>
      </w:r>
      <w:r w:rsidR="00C63756" w:rsidRPr="00E26638">
        <w:t xml:space="preserve">also </w:t>
      </w:r>
      <w:r w:rsidR="00C44586" w:rsidRPr="00E26638">
        <w:t xml:space="preserve">mainly </w:t>
      </w:r>
      <w:r w:rsidR="00CB1319" w:rsidRPr="00E26638">
        <w:t>impact</w:t>
      </w:r>
      <w:r w:rsidR="00C44586" w:rsidRPr="00E26638">
        <w:t>s</w:t>
      </w:r>
      <w:r w:rsidR="00CB1319" w:rsidRPr="00E26638">
        <w:t xml:space="preserve"> </w:t>
      </w:r>
      <w:r w:rsidR="00C63756" w:rsidRPr="00E26638">
        <w:t>return on assets)</w:t>
      </w:r>
      <w:r w:rsidR="00EE39CB" w:rsidRPr="00E26638">
        <w:t>.</w:t>
      </w:r>
    </w:p>
    <w:p w14:paraId="1E15812A" w14:textId="03FFF89B" w:rsidR="00B82E70" w:rsidRDefault="00B82E70" w:rsidP="00B82E70">
      <w:r w:rsidRPr="00E26638">
        <w:t xml:space="preserve">Where our draft decision differs from </w:t>
      </w:r>
      <w:r w:rsidR="00AA1D9F" w:rsidRPr="00E26638">
        <w:t>Greater Western Water</w:t>
      </w:r>
      <w:r w:rsidRPr="00E26638">
        <w:t xml:space="preserve">’s price submission in relation to a component of the revenue requirement, the adjustment we propose is shown in rows B to </w:t>
      </w:r>
      <w:r w:rsidR="00F40784" w:rsidRPr="00E26638">
        <w:t>E</w:t>
      </w:r>
      <w:r w:rsidRPr="00E26638">
        <w:t xml:space="preserve"> of Table</w:t>
      </w:r>
      <w:r w:rsidR="00116156" w:rsidRPr="00E26638">
        <w:t> </w:t>
      </w:r>
      <w:r w:rsidRPr="00E26638">
        <w:t xml:space="preserve">4.2. </w:t>
      </w:r>
    </w:p>
    <w:p w14:paraId="3A08E2A1" w14:textId="63B2F1FB" w:rsidR="00B82E70" w:rsidRDefault="00B82E70" w:rsidP="00B82E70">
      <w:r>
        <w:t xml:space="preserve">Our final decision </w:t>
      </w:r>
      <w:r w:rsidR="00F131DB">
        <w:t xml:space="preserve">on </w:t>
      </w:r>
      <w:r w:rsidR="00AA1D9F">
        <w:t>Greater Western Water</w:t>
      </w:r>
      <w:r w:rsidR="00F131DB">
        <w:t xml:space="preserve">’s revenue requirement </w:t>
      </w:r>
      <w:r>
        <w:t xml:space="preserve">will be based on the latest available information. Accordingly, as well as responding to our draft decision and providing an updated price schedule, </w:t>
      </w:r>
      <w:r w:rsidR="00AA1D9F">
        <w:t>Greater Western Water</w:t>
      </w:r>
      <w:r>
        <w:t xml:space="preserve"> must update its revenue requirement and prices to reflect our updates to estimates for the cost of debt and inflation, which </w:t>
      </w:r>
      <w:r w:rsidR="009963CE">
        <w:t>we will</w:t>
      </w:r>
      <w:r>
        <w:t xml:space="preserve"> advise in April 202</w:t>
      </w:r>
      <w:r w:rsidR="00ED7EE2">
        <w:t>4</w:t>
      </w:r>
      <w:r>
        <w:t>.</w:t>
      </w:r>
      <w:r w:rsidR="002A7B6E">
        <w:t xml:space="preserve"> Its maximum prices will also need to be updated to reflect our approved tariffs for Melbourne Water’s bulk charges to apply in 2024-25.</w:t>
      </w:r>
    </w:p>
    <w:p w14:paraId="01EB0113" w14:textId="4639131D" w:rsidR="00B82E70" w:rsidRDefault="00B82E70" w:rsidP="00B82E70">
      <w:r>
        <w:t xml:space="preserve">There may be changes in laws or government policy before we make a price determination. If any such changes occur between the draft decision and the price determination that impact on </w:t>
      </w:r>
      <w:r w:rsidR="00DC1809">
        <w:t xml:space="preserve">its forecast costs and </w:t>
      </w:r>
      <w:r>
        <w:t xml:space="preserve">the revenue requirement, </w:t>
      </w:r>
      <w:r w:rsidR="00AA1D9F">
        <w:t>Greater Western Water</w:t>
      </w:r>
      <w:r>
        <w:t xml:space="preserve"> should update its price submission and provide us with an updated financial model. </w:t>
      </w:r>
      <w:r w:rsidR="00AC224D">
        <w:t>It also should notify us of any material changes that impact its forecast costs, revenue requirement or prices (including demand). Any updates to its submission or pricing model will be made publicly available on our website.</w:t>
      </w:r>
    </w:p>
    <w:p w14:paraId="32D9CB1B" w14:textId="77777777" w:rsidR="00275C55" w:rsidRDefault="00275C55" w:rsidP="00B82E70"/>
    <w:p w14:paraId="2F94ED6D" w14:textId="203C418E" w:rsidR="00B82E70" w:rsidRPr="00BD3D4E" w:rsidRDefault="00B82E70" w:rsidP="005E0A9D">
      <w:pPr>
        <w:pStyle w:val="Figure-Table-BoxHeading"/>
        <w:keepNext/>
        <w:spacing w:after="0" w:line="288" w:lineRule="auto"/>
        <w:ind w:left="1418" w:hanging="1418"/>
      </w:pPr>
      <w:r w:rsidRPr="00BD3D4E">
        <w:lastRenderedPageBreak/>
        <w:t>Table 4.2</w:t>
      </w:r>
      <w:r w:rsidRPr="00BD3D4E">
        <w:tab/>
        <w:t xml:space="preserve">Our proposed adjustments to </w:t>
      </w:r>
      <w:r w:rsidR="00AA1D9F">
        <w:t>Greater Western Water</w:t>
      </w:r>
      <w:r w:rsidRPr="00BD3D4E">
        <w:t>’s proposed revenue requirement</w:t>
      </w:r>
    </w:p>
    <w:p w14:paraId="48E7E9D2" w14:textId="71BA8774" w:rsidR="005D3964" w:rsidRPr="003532A5" w:rsidRDefault="00B82E70" w:rsidP="00CA7347">
      <w:pPr>
        <w:pStyle w:val="Figure-Table-BoxSubtitle"/>
        <w:keepNext/>
        <w:spacing w:before="0" w:line="240" w:lineRule="auto"/>
        <w:ind w:left="1418"/>
      </w:pPr>
      <w:r w:rsidRPr="003532A5">
        <w:t>$</w:t>
      </w:r>
      <w:r w:rsidR="006761A1" w:rsidRPr="003532A5">
        <w:t> million</w:t>
      </w:r>
      <w:r w:rsidRPr="003532A5">
        <w:t xml:space="preserve"> 202</w:t>
      </w:r>
      <w:r w:rsidR="0030218A" w:rsidRPr="003532A5">
        <w:t>3</w:t>
      </w:r>
      <w:r w:rsidR="006761A1" w:rsidRPr="003532A5">
        <w:noBreakHyphen/>
      </w:r>
      <w:r w:rsidR="0030218A" w:rsidRPr="003532A5">
        <w:t>24</w:t>
      </w:r>
    </w:p>
    <w:tbl>
      <w:tblPr>
        <w:tblStyle w:val="TableGrid"/>
        <w:tblW w:w="0" w:type="auto"/>
        <w:tblLook w:val="04A0" w:firstRow="1" w:lastRow="0" w:firstColumn="1" w:lastColumn="0" w:noHBand="0" w:noVBand="1"/>
      </w:tblPr>
      <w:tblGrid>
        <w:gridCol w:w="3359"/>
        <w:gridCol w:w="1063"/>
        <w:gridCol w:w="1304"/>
        <w:gridCol w:w="1304"/>
        <w:gridCol w:w="1304"/>
        <w:gridCol w:w="1304"/>
      </w:tblGrid>
      <w:tr w:rsidR="00ED423F" w:rsidRPr="00A47F67" w14:paraId="74C1348C" w14:textId="045D3262" w:rsidTr="006C10D8">
        <w:trPr>
          <w:cnfStyle w:val="100000000000" w:firstRow="1" w:lastRow="0" w:firstColumn="0" w:lastColumn="0" w:oddVBand="0" w:evenVBand="0" w:oddHBand="0" w:evenHBand="0" w:firstRowFirstColumn="0" w:firstRowLastColumn="0" w:lastRowFirstColumn="0" w:lastRowLastColumn="0"/>
        </w:trPr>
        <w:tc>
          <w:tcPr>
            <w:tcW w:w="3362" w:type="dxa"/>
          </w:tcPr>
          <w:p w14:paraId="0BC883AD" w14:textId="77777777" w:rsidR="00ED423F" w:rsidRPr="003532A5" w:rsidRDefault="00ED423F" w:rsidP="005E0A9D">
            <w:pPr>
              <w:pStyle w:val="TableHeading"/>
              <w:keepNext/>
            </w:pPr>
          </w:p>
        </w:tc>
        <w:tc>
          <w:tcPr>
            <w:tcW w:w="1060" w:type="dxa"/>
          </w:tcPr>
          <w:p w14:paraId="3CD2FC9F" w14:textId="6F1B17B4" w:rsidR="00ED423F" w:rsidRPr="003532A5" w:rsidRDefault="00ED423F" w:rsidP="005E0A9D">
            <w:pPr>
              <w:pStyle w:val="TableHeading"/>
              <w:keepNext/>
              <w:ind w:right="113"/>
              <w:jc w:val="right"/>
            </w:pPr>
            <w:r w:rsidRPr="003532A5">
              <w:t>2024</w:t>
            </w:r>
            <w:r w:rsidRPr="003532A5">
              <w:noBreakHyphen/>
              <w:t>25</w:t>
            </w:r>
          </w:p>
        </w:tc>
        <w:tc>
          <w:tcPr>
            <w:tcW w:w="1304" w:type="dxa"/>
          </w:tcPr>
          <w:p w14:paraId="053242D2" w14:textId="48BD4C8F" w:rsidR="00ED423F" w:rsidRPr="003532A5" w:rsidRDefault="00ED423F" w:rsidP="005E0A9D">
            <w:pPr>
              <w:pStyle w:val="TableHeading"/>
              <w:keepNext/>
              <w:ind w:right="113"/>
              <w:jc w:val="right"/>
            </w:pPr>
            <w:r w:rsidRPr="003532A5">
              <w:t>2025</w:t>
            </w:r>
            <w:r w:rsidRPr="003532A5">
              <w:noBreakHyphen/>
              <w:t>26</w:t>
            </w:r>
          </w:p>
        </w:tc>
        <w:tc>
          <w:tcPr>
            <w:tcW w:w="1304" w:type="dxa"/>
          </w:tcPr>
          <w:p w14:paraId="743A2AB5" w14:textId="1D30A1B7" w:rsidR="00ED423F" w:rsidRPr="003532A5" w:rsidRDefault="00ED423F" w:rsidP="005E0A9D">
            <w:pPr>
              <w:pStyle w:val="TableHeading"/>
              <w:keepNext/>
              <w:ind w:right="113"/>
              <w:jc w:val="right"/>
            </w:pPr>
            <w:r w:rsidRPr="003532A5">
              <w:t>2026</w:t>
            </w:r>
            <w:r w:rsidRPr="003532A5">
              <w:noBreakHyphen/>
              <w:t>27</w:t>
            </w:r>
          </w:p>
        </w:tc>
        <w:tc>
          <w:tcPr>
            <w:tcW w:w="1304" w:type="dxa"/>
          </w:tcPr>
          <w:p w14:paraId="76855956" w14:textId="603BDFB9" w:rsidR="00ED423F" w:rsidRPr="003532A5" w:rsidRDefault="00ED423F" w:rsidP="005E0A9D">
            <w:pPr>
              <w:pStyle w:val="TableHeading"/>
              <w:keepNext/>
              <w:ind w:right="113"/>
              <w:jc w:val="right"/>
            </w:pPr>
            <w:r w:rsidRPr="003532A5">
              <w:t>2027</w:t>
            </w:r>
            <w:r w:rsidRPr="003532A5">
              <w:noBreakHyphen/>
              <w:t>28</w:t>
            </w:r>
          </w:p>
        </w:tc>
        <w:tc>
          <w:tcPr>
            <w:tcW w:w="1304" w:type="dxa"/>
          </w:tcPr>
          <w:p w14:paraId="06628D15" w14:textId="2D0D1D3A" w:rsidR="00ED423F" w:rsidRPr="003532A5" w:rsidRDefault="00ED423F" w:rsidP="005E0A9D">
            <w:pPr>
              <w:pStyle w:val="TableHeading"/>
              <w:keepNext/>
              <w:ind w:right="113"/>
              <w:jc w:val="right"/>
            </w:pPr>
            <w:r w:rsidRPr="003532A5">
              <w:t>Total</w:t>
            </w:r>
          </w:p>
        </w:tc>
      </w:tr>
      <w:tr w:rsidR="00ED423F" w:rsidRPr="003532A5" w14:paraId="0D80DFE5" w14:textId="2BCD9CFE" w:rsidTr="006C10D8">
        <w:trPr>
          <w:cnfStyle w:val="000000100000" w:firstRow="0" w:lastRow="0" w:firstColumn="0" w:lastColumn="0" w:oddVBand="0" w:evenVBand="0" w:oddHBand="1" w:evenHBand="0" w:firstRowFirstColumn="0" w:firstRowLastColumn="0" w:lastRowFirstColumn="0" w:lastRowLastColumn="0"/>
        </w:trPr>
        <w:tc>
          <w:tcPr>
            <w:tcW w:w="3362" w:type="dxa"/>
          </w:tcPr>
          <w:p w14:paraId="3309C5E3" w14:textId="4F0F57B6" w:rsidR="00ED423F" w:rsidRPr="007E4CD5" w:rsidRDefault="00ED423F" w:rsidP="00112285">
            <w:pPr>
              <w:pStyle w:val="TableBody"/>
              <w:rPr>
                <w:b/>
              </w:rPr>
            </w:pPr>
            <w:r w:rsidRPr="007E4CD5">
              <w:rPr>
                <w:b/>
              </w:rPr>
              <w:t>A. Greater Western Water’s proposed revenue requirement</w:t>
            </w:r>
          </w:p>
        </w:tc>
        <w:tc>
          <w:tcPr>
            <w:tcW w:w="1060" w:type="dxa"/>
            <w:vAlign w:val="center"/>
          </w:tcPr>
          <w:p w14:paraId="32CB650C" w14:textId="6E6D3A0D" w:rsidR="00ED423F" w:rsidRPr="007E4CD5" w:rsidRDefault="00896F27" w:rsidP="00112285">
            <w:pPr>
              <w:pStyle w:val="TableBody"/>
              <w:ind w:right="113"/>
              <w:jc w:val="right"/>
            </w:pPr>
            <w:r w:rsidRPr="007E4CD5">
              <w:rPr>
                <w:rFonts w:ascii="Arial" w:hAnsi="Arial" w:cs="Arial"/>
                <w:b/>
                <w:color w:val="000000"/>
              </w:rPr>
              <w:t xml:space="preserve">846.7 </w:t>
            </w:r>
          </w:p>
        </w:tc>
        <w:tc>
          <w:tcPr>
            <w:tcW w:w="1304" w:type="dxa"/>
            <w:vAlign w:val="center"/>
          </w:tcPr>
          <w:p w14:paraId="3FF03CAD" w14:textId="6F58E5C1" w:rsidR="00ED423F" w:rsidRPr="007E4CD5" w:rsidRDefault="00896F27" w:rsidP="00112285">
            <w:pPr>
              <w:pStyle w:val="TableBody"/>
              <w:ind w:right="113"/>
              <w:jc w:val="right"/>
            </w:pPr>
            <w:r w:rsidRPr="007E4CD5">
              <w:rPr>
                <w:rFonts w:ascii="Arial" w:hAnsi="Arial" w:cs="Arial"/>
                <w:b/>
                <w:color w:val="000000"/>
              </w:rPr>
              <w:t xml:space="preserve">864.0 </w:t>
            </w:r>
          </w:p>
        </w:tc>
        <w:tc>
          <w:tcPr>
            <w:tcW w:w="1304" w:type="dxa"/>
            <w:vAlign w:val="center"/>
          </w:tcPr>
          <w:p w14:paraId="7E547EFA" w14:textId="4072FFA5" w:rsidR="00ED423F" w:rsidRPr="007E4CD5" w:rsidRDefault="00896F27" w:rsidP="00112285">
            <w:pPr>
              <w:pStyle w:val="TableBody"/>
              <w:ind w:right="113"/>
              <w:jc w:val="right"/>
            </w:pPr>
            <w:r w:rsidRPr="007E4CD5">
              <w:rPr>
                <w:rFonts w:ascii="Arial" w:hAnsi="Arial" w:cs="Arial"/>
                <w:b/>
                <w:color w:val="000000"/>
              </w:rPr>
              <w:t xml:space="preserve">877.5 </w:t>
            </w:r>
          </w:p>
        </w:tc>
        <w:tc>
          <w:tcPr>
            <w:tcW w:w="1304" w:type="dxa"/>
            <w:vAlign w:val="center"/>
          </w:tcPr>
          <w:p w14:paraId="0A983DA0" w14:textId="16C63163" w:rsidR="00ED423F" w:rsidRPr="007E4CD5" w:rsidRDefault="00896F27" w:rsidP="00112285">
            <w:pPr>
              <w:pStyle w:val="TableBody"/>
              <w:ind w:right="113"/>
              <w:jc w:val="right"/>
            </w:pPr>
            <w:r w:rsidRPr="007E4CD5">
              <w:rPr>
                <w:rFonts w:ascii="Arial" w:hAnsi="Arial" w:cs="Arial"/>
                <w:b/>
                <w:color w:val="000000"/>
              </w:rPr>
              <w:t xml:space="preserve">894.7 </w:t>
            </w:r>
          </w:p>
        </w:tc>
        <w:tc>
          <w:tcPr>
            <w:tcW w:w="1304" w:type="dxa"/>
            <w:vAlign w:val="center"/>
          </w:tcPr>
          <w:p w14:paraId="0A0C8808" w14:textId="4C6171A4" w:rsidR="00ED423F" w:rsidRPr="007E4CD5" w:rsidRDefault="00896F27" w:rsidP="00112285">
            <w:pPr>
              <w:pStyle w:val="TableBody"/>
              <w:ind w:right="113"/>
              <w:jc w:val="right"/>
            </w:pPr>
            <w:r w:rsidRPr="007E4CD5">
              <w:rPr>
                <w:rFonts w:ascii="Arial" w:hAnsi="Arial" w:cs="Arial"/>
                <w:b/>
                <w:color w:val="000000"/>
              </w:rPr>
              <w:t xml:space="preserve">3,483.0 </w:t>
            </w:r>
          </w:p>
        </w:tc>
      </w:tr>
      <w:tr w:rsidR="00896F27" w:rsidRPr="003532A5" w14:paraId="6D15C4E2" w14:textId="77777777" w:rsidTr="006C10D8">
        <w:trPr>
          <w:cnfStyle w:val="000000010000" w:firstRow="0" w:lastRow="0" w:firstColumn="0" w:lastColumn="0" w:oddVBand="0" w:evenVBand="0" w:oddHBand="0" w:evenHBand="1" w:firstRowFirstColumn="0" w:firstRowLastColumn="0" w:lastRowFirstColumn="0" w:lastRowLastColumn="0"/>
        </w:trPr>
        <w:tc>
          <w:tcPr>
            <w:tcW w:w="3362" w:type="dxa"/>
          </w:tcPr>
          <w:p w14:paraId="6E802450" w14:textId="1B996758" w:rsidR="00896F27" w:rsidRPr="007E4CD5" w:rsidRDefault="00896F27" w:rsidP="00896F27">
            <w:pPr>
              <w:pStyle w:val="TableBody"/>
              <w:rPr>
                <w:b/>
              </w:rPr>
            </w:pPr>
            <w:r w:rsidRPr="007E4CD5">
              <w:t xml:space="preserve">B. Operating </w:t>
            </w:r>
            <w:r w:rsidR="006C10D8" w:rsidRPr="007E4CD5">
              <w:t>e</w:t>
            </w:r>
            <w:r w:rsidRPr="007E4CD5">
              <w:t>xpenditure</w:t>
            </w:r>
          </w:p>
        </w:tc>
        <w:tc>
          <w:tcPr>
            <w:tcW w:w="1060" w:type="dxa"/>
            <w:vAlign w:val="center"/>
          </w:tcPr>
          <w:p w14:paraId="44FDF731" w14:textId="51516FC7" w:rsidR="00896F27" w:rsidRPr="007E4CD5" w:rsidRDefault="00896F27" w:rsidP="00896F27">
            <w:pPr>
              <w:pStyle w:val="TableBody"/>
              <w:ind w:right="113"/>
              <w:jc w:val="right"/>
            </w:pPr>
            <w:r w:rsidRPr="007E4CD5">
              <w:rPr>
                <w:rFonts w:ascii="Arial" w:hAnsi="Arial" w:cs="Arial"/>
                <w:color w:val="000000"/>
              </w:rPr>
              <w:t xml:space="preserve">-17.6 </w:t>
            </w:r>
          </w:p>
        </w:tc>
        <w:tc>
          <w:tcPr>
            <w:tcW w:w="1304" w:type="dxa"/>
            <w:vAlign w:val="center"/>
          </w:tcPr>
          <w:p w14:paraId="5E00DC74" w14:textId="3C39FEE8" w:rsidR="00896F27" w:rsidRPr="007E4CD5" w:rsidRDefault="00896F27" w:rsidP="00896F27">
            <w:pPr>
              <w:pStyle w:val="TableBody"/>
              <w:ind w:right="113"/>
              <w:jc w:val="right"/>
            </w:pPr>
            <w:r w:rsidRPr="007E4CD5">
              <w:rPr>
                <w:rFonts w:ascii="Arial" w:hAnsi="Arial" w:cs="Arial"/>
                <w:color w:val="000000"/>
              </w:rPr>
              <w:t xml:space="preserve">-17.4 </w:t>
            </w:r>
          </w:p>
        </w:tc>
        <w:tc>
          <w:tcPr>
            <w:tcW w:w="1304" w:type="dxa"/>
            <w:vAlign w:val="center"/>
          </w:tcPr>
          <w:p w14:paraId="62163D2F" w14:textId="17F4ED6A" w:rsidR="00896F27" w:rsidRPr="007E4CD5" w:rsidRDefault="00896F27" w:rsidP="00896F27">
            <w:pPr>
              <w:pStyle w:val="TableBody"/>
              <w:ind w:right="113"/>
              <w:jc w:val="right"/>
            </w:pPr>
            <w:r w:rsidRPr="007E4CD5">
              <w:rPr>
                <w:rFonts w:ascii="Arial" w:hAnsi="Arial" w:cs="Arial"/>
                <w:color w:val="000000"/>
              </w:rPr>
              <w:t xml:space="preserve">-17.2 </w:t>
            </w:r>
          </w:p>
        </w:tc>
        <w:tc>
          <w:tcPr>
            <w:tcW w:w="1304" w:type="dxa"/>
            <w:vAlign w:val="center"/>
          </w:tcPr>
          <w:p w14:paraId="0A361543" w14:textId="2A44BAE6" w:rsidR="00896F27" w:rsidRPr="007E4CD5" w:rsidRDefault="00896F27" w:rsidP="00896F27">
            <w:pPr>
              <w:pStyle w:val="TableBody"/>
              <w:ind w:right="113"/>
              <w:jc w:val="right"/>
            </w:pPr>
            <w:r w:rsidRPr="007E4CD5">
              <w:rPr>
                <w:rFonts w:ascii="Arial" w:hAnsi="Arial" w:cs="Arial"/>
                <w:color w:val="000000"/>
              </w:rPr>
              <w:t xml:space="preserve">-17.2 </w:t>
            </w:r>
          </w:p>
        </w:tc>
        <w:tc>
          <w:tcPr>
            <w:tcW w:w="1304" w:type="dxa"/>
            <w:vAlign w:val="center"/>
          </w:tcPr>
          <w:p w14:paraId="57DA4F01" w14:textId="29C2D6A8" w:rsidR="00896F27" w:rsidRPr="007E4CD5" w:rsidRDefault="00896F27" w:rsidP="00896F27">
            <w:pPr>
              <w:pStyle w:val="TableBody"/>
              <w:ind w:right="113"/>
              <w:jc w:val="right"/>
            </w:pPr>
            <w:r w:rsidRPr="007E4CD5">
              <w:rPr>
                <w:rFonts w:ascii="Arial" w:hAnsi="Arial" w:cs="Arial"/>
                <w:color w:val="000000"/>
              </w:rPr>
              <w:t xml:space="preserve">-69.4 </w:t>
            </w:r>
          </w:p>
        </w:tc>
      </w:tr>
      <w:tr w:rsidR="00896F27" w:rsidRPr="003532A5" w14:paraId="03326147" w14:textId="77777777" w:rsidTr="006C10D8">
        <w:trPr>
          <w:cnfStyle w:val="000000100000" w:firstRow="0" w:lastRow="0" w:firstColumn="0" w:lastColumn="0" w:oddVBand="0" w:evenVBand="0" w:oddHBand="1" w:evenHBand="0" w:firstRowFirstColumn="0" w:firstRowLastColumn="0" w:lastRowFirstColumn="0" w:lastRowLastColumn="0"/>
        </w:trPr>
        <w:tc>
          <w:tcPr>
            <w:tcW w:w="3362" w:type="dxa"/>
          </w:tcPr>
          <w:p w14:paraId="40931F2D" w14:textId="18FADD2F" w:rsidR="00896F27" w:rsidRPr="007E4CD5" w:rsidRDefault="00896F27" w:rsidP="00896F27">
            <w:pPr>
              <w:pStyle w:val="TableBody"/>
              <w:rPr>
                <w:b/>
              </w:rPr>
            </w:pPr>
            <w:r w:rsidRPr="007E4CD5">
              <w:t xml:space="preserve">C. Return on </w:t>
            </w:r>
            <w:r w:rsidR="006C10D8" w:rsidRPr="007E4CD5">
              <w:t>a</w:t>
            </w:r>
            <w:r w:rsidRPr="007E4CD5">
              <w:t>ssets</w:t>
            </w:r>
          </w:p>
        </w:tc>
        <w:tc>
          <w:tcPr>
            <w:tcW w:w="1060" w:type="dxa"/>
            <w:vAlign w:val="center"/>
          </w:tcPr>
          <w:p w14:paraId="671FC5C1" w14:textId="32B1C15A" w:rsidR="00896F27" w:rsidRPr="007E4CD5" w:rsidRDefault="00896F27" w:rsidP="00896F27">
            <w:pPr>
              <w:pStyle w:val="TableBody"/>
              <w:ind w:right="113"/>
              <w:jc w:val="right"/>
            </w:pPr>
            <w:r w:rsidRPr="007E4CD5">
              <w:rPr>
                <w:rFonts w:ascii="Arial" w:hAnsi="Arial" w:cs="Arial"/>
                <w:color w:val="000000"/>
              </w:rPr>
              <w:t xml:space="preserve">9.2 </w:t>
            </w:r>
          </w:p>
        </w:tc>
        <w:tc>
          <w:tcPr>
            <w:tcW w:w="1304" w:type="dxa"/>
            <w:vAlign w:val="center"/>
          </w:tcPr>
          <w:p w14:paraId="48F27719" w14:textId="685356C2" w:rsidR="00896F27" w:rsidRPr="007E4CD5" w:rsidRDefault="00896F27" w:rsidP="00896F27">
            <w:pPr>
              <w:pStyle w:val="TableBody"/>
              <w:ind w:right="113"/>
              <w:jc w:val="right"/>
            </w:pPr>
            <w:r w:rsidRPr="007E4CD5">
              <w:rPr>
                <w:rFonts w:ascii="Arial" w:hAnsi="Arial" w:cs="Arial"/>
                <w:color w:val="000000"/>
              </w:rPr>
              <w:t xml:space="preserve">8.7 </w:t>
            </w:r>
          </w:p>
        </w:tc>
        <w:tc>
          <w:tcPr>
            <w:tcW w:w="1304" w:type="dxa"/>
            <w:vAlign w:val="center"/>
          </w:tcPr>
          <w:p w14:paraId="18CFC8D6" w14:textId="6034521A" w:rsidR="00896F27" w:rsidRPr="007E4CD5" w:rsidRDefault="00896F27" w:rsidP="00896F27">
            <w:pPr>
              <w:pStyle w:val="TableBody"/>
              <w:ind w:right="113"/>
              <w:jc w:val="right"/>
            </w:pPr>
            <w:r w:rsidRPr="007E4CD5">
              <w:rPr>
                <w:rFonts w:ascii="Arial" w:hAnsi="Arial" w:cs="Arial"/>
                <w:color w:val="000000"/>
              </w:rPr>
              <w:t xml:space="preserve">7.8 </w:t>
            </w:r>
          </w:p>
        </w:tc>
        <w:tc>
          <w:tcPr>
            <w:tcW w:w="1304" w:type="dxa"/>
            <w:vAlign w:val="center"/>
          </w:tcPr>
          <w:p w14:paraId="7658698B" w14:textId="523E926D" w:rsidR="00896F27" w:rsidRPr="007E4CD5" w:rsidRDefault="00896F27" w:rsidP="00896F27">
            <w:pPr>
              <w:pStyle w:val="TableBody"/>
              <w:ind w:right="113"/>
              <w:jc w:val="right"/>
            </w:pPr>
            <w:r w:rsidRPr="007E4CD5">
              <w:rPr>
                <w:rFonts w:ascii="Arial" w:hAnsi="Arial" w:cs="Arial"/>
                <w:color w:val="000000"/>
              </w:rPr>
              <w:t xml:space="preserve">7.4 </w:t>
            </w:r>
          </w:p>
        </w:tc>
        <w:tc>
          <w:tcPr>
            <w:tcW w:w="1304" w:type="dxa"/>
            <w:vAlign w:val="center"/>
          </w:tcPr>
          <w:p w14:paraId="38D5F55A" w14:textId="4584376A" w:rsidR="00896F27" w:rsidRPr="007E4CD5" w:rsidRDefault="00896F27" w:rsidP="00896F27">
            <w:pPr>
              <w:pStyle w:val="TableBody"/>
              <w:ind w:right="113"/>
              <w:jc w:val="right"/>
            </w:pPr>
            <w:r w:rsidRPr="007E4CD5">
              <w:rPr>
                <w:rFonts w:ascii="Arial" w:hAnsi="Arial" w:cs="Arial"/>
                <w:color w:val="000000"/>
              </w:rPr>
              <w:t xml:space="preserve">33.1 </w:t>
            </w:r>
          </w:p>
        </w:tc>
      </w:tr>
      <w:tr w:rsidR="00896F27" w:rsidRPr="003532A5" w14:paraId="082659FF" w14:textId="77777777" w:rsidTr="006C10D8">
        <w:trPr>
          <w:cnfStyle w:val="000000010000" w:firstRow="0" w:lastRow="0" w:firstColumn="0" w:lastColumn="0" w:oddVBand="0" w:evenVBand="0" w:oddHBand="0" w:evenHBand="1" w:firstRowFirstColumn="0" w:firstRowLastColumn="0" w:lastRowFirstColumn="0" w:lastRowLastColumn="0"/>
        </w:trPr>
        <w:tc>
          <w:tcPr>
            <w:tcW w:w="3362" w:type="dxa"/>
          </w:tcPr>
          <w:p w14:paraId="36B452AD" w14:textId="0FB017E3" w:rsidR="00896F27" w:rsidRPr="007E4CD5" w:rsidRDefault="006C10D8" w:rsidP="00896F27">
            <w:pPr>
              <w:pStyle w:val="TableBody"/>
              <w:rPr>
                <w:b/>
              </w:rPr>
            </w:pPr>
            <w:r w:rsidRPr="007E4CD5">
              <w:t>D</w:t>
            </w:r>
            <w:r w:rsidR="00896F27" w:rsidRPr="007E4CD5">
              <w:t>.</w:t>
            </w:r>
            <w:r w:rsidRPr="007E4CD5">
              <w:t xml:space="preserve"> Regulatory depreciation</w:t>
            </w:r>
          </w:p>
        </w:tc>
        <w:tc>
          <w:tcPr>
            <w:tcW w:w="1060" w:type="dxa"/>
            <w:vAlign w:val="center"/>
          </w:tcPr>
          <w:p w14:paraId="3ED47FD4" w14:textId="7C4EB2D9" w:rsidR="00896F27" w:rsidRPr="007E4CD5" w:rsidRDefault="00896F27" w:rsidP="00896F27">
            <w:pPr>
              <w:pStyle w:val="TableBody"/>
              <w:ind w:right="113"/>
              <w:jc w:val="right"/>
            </w:pPr>
            <w:r w:rsidRPr="007E4CD5">
              <w:rPr>
                <w:rFonts w:ascii="Arial" w:hAnsi="Arial" w:cs="Arial"/>
                <w:color w:val="000000"/>
              </w:rPr>
              <w:t xml:space="preserve">-1.8 </w:t>
            </w:r>
          </w:p>
        </w:tc>
        <w:tc>
          <w:tcPr>
            <w:tcW w:w="1304" w:type="dxa"/>
            <w:vAlign w:val="center"/>
          </w:tcPr>
          <w:p w14:paraId="7938BEB4" w14:textId="72302AC3" w:rsidR="00896F27" w:rsidRPr="007E4CD5" w:rsidRDefault="00896F27" w:rsidP="00896F27">
            <w:pPr>
              <w:pStyle w:val="TableBody"/>
              <w:ind w:right="113"/>
              <w:jc w:val="right"/>
            </w:pPr>
            <w:r w:rsidRPr="007E4CD5">
              <w:rPr>
                <w:rFonts w:ascii="Arial" w:hAnsi="Arial" w:cs="Arial"/>
                <w:color w:val="000000"/>
              </w:rPr>
              <w:t xml:space="preserve">-3.3 </w:t>
            </w:r>
          </w:p>
        </w:tc>
        <w:tc>
          <w:tcPr>
            <w:tcW w:w="1304" w:type="dxa"/>
            <w:vAlign w:val="center"/>
          </w:tcPr>
          <w:p w14:paraId="10F905AA" w14:textId="3CE56577" w:rsidR="00896F27" w:rsidRPr="007E4CD5" w:rsidRDefault="00896F27" w:rsidP="00896F27">
            <w:pPr>
              <w:pStyle w:val="TableBody"/>
              <w:ind w:right="113"/>
              <w:jc w:val="right"/>
            </w:pPr>
            <w:r w:rsidRPr="007E4CD5">
              <w:rPr>
                <w:rFonts w:ascii="Arial" w:hAnsi="Arial" w:cs="Arial"/>
                <w:color w:val="000000"/>
              </w:rPr>
              <w:t xml:space="preserve">-4.6 </w:t>
            </w:r>
          </w:p>
        </w:tc>
        <w:tc>
          <w:tcPr>
            <w:tcW w:w="1304" w:type="dxa"/>
            <w:vAlign w:val="center"/>
          </w:tcPr>
          <w:p w14:paraId="3C5B116A" w14:textId="47724BFD" w:rsidR="00896F27" w:rsidRPr="007E4CD5" w:rsidRDefault="00896F27" w:rsidP="00896F27">
            <w:pPr>
              <w:pStyle w:val="TableBody"/>
              <w:ind w:right="113"/>
              <w:jc w:val="right"/>
            </w:pPr>
            <w:r w:rsidRPr="007E4CD5">
              <w:rPr>
                <w:rFonts w:ascii="Arial" w:hAnsi="Arial" w:cs="Arial"/>
                <w:color w:val="000000"/>
              </w:rPr>
              <w:t xml:space="preserve">-5.3 </w:t>
            </w:r>
          </w:p>
        </w:tc>
        <w:tc>
          <w:tcPr>
            <w:tcW w:w="1304" w:type="dxa"/>
            <w:vAlign w:val="center"/>
          </w:tcPr>
          <w:p w14:paraId="0CB7F45D" w14:textId="06DA06E0" w:rsidR="00896F27" w:rsidRPr="007E4CD5" w:rsidRDefault="00896F27" w:rsidP="00896F27">
            <w:pPr>
              <w:pStyle w:val="TableBody"/>
              <w:ind w:right="113"/>
              <w:jc w:val="right"/>
            </w:pPr>
            <w:r w:rsidRPr="007E4CD5">
              <w:rPr>
                <w:rFonts w:ascii="Arial" w:hAnsi="Arial" w:cs="Arial"/>
                <w:color w:val="000000"/>
              </w:rPr>
              <w:t xml:space="preserve">-15.0 </w:t>
            </w:r>
          </w:p>
        </w:tc>
      </w:tr>
      <w:tr w:rsidR="00ED423F" w:rsidRPr="003532A5" w14:paraId="78997A64" w14:textId="078EEC0D" w:rsidTr="006C10D8">
        <w:trPr>
          <w:cnfStyle w:val="000000100000" w:firstRow="0" w:lastRow="0" w:firstColumn="0" w:lastColumn="0" w:oddVBand="0" w:evenVBand="0" w:oddHBand="1" w:evenHBand="0" w:firstRowFirstColumn="0" w:firstRowLastColumn="0" w:lastRowFirstColumn="0" w:lastRowLastColumn="0"/>
        </w:trPr>
        <w:tc>
          <w:tcPr>
            <w:tcW w:w="3362" w:type="dxa"/>
          </w:tcPr>
          <w:p w14:paraId="241A1395" w14:textId="608281B4" w:rsidR="00ED423F" w:rsidRPr="007E4CD5" w:rsidRDefault="006C10D8" w:rsidP="00112285">
            <w:pPr>
              <w:pStyle w:val="TableBody"/>
            </w:pPr>
            <w:r w:rsidRPr="007E4CD5">
              <w:t>E. Tax allowance</w:t>
            </w:r>
          </w:p>
        </w:tc>
        <w:tc>
          <w:tcPr>
            <w:tcW w:w="1060" w:type="dxa"/>
            <w:vAlign w:val="center"/>
          </w:tcPr>
          <w:p w14:paraId="733E95C0" w14:textId="75466A4E" w:rsidR="00ED423F" w:rsidRPr="007E4CD5" w:rsidRDefault="00896F27" w:rsidP="00112285">
            <w:pPr>
              <w:pStyle w:val="TableBody"/>
              <w:ind w:right="113"/>
              <w:jc w:val="right"/>
            </w:pPr>
            <w:r w:rsidRPr="007E4CD5">
              <w:rPr>
                <w:rFonts w:ascii="Arial" w:hAnsi="Arial" w:cs="Arial"/>
                <w:color w:val="000000"/>
              </w:rPr>
              <w:t xml:space="preserve">1.8 </w:t>
            </w:r>
          </w:p>
        </w:tc>
        <w:tc>
          <w:tcPr>
            <w:tcW w:w="1304" w:type="dxa"/>
            <w:vAlign w:val="center"/>
          </w:tcPr>
          <w:p w14:paraId="4303CA2E" w14:textId="2969359D" w:rsidR="00ED423F" w:rsidRPr="007E4CD5" w:rsidRDefault="00896F27" w:rsidP="00112285">
            <w:pPr>
              <w:pStyle w:val="TableBody"/>
              <w:ind w:right="113"/>
              <w:jc w:val="right"/>
            </w:pPr>
            <w:r w:rsidRPr="007E4CD5">
              <w:rPr>
                <w:rFonts w:ascii="Arial" w:hAnsi="Arial" w:cs="Arial"/>
                <w:color w:val="000000"/>
              </w:rPr>
              <w:t xml:space="preserve">1.8 </w:t>
            </w:r>
          </w:p>
        </w:tc>
        <w:tc>
          <w:tcPr>
            <w:tcW w:w="1304" w:type="dxa"/>
            <w:vAlign w:val="center"/>
          </w:tcPr>
          <w:p w14:paraId="0370220D" w14:textId="443A8481" w:rsidR="00ED423F" w:rsidRPr="007E4CD5" w:rsidRDefault="00896F27" w:rsidP="00112285">
            <w:pPr>
              <w:pStyle w:val="TableBody"/>
              <w:ind w:right="113"/>
              <w:jc w:val="right"/>
            </w:pPr>
            <w:r w:rsidRPr="007E4CD5">
              <w:rPr>
                <w:rFonts w:ascii="Arial" w:hAnsi="Arial" w:cs="Arial"/>
                <w:color w:val="000000"/>
              </w:rPr>
              <w:t xml:space="preserve">1.8 </w:t>
            </w:r>
          </w:p>
        </w:tc>
        <w:tc>
          <w:tcPr>
            <w:tcW w:w="1304" w:type="dxa"/>
            <w:vAlign w:val="center"/>
          </w:tcPr>
          <w:p w14:paraId="7FD7104E" w14:textId="13FA12BF" w:rsidR="00ED423F" w:rsidRPr="007E4CD5" w:rsidRDefault="00896F27" w:rsidP="00112285">
            <w:pPr>
              <w:pStyle w:val="TableBody"/>
              <w:ind w:right="113"/>
              <w:jc w:val="right"/>
            </w:pPr>
            <w:r w:rsidRPr="007E4CD5">
              <w:rPr>
                <w:rFonts w:ascii="Arial" w:hAnsi="Arial" w:cs="Arial"/>
                <w:color w:val="000000"/>
              </w:rPr>
              <w:t xml:space="preserve">1.8 </w:t>
            </w:r>
          </w:p>
        </w:tc>
        <w:tc>
          <w:tcPr>
            <w:tcW w:w="1304" w:type="dxa"/>
            <w:vAlign w:val="center"/>
          </w:tcPr>
          <w:p w14:paraId="11025E01" w14:textId="7BADE09B" w:rsidR="00ED423F" w:rsidRPr="007E4CD5" w:rsidRDefault="00896F27" w:rsidP="00112285">
            <w:pPr>
              <w:pStyle w:val="TableBody"/>
              <w:ind w:right="113"/>
              <w:jc w:val="right"/>
            </w:pPr>
            <w:r w:rsidRPr="007E4CD5">
              <w:rPr>
                <w:rFonts w:ascii="Arial" w:hAnsi="Arial" w:cs="Arial"/>
                <w:color w:val="000000"/>
              </w:rPr>
              <w:t xml:space="preserve">7.2 </w:t>
            </w:r>
          </w:p>
        </w:tc>
      </w:tr>
      <w:tr w:rsidR="00ED423F" w:rsidRPr="003532A5" w14:paraId="34ADADE9" w14:textId="2348733E" w:rsidTr="006C10D8">
        <w:trPr>
          <w:cnfStyle w:val="000000010000" w:firstRow="0" w:lastRow="0" w:firstColumn="0" w:lastColumn="0" w:oddVBand="0" w:evenVBand="0" w:oddHBand="0" w:evenHBand="1" w:firstRowFirstColumn="0" w:firstRowLastColumn="0" w:lastRowFirstColumn="0" w:lastRowLastColumn="0"/>
        </w:trPr>
        <w:tc>
          <w:tcPr>
            <w:tcW w:w="3362" w:type="dxa"/>
          </w:tcPr>
          <w:p w14:paraId="32F94A7C" w14:textId="003807D0" w:rsidR="00ED423F" w:rsidRPr="007E4CD5" w:rsidRDefault="00CA2688" w:rsidP="00112285">
            <w:pPr>
              <w:pStyle w:val="TableBody"/>
              <w:rPr>
                <w:b/>
              </w:rPr>
            </w:pPr>
            <w:r w:rsidRPr="007E4CD5">
              <w:rPr>
                <w:b/>
              </w:rPr>
              <w:t>F</w:t>
            </w:r>
            <w:r w:rsidR="00ED423F" w:rsidRPr="007E4CD5">
              <w:rPr>
                <w:b/>
              </w:rPr>
              <w:t>. Draft decision – revenue requirement (A + B</w:t>
            </w:r>
            <w:r w:rsidR="006C10D8" w:rsidRPr="007E4CD5">
              <w:rPr>
                <w:b/>
              </w:rPr>
              <w:t>+C+D+E</w:t>
            </w:r>
            <w:r w:rsidR="00896F27" w:rsidRPr="007E4CD5">
              <w:rPr>
                <w:b/>
              </w:rPr>
              <w:t>)</w:t>
            </w:r>
          </w:p>
        </w:tc>
        <w:tc>
          <w:tcPr>
            <w:tcW w:w="1060" w:type="dxa"/>
            <w:vAlign w:val="center"/>
          </w:tcPr>
          <w:p w14:paraId="672E276E" w14:textId="588E957D" w:rsidR="00ED423F" w:rsidRPr="007E4CD5" w:rsidRDefault="00896F27" w:rsidP="00112285">
            <w:pPr>
              <w:pStyle w:val="TableBody"/>
              <w:ind w:right="113"/>
              <w:jc w:val="right"/>
            </w:pPr>
            <w:r w:rsidRPr="007E4CD5">
              <w:rPr>
                <w:rFonts w:ascii="Arial" w:hAnsi="Arial" w:cs="Arial"/>
                <w:b/>
                <w:color w:val="000000"/>
              </w:rPr>
              <w:t xml:space="preserve">838.5 </w:t>
            </w:r>
          </w:p>
        </w:tc>
        <w:tc>
          <w:tcPr>
            <w:tcW w:w="1304" w:type="dxa"/>
            <w:vAlign w:val="center"/>
          </w:tcPr>
          <w:p w14:paraId="70AB8332" w14:textId="7109CDED" w:rsidR="00ED423F" w:rsidRPr="007E4CD5" w:rsidRDefault="00896F27" w:rsidP="00112285">
            <w:pPr>
              <w:pStyle w:val="TableBody"/>
              <w:ind w:right="113"/>
              <w:jc w:val="right"/>
            </w:pPr>
            <w:r w:rsidRPr="007E4CD5">
              <w:rPr>
                <w:rFonts w:ascii="Arial" w:hAnsi="Arial" w:cs="Arial"/>
                <w:b/>
                <w:color w:val="000000"/>
              </w:rPr>
              <w:t xml:space="preserve">853.8 </w:t>
            </w:r>
          </w:p>
        </w:tc>
        <w:tc>
          <w:tcPr>
            <w:tcW w:w="1304" w:type="dxa"/>
            <w:vAlign w:val="center"/>
          </w:tcPr>
          <w:p w14:paraId="7ED50601" w14:textId="202DDE0F" w:rsidR="00ED423F" w:rsidRPr="007E4CD5" w:rsidRDefault="00896F27" w:rsidP="00112285">
            <w:pPr>
              <w:pStyle w:val="TableBody"/>
              <w:ind w:right="113"/>
              <w:jc w:val="right"/>
            </w:pPr>
            <w:r w:rsidRPr="007E4CD5">
              <w:rPr>
                <w:rFonts w:ascii="Arial" w:hAnsi="Arial" w:cs="Arial"/>
                <w:b/>
                <w:color w:val="000000"/>
              </w:rPr>
              <w:t xml:space="preserve">865.3 </w:t>
            </w:r>
          </w:p>
        </w:tc>
        <w:tc>
          <w:tcPr>
            <w:tcW w:w="1304" w:type="dxa"/>
            <w:vAlign w:val="center"/>
          </w:tcPr>
          <w:p w14:paraId="4D54437B" w14:textId="1AAC9ABA" w:rsidR="00ED423F" w:rsidRPr="007E4CD5" w:rsidRDefault="00896F27" w:rsidP="00112285">
            <w:pPr>
              <w:pStyle w:val="TableBody"/>
              <w:ind w:right="113"/>
              <w:jc w:val="right"/>
            </w:pPr>
            <w:r w:rsidRPr="007E4CD5">
              <w:rPr>
                <w:rFonts w:ascii="Arial" w:hAnsi="Arial" w:cs="Arial"/>
                <w:b/>
                <w:color w:val="000000"/>
              </w:rPr>
              <w:t xml:space="preserve">881.4 </w:t>
            </w:r>
          </w:p>
        </w:tc>
        <w:tc>
          <w:tcPr>
            <w:tcW w:w="1304" w:type="dxa"/>
            <w:vAlign w:val="center"/>
          </w:tcPr>
          <w:p w14:paraId="2D79E2AC" w14:textId="6AB88AAA" w:rsidR="00ED423F" w:rsidRPr="007E4CD5" w:rsidRDefault="00896F27" w:rsidP="00112285">
            <w:pPr>
              <w:pStyle w:val="TableBody"/>
              <w:ind w:right="113"/>
              <w:jc w:val="right"/>
            </w:pPr>
            <w:r w:rsidRPr="007E4CD5">
              <w:rPr>
                <w:rFonts w:ascii="Arial" w:hAnsi="Arial" w:cs="Arial"/>
                <w:b/>
                <w:color w:val="000000"/>
              </w:rPr>
              <w:t xml:space="preserve">3,439.0 </w:t>
            </w:r>
          </w:p>
        </w:tc>
      </w:tr>
    </w:tbl>
    <w:p w14:paraId="4429B19F" w14:textId="4BA46F05" w:rsidR="00E81BA0" w:rsidRDefault="00E81BA0" w:rsidP="006E6B50">
      <w:pPr>
        <w:pStyle w:val="Source"/>
        <w:jc w:val="left"/>
      </w:pPr>
      <w:r w:rsidRPr="007E4CD5">
        <w:rPr>
          <w:b/>
        </w:rPr>
        <w:t>Note</w:t>
      </w:r>
      <w:r w:rsidR="006E6B50" w:rsidRPr="007E4CD5">
        <w:rPr>
          <w:b/>
        </w:rPr>
        <w:t>s</w:t>
      </w:r>
      <w:r w:rsidRPr="007E4CD5">
        <w:rPr>
          <w:b/>
        </w:rPr>
        <w:t xml:space="preserve">: </w:t>
      </w:r>
      <w:r w:rsidRPr="007E4CD5">
        <w:t xml:space="preserve">Our proposed adjustments are the differences between our draft decision and what </w:t>
      </w:r>
      <w:r w:rsidR="00AA1D9F" w:rsidRPr="007E4CD5">
        <w:t>Greater Western Water</w:t>
      </w:r>
      <w:r w:rsidRPr="007E4CD5">
        <w:t xml:space="preserve"> proposed in its price submission. Row A shows the total revenue requirement proposed by </w:t>
      </w:r>
      <w:r w:rsidR="00AA1D9F" w:rsidRPr="007E4CD5">
        <w:t>Greater Western Water</w:t>
      </w:r>
      <w:r w:rsidRPr="007E4CD5">
        <w:t xml:space="preserve"> in its price submission. We have arrived at our draft decision (row </w:t>
      </w:r>
      <w:r w:rsidR="00CA2688" w:rsidRPr="007E4CD5">
        <w:t>F</w:t>
      </w:r>
      <w:r w:rsidRPr="007E4CD5">
        <w:t xml:space="preserve">) by proposing the relevant adjustments to the components of the revenue requirement shown in rows B to </w:t>
      </w:r>
      <w:r w:rsidR="00DF081C" w:rsidRPr="007E4CD5">
        <w:t>E</w:t>
      </w:r>
      <w:r w:rsidRPr="007E4CD5">
        <w:t>.</w:t>
      </w:r>
      <w:r w:rsidR="006E6B50" w:rsidRPr="007E4CD5">
        <w:t xml:space="preserve"> </w:t>
      </w:r>
      <w:r w:rsidRPr="007E4CD5">
        <w:t>Numbers have been rounded</w:t>
      </w:r>
      <w:r w:rsidR="00AB5F1D" w:rsidRPr="007E4CD5">
        <w:t>.</w:t>
      </w:r>
    </w:p>
    <w:p w14:paraId="0E8FF356" w14:textId="66D48CBA" w:rsidR="00E81BA0" w:rsidRDefault="00E81BA0" w:rsidP="006E6B50">
      <w:pPr>
        <w:pStyle w:val="Heading2"/>
      </w:pPr>
      <w:bookmarkStart w:id="72" w:name="_Toc161400984"/>
      <w:r>
        <w:t>4.1</w:t>
      </w:r>
      <w:r>
        <w:tab/>
        <w:t>Operating expenditure</w:t>
      </w:r>
      <w:bookmarkEnd w:id="72"/>
    </w:p>
    <w:p w14:paraId="431BE265" w14:textId="38A396D8" w:rsidR="00E81BA0" w:rsidRDefault="003B2D5F" w:rsidP="006E6B50">
      <w:pPr>
        <w:pStyle w:val="Pull-out"/>
      </w:pPr>
      <w:r w:rsidRPr="007E4CD5">
        <w:t>Our draft decision is to adopt a forecast operating expenditure of $2,451.5 million, which is 2.8 per</w:t>
      </w:r>
      <w:r w:rsidR="00E14638">
        <w:t xml:space="preserve"> </w:t>
      </w:r>
      <w:r w:rsidRPr="007E4CD5">
        <w:t xml:space="preserve">cent lower than proposed by Greater Western </w:t>
      </w:r>
      <w:r w:rsidRPr="00D063B0">
        <w:t>Water</w:t>
      </w:r>
      <w:r w:rsidR="00BB2BEE" w:rsidRPr="00D063B0">
        <w:t>.</w:t>
      </w:r>
      <w:r w:rsidR="00096570" w:rsidRPr="00D063B0">
        <w:t xml:space="preserve"> Th</w:t>
      </w:r>
      <w:r w:rsidR="00BB4AFD" w:rsidRPr="00D063B0">
        <w:t xml:space="preserve">is adjustment </w:t>
      </w:r>
      <w:r w:rsidR="00455215" w:rsidRPr="00D063B0">
        <w:t xml:space="preserve">mainly </w:t>
      </w:r>
      <w:r w:rsidR="00BB4AFD" w:rsidRPr="00D063B0">
        <w:t>reflects</w:t>
      </w:r>
      <w:r w:rsidR="00096570" w:rsidRPr="00D063B0">
        <w:t xml:space="preserve"> Greater Western Water</w:t>
      </w:r>
      <w:r w:rsidR="00C419C3" w:rsidRPr="00D063B0">
        <w:t>’s inability</w:t>
      </w:r>
      <w:r w:rsidR="006D3DCA" w:rsidRPr="00D063B0">
        <w:t xml:space="preserve"> to justify its </w:t>
      </w:r>
      <w:r w:rsidR="005F698F" w:rsidRPr="00D063B0">
        <w:t xml:space="preserve">proposed </w:t>
      </w:r>
      <w:r w:rsidR="006C0EEE" w:rsidRPr="00D063B0">
        <w:t xml:space="preserve">baseline </w:t>
      </w:r>
      <w:r w:rsidR="008E6936" w:rsidRPr="00D063B0">
        <w:t>controllable operating expend</w:t>
      </w:r>
      <w:r w:rsidR="005A6D7A" w:rsidRPr="00D063B0">
        <w:t xml:space="preserve">iture </w:t>
      </w:r>
      <w:r w:rsidR="00EB5A73" w:rsidRPr="00D063B0">
        <w:t>as</w:t>
      </w:r>
      <w:r w:rsidR="00C51987" w:rsidRPr="00D063B0">
        <w:t xml:space="preserve"> a</w:t>
      </w:r>
      <w:r w:rsidR="008C2B0A" w:rsidRPr="00D063B0">
        <w:t xml:space="preserve"> </w:t>
      </w:r>
      <w:r w:rsidR="001A56B3" w:rsidRPr="00D063B0">
        <w:t xml:space="preserve">basis to forecast </w:t>
      </w:r>
      <w:r w:rsidR="00455215" w:rsidRPr="00D063B0">
        <w:t xml:space="preserve">prudent and efficient </w:t>
      </w:r>
      <w:r w:rsidR="001A56B3" w:rsidRPr="00D063B0">
        <w:t>expenditure</w:t>
      </w:r>
      <w:r w:rsidRPr="00D063B0">
        <w:t>.</w:t>
      </w:r>
    </w:p>
    <w:p w14:paraId="1FC90CF1" w14:textId="1888EF0D" w:rsidR="00E81BA0" w:rsidRDefault="00E81BA0" w:rsidP="00E81BA0">
      <w:r>
        <w:t xml:space="preserve">Operating expenditure is a component of the revenue requirement. </w:t>
      </w:r>
      <w:r w:rsidR="00B579A4" w:rsidRPr="007E4CD5">
        <w:t>Greater Western Water’s price submission provides detail on its forecast operating expenditure from pages 67 to 84, and further in Appendix H (pages 223 to 257).</w:t>
      </w:r>
    </w:p>
    <w:p w14:paraId="7F0241A1" w14:textId="77777777" w:rsidR="00E81BA0" w:rsidRDefault="00E81BA0" w:rsidP="00E81BA0">
      <w:r>
        <w:t>We assess both:</w:t>
      </w:r>
    </w:p>
    <w:p w14:paraId="149CB3A7" w14:textId="78A23085" w:rsidR="00E81BA0" w:rsidRDefault="00E81BA0" w:rsidP="00ED1290">
      <w:pPr>
        <w:pStyle w:val="ListBullet"/>
      </w:pPr>
      <w:r>
        <w:t xml:space="preserve">controllable operating expenditure – comprising </w:t>
      </w:r>
      <w:r w:rsidR="00807E92">
        <w:t>all</w:t>
      </w:r>
      <w:r>
        <w:t xml:space="preserve"> costs that can be directly or indirectly influenced by a water corporation’s </w:t>
      </w:r>
      <w:proofErr w:type="gramStart"/>
      <w:r>
        <w:t>decisions</w:t>
      </w:r>
      <w:proofErr w:type="gramEnd"/>
    </w:p>
    <w:p w14:paraId="5AA4D260" w14:textId="700C11EA" w:rsidR="00E81BA0" w:rsidRDefault="00E81BA0" w:rsidP="00ED1290">
      <w:pPr>
        <w:pStyle w:val="ListBullet"/>
      </w:pPr>
      <w:r>
        <w:t>non</w:t>
      </w:r>
      <w:r w:rsidR="00FE0B48">
        <w:noBreakHyphen/>
      </w:r>
      <w:r>
        <w:t xml:space="preserve">controllable operating expenditure – comprising </w:t>
      </w:r>
      <w:r w:rsidR="00807E92">
        <w:t>all</w:t>
      </w:r>
      <w:r>
        <w:t xml:space="preserve"> costs that cannot be directly or indirectly influenced by a water corporation’s decisions.</w:t>
      </w:r>
    </w:p>
    <w:p w14:paraId="28E41FF6" w14:textId="0BE3CE69" w:rsidR="001A6D08" w:rsidRDefault="001A6D08" w:rsidP="002051B7">
      <w:r w:rsidRPr="007E4CD5">
        <w:lastRenderedPageBreak/>
        <w:t>We engaged FTI Consulting to provide expert advice to inform our assessment of controllable operating expenditure.</w:t>
      </w:r>
      <w:r w:rsidRPr="007E4CD5">
        <w:rPr>
          <w:rStyle w:val="FootnoteReference"/>
        </w:rPr>
        <w:footnoteReference w:id="41"/>
      </w:r>
      <w:r w:rsidRPr="007E4CD5">
        <w:t xml:space="preserve"> FTI Consulting’s report on its assessment of Greater Western Water’s expenditure forecast is available on our website.</w:t>
      </w:r>
      <w:r w:rsidRPr="007E4CD5">
        <w:rPr>
          <w:rStyle w:val="FootnoteReference"/>
        </w:rPr>
        <w:footnoteReference w:id="42"/>
      </w:r>
      <w:r>
        <w:t xml:space="preserve"> </w:t>
      </w:r>
    </w:p>
    <w:p w14:paraId="45AB1199" w14:textId="46053E95" w:rsidR="006F1441" w:rsidRDefault="00E81BA0" w:rsidP="00E81BA0">
      <w:r>
        <w:t xml:space="preserve">Table </w:t>
      </w:r>
      <w:r w:rsidRPr="00252DDC">
        <w:t>4.3</w:t>
      </w:r>
      <w:r>
        <w:t xml:space="preserve"> sets out our draft decision on </w:t>
      </w:r>
      <w:r w:rsidR="00AA1D9F">
        <w:t>Greater Western Water</w:t>
      </w:r>
      <w:r>
        <w:t>’s forecast operating expenditure, for the purpose of establishing the revenue requirement outlined in Table 4.1.</w:t>
      </w:r>
    </w:p>
    <w:p w14:paraId="08CCA22A" w14:textId="77777777" w:rsidR="00114E0A" w:rsidRDefault="00114E0A" w:rsidP="00114E0A">
      <w:pPr>
        <w:pStyle w:val="Figure-Table-BoxHeading"/>
        <w:spacing w:after="0" w:line="288" w:lineRule="auto"/>
      </w:pPr>
      <w:r>
        <w:t xml:space="preserve">Table </w:t>
      </w:r>
      <w:r w:rsidRPr="00457508">
        <w:t>4.3</w:t>
      </w:r>
      <w:r>
        <w:tab/>
        <w:t xml:space="preserve">Draft decision – operating expenditure </w:t>
      </w:r>
    </w:p>
    <w:p w14:paraId="5B275A73" w14:textId="6FB9653E" w:rsidR="005D3964" w:rsidRDefault="00114E0A" w:rsidP="00CA7347">
      <w:pPr>
        <w:pStyle w:val="Figure-Table-BoxSubtitle"/>
        <w:spacing w:before="0" w:line="240" w:lineRule="auto"/>
        <w:ind w:left="1418"/>
      </w:pPr>
      <w:r>
        <w:t>$</w:t>
      </w:r>
      <w:r w:rsidR="006761A1">
        <w:t> million</w:t>
      </w:r>
      <w:r>
        <w:t xml:space="preserve"> </w:t>
      </w:r>
      <w:r w:rsidR="008239D4">
        <w:t>2023</w:t>
      </w:r>
      <w:r w:rsidR="006761A1">
        <w:noBreakHyphen/>
      </w:r>
      <w:r w:rsidR="008239D4">
        <w:t>24</w:t>
      </w:r>
    </w:p>
    <w:tbl>
      <w:tblPr>
        <w:tblStyle w:val="TableGrid"/>
        <w:tblW w:w="0" w:type="auto"/>
        <w:tblLayout w:type="fixed"/>
        <w:tblLook w:val="04A0" w:firstRow="1" w:lastRow="0" w:firstColumn="1" w:lastColumn="0" w:noHBand="0" w:noVBand="1"/>
      </w:tblPr>
      <w:tblGrid>
        <w:gridCol w:w="3402"/>
        <w:gridCol w:w="1162"/>
        <w:gridCol w:w="1162"/>
        <w:gridCol w:w="1163"/>
        <w:gridCol w:w="1162"/>
        <w:gridCol w:w="1163"/>
      </w:tblGrid>
      <w:tr w:rsidR="008239D4" w14:paraId="132A6361" w14:textId="77777777" w:rsidTr="002B02CF">
        <w:trPr>
          <w:cnfStyle w:val="100000000000" w:firstRow="1" w:lastRow="0" w:firstColumn="0" w:lastColumn="0" w:oddVBand="0" w:evenVBand="0" w:oddHBand="0" w:evenHBand="0" w:firstRowFirstColumn="0" w:firstRowLastColumn="0" w:lastRowFirstColumn="0" w:lastRowLastColumn="0"/>
        </w:trPr>
        <w:tc>
          <w:tcPr>
            <w:tcW w:w="3402" w:type="dxa"/>
          </w:tcPr>
          <w:p w14:paraId="34306182" w14:textId="77777777" w:rsidR="008239D4" w:rsidRDefault="008239D4" w:rsidP="00717FB3">
            <w:pPr>
              <w:pStyle w:val="TableHeading"/>
            </w:pPr>
          </w:p>
        </w:tc>
        <w:tc>
          <w:tcPr>
            <w:tcW w:w="1162" w:type="dxa"/>
          </w:tcPr>
          <w:p w14:paraId="4EE9572E" w14:textId="1088B674" w:rsidR="008239D4" w:rsidRDefault="008239D4" w:rsidP="00717FB3">
            <w:pPr>
              <w:pStyle w:val="TableHeading"/>
              <w:ind w:right="113"/>
              <w:jc w:val="right"/>
            </w:pPr>
            <w:r w:rsidRPr="00EC7910">
              <w:t>2024</w:t>
            </w:r>
            <w:r>
              <w:noBreakHyphen/>
            </w:r>
            <w:r w:rsidRPr="00EC7910">
              <w:t>25</w:t>
            </w:r>
          </w:p>
        </w:tc>
        <w:tc>
          <w:tcPr>
            <w:tcW w:w="1162" w:type="dxa"/>
          </w:tcPr>
          <w:p w14:paraId="68C2653D" w14:textId="239F5B23" w:rsidR="008239D4" w:rsidRDefault="008239D4" w:rsidP="00717FB3">
            <w:pPr>
              <w:pStyle w:val="TableHeading"/>
              <w:ind w:right="113"/>
              <w:jc w:val="right"/>
            </w:pPr>
            <w:r w:rsidRPr="00EC7910">
              <w:t>2025</w:t>
            </w:r>
            <w:r>
              <w:noBreakHyphen/>
            </w:r>
            <w:r w:rsidRPr="00EC7910">
              <w:t>26</w:t>
            </w:r>
          </w:p>
        </w:tc>
        <w:tc>
          <w:tcPr>
            <w:tcW w:w="1163" w:type="dxa"/>
          </w:tcPr>
          <w:p w14:paraId="04B2B3B9" w14:textId="1FAFB102" w:rsidR="008239D4" w:rsidRDefault="008239D4" w:rsidP="00717FB3">
            <w:pPr>
              <w:pStyle w:val="TableHeading"/>
              <w:ind w:right="113"/>
              <w:jc w:val="right"/>
            </w:pPr>
            <w:r w:rsidRPr="00EC7910">
              <w:t>2026</w:t>
            </w:r>
            <w:r>
              <w:noBreakHyphen/>
            </w:r>
            <w:r w:rsidRPr="00EC7910">
              <w:t>27</w:t>
            </w:r>
          </w:p>
        </w:tc>
        <w:tc>
          <w:tcPr>
            <w:tcW w:w="1162" w:type="dxa"/>
          </w:tcPr>
          <w:p w14:paraId="56A57C86" w14:textId="03528B38" w:rsidR="008239D4" w:rsidRDefault="008239D4" w:rsidP="00717FB3">
            <w:pPr>
              <w:pStyle w:val="TableHeading"/>
              <w:ind w:right="113"/>
              <w:jc w:val="right"/>
            </w:pPr>
            <w:r w:rsidRPr="00EC7910">
              <w:t>2027</w:t>
            </w:r>
            <w:r>
              <w:noBreakHyphen/>
            </w:r>
            <w:r w:rsidRPr="00EC7910">
              <w:t>28</w:t>
            </w:r>
          </w:p>
        </w:tc>
        <w:tc>
          <w:tcPr>
            <w:tcW w:w="1163" w:type="dxa"/>
          </w:tcPr>
          <w:p w14:paraId="25A702FD" w14:textId="220F1D42" w:rsidR="008239D4" w:rsidRDefault="008239D4" w:rsidP="00717FB3">
            <w:pPr>
              <w:pStyle w:val="TableHeading"/>
              <w:ind w:right="113"/>
              <w:jc w:val="right"/>
            </w:pPr>
            <w:r w:rsidRPr="00EC7910">
              <w:t>Total</w:t>
            </w:r>
          </w:p>
        </w:tc>
      </w:tr>
      <w:tr w:rsidR="009A028E" w14:paraId="4DE4C135" w14:textId="77777777" w:rsidTr="002B02CF">
        <w:trPr>
          <w:cnfStyle w:val="000000100000" w:firstRow="0" w:lastRow="0" w:firstColumn="0" w:lastColumn="0" w:oddVBand="0" w:evenVBand="0" w:oddHBand="1" w:evenHBand="0" w:firstRowFirstColumn="0" w:firstRowLastColumn="0" w:lastRowFirstColumn="0" w:lastRowLastColumn="0"/>
        </w:trPr>
        <w:tc>
          <w:tcPr>
            <w:tcW w:w="3402" w:type="dxa"/>
          </w:tcPr>
          <w:p w14:paraId="5C332DF1" w14:textId="152E9106" w:rsidR="009A028E" w:rsidRPr="00717FB3" w:rsidRDefault="009A028E" w:rsidP="009A028E">
            <w:pPr>
              <w:pStyle w:val="TableBody"/>
              <w:rPr>
                <w:b/>
                <w:bCs/>
              </w:rPr>
            </w:pPr>
            <w:r w:rsidRPr="00717FB3">
              <w:rPr>
                <w:b/>
                <w:bCs/>
              </w:rPr>
              <w:t>Controllable operating expenditure</w:t>
            </w:r>
          </w:p>
        </w:tc>
        <w:tc>
          <w:tcPr>
            <w:tcW w:w="1162" w:type="dxa"/>
          </w:tcPr>
          <w:p w14:paraId="049168FB" w14:textId="6C0CC1F1" w:rsidR="009A028E" w:rsidRPr="007E4CD5" w:rsidRDefault="009A028E" w:rsidP="009A028E">
            <w:pPr>
              <w:pStyle w:val="TableBody"/>
              <w:ind w:right="113"/>
              <w:jc w:val="right"/>
              <w:rPr>
                <w:b/>
              </w:rPr>
            </w:pPr>
            <w:r w:rsidRPr="007E4CD5">
              <w:rPr>
                <w:b/>
              </w:rPr>
              <w:t>200.47</w:t>
            </w:r>
          </w:p>
        </w:tc>
        <w:tc>
          <w:tcPr>
            <w:tcW w:w="1162" w:type="dxa"/>
          </w:tcPr>
          <w:p w14:paraId="5975168F" w14:textId="40792866" w:rsidR="009A028E" w:rsidRPr="007E4CD5" w:rsidRDefault="009A028E" w:rsidP="009A028E">
            <w:pPr>
              <w:pStyle w:val="TableBody"/>
              <w:ind w:right="113"/>
              <w:jc w:val="right"/>
              <w:rPr>
                <w:b/>
              </w:rPr>
            </w:pPr>
            <w:r w:rsidRPr="007E4CD5">
              <w:rPr>
                <w:b/>
              </w:rPr>
              <w:t>200.83</w:t>
            </w:r>
          </w:p>
        </w:tc>
        <w:tc>
          <w:tcPr>
            <w:tcW w:w="1163" w:type="dxa"/>
          </w:tcPr>
          <w:p w14:paraId="7BEF60AF" w14:textId="030FA68D" w:rsidR="009A028E" w:rsidRPr="007E4CD5" w:rsidRDefault="009A028E" w:rsidP="009A028E">
            <w:pPr>
              <w:pStyle w:val="TableBody"/>
              <w:ind w:right="113"/>
              <w:jc w:val="right"/>
              <w:rPr>
                <w:b/>
              </w:rPr>
            </w:pPr>
            <w:r w:rsidRPr="007E4CD5">
              <w:rPr>
                <w:b/>
              </w:rPr>
              <w:t>201.32</w:t>
            </w:r>
          </w:p>
        </w:tc>
        <w:tc>
          <w:tcPr>
            <w:tcW w:w="1162" w:type="dxa"/>
          </w:tcPr>
          <w:p w14:paraId="295D19A1" w14:textId="0A752C5E" w:rsidR="009A028E" w:rsidRPr="007E4CD5" w:rsidRDefault="009A028E" w:rsidP="009A028E">
            <w:pPr>
              <w:pStyle w:val="TableBody"/>
              <w:ind w:right="113"/>
              <w:jc w:val="right"/>
              <w:rPr>
                <w:b/>
              </w:rPr>
            </w:pPr>
            <w:r w:rsidRPr="007E4CD5">
              <w:rPr>
                <w:b/>
              </w:rPr>
              <w:t>202.66</w:t>
            </w:r>
          </w:p>
        </w:tc>
        <w:tc>
          <w:tcPr>
            <w:tcW w:w="1163" w:type="dxa"/>
          </w:tcPr>
          <w:p w14:paraId="73ACF94C" w14:textId="4C33CE05" w:rsidR="009A028E" w:rsidRPr="007E4CD5" w:rsidRDefault="009A028E" w:rsidP="009A028E">
            <w:pPr>
              <w:pStyle w:val="TableBody"/>
              <w:ind w:right="113"/>
              <w:jc w:val="right"/>
              <w:rPr>
                <w:b/>
              </w:rPr>
            </w:pPr>
            <w:r w:rsidRPr="007E4CD5">
              <w:rPr>
                <w:b/>
              </w:rPr>
              <w:t>805.27</w:t>
            </w:r>
          </w:p>
        </w:tc>
      </w:tr>
      <w:tr w:rsidR="009A028E" w14:paraId="17E7DCEC" w14:textId="77777777" w:rsidTr="002B02CF">
        <w:trPr>
          <w:cnfStyle w:val="000000010000" w:firstRow="0" w:lastRow="0" w:firstColumn="0" w:lastColumn="0" w:oddVBand="0" w:evenVBand="0" w:oddHBand="0" w:evenHBand="1" w:firstRowFirstColumn="0" w:firstRowLastColumn="0" w:lastRowFirstColumn="0" w:lastRowLastColumn="0"/>
        </w:trPr>
        <w:tc>
          <w:tcPr>
            <w:tcW w:w="3402" w:type="dxa"/>
          </w:tcPr>
          <w:p w14:paraId="5BD4FDF8" w14:textId="56F26DD7" w:rsidR="009A028E" w:rsidRPr="00717FB3" w:rsidRDefault="009A028E" w:rsidP="009A028E">
            <w:pPr>
              <w:pStyle w:val="TableBody"/>
              <w:rPr>
                <w:b/>
                <w:bCs/>
              </w:rPr>
            </w:pPr>
            <w:r w:rsidRPr="00717FB3">
              <w:rPr>
                <w:b/>
                <w:bCs/>
              </w:rPr>
              <w:t>Non</w:t>
            </w:r>
            <w:r>
              <w:rPr>
                <w:b/>
                <w:bCs/>
              </w:rPr>
              <w:noBreakHyphen/>
            </w:r>
            <w:r w:rsidRPr="00717FB3">
              <w:rPr>
                <w:b/>
                <w:bCs/>
              </w:rPr>
              <w:t>controllable operating expenditure</w:t>
            </w:r>
          </w:p>
        </w:tc>
        <w:tc>
          <w:tcPr>
            <w:tcW w:w="1162" w:type="dxa"/>
          </w:tcPr>
          <w:p w14:paraId="099147CB" w14:textId="7A73654D" w:rsidR="009A028E" w:rsidRPr="007E4CD5" w:rsidRDefault="009A028E" w:rsidP="009A028E">
            <w:pPr>
              <w:pStyle w:val="TableBody"/>
              <w:ind w:right="113"/>
              <w:jc w:val="right"/>
              <w:rPr>
                <w:b/>
              </w:rPr>
            </w:pPr>
            <w:r w:rsidRPr="007E4CD5">
              <w:rPr>
                <w:b/>
              </w:rPr>
              <w:t>410.33</w:t>
            </w:r>
          </w:p>
        </w:tc>
        <w:tc>
          <w:tcPr>
            <w:tcW w:w="1162" w:type="dxa"/>
          </w:tcPr>
          <w:p w14:paraId="257BFF47" w14:textId="3802478A" w:rsidR="009A028E" w:rsidRPr="007E4CD5" w:rsidRDefault="009A028E" w:rsidP="009A028E">
            <w:pPr>
              <w:pStyle w:val="TableBody"/>
              <w:ind w:right="113"/>
              <w:jc w:val="right"/>
              <w:rPr>
                <w:b/>
              </w:rPr>
            </w:pPr>
            <w:r w:rsidRPr="007E4CD5">
              <w:rPr>
                <w:b/>
              </w:rPr>
              <w:t>411.96</w:t>
            </w:r>
          </w:p>
        </w:tc>
        <w:tc>
          <w:tcPr>
            <w:tcW w:w="1163" w:type="dxa"/>
          </w:tcPr>
          <w:p w14:paraId="20FD1A0A" w14:textId="4A7F49AE" w:rsidR="009A028E" w:rsidRPr="007E4CD5" w:rsidRDefault="009A028E" w:rsidP="009A028E">
            <w:pPr>
              <w:pStyle w:val="TableBody"/>
              <w:ind w:right="113"/>
              <w:jc w:val="right"/>
              <w:rPr>
                <w:b/>
              </w:rPr>
            </w:pPr>
            <w:r w:rsidRPr="007E4CD5">
              <w:rPr>
                <w:b/>
              </w:rPr>
              <w:t>411.60</w:t>
            </w:r>
          </w:p>
        </w:tc>
        <w:tc>
          <w:tcPr>
            <w:tcW w:w="1162" w:type="dxa"/>
          </w:tcPr>
          <w:p w14:paraId="28DCC3E8" w14:textId="103A7C2B" w:rsidR="009A028E" w:rsidRPr="007E4CD5" w:rsidRDefault="009A028E" w:rsidP="009A028E">
            <w:pPr>
              <w:pStyle w:val="TableBody"/>
              <w:ind w:right="113"/>
              <w:jc w:val="right"/>
              <w:rPr>
                <w:b/>
              </w:rPr>
            </w:pPr>
            <w:r w:rsidRPr="007E4CD5">
              <w:rPr>
                <w:b/>
              </w:rPr>
              <w:t>412.38</w:t>
            </w:r>
          </w:p>
        </w:tc>
        <w:tc>
          <w:tcPr>
            <w:tcW w:w="1163" w:type="dxa"/>
          </w:tcPr>
          <w:p w14:paraId="38545FB1" w14:textId="2EBA3CF0" w:rsidR="009A028E" w:rsidRPr="007E4CD5" w:rsidRDefault="009A028E" w:rsidP="009A028E">
            <w:pPr>
              <w:pStyle w:val="TableBody"/>
              <w:ind w:right="113"/>
              <w:jc w:val="right"/>
              <w:rPr>
                <w:b/>
              </w:rPr>
            </w:pPr>
            <w:r w:rsidRPr="007E4CD5">
              <w:rPr>
                <w:b/>
              </w:rPr>
              <w:t>1,646.27</w:t>
            </w:r>
          </w:p>
        </w:tc>
      </w:tr>
      <w:tr w:rsidR="009A028E" w14:paraId="0BEC7CD9" w14:textId="77777777" w:rsidTr="002B02CF">
        <w:trPr>
          <w:cnfStyle w:val="000000100000" w:firstRow="0" w:lastRow="0" w:firstColumn="0" w:lastColumn="0" w:oddVBand="0" w:evenVBand="0" w:oddHBand="1" w:evenHBand="0" w:firstRowFirstColumn="0" w:firstRowLastColumn="0" w:lastRowFirstColumn="0" w:lastRowLastColumn="0"/>
        </w:trPr>
        <w:tc>
          <w:tcPr>
            <w:tcW w:w="3402" w:type="dxa"/>
          </w:tcPr>
          <w:p w14:paraId="3513187C" w14:textId="27F02F9B" w:rsidR="009A028E" w:rsidRDefault="009A028E" w:rsidP="009A028E">
            <w:pPr>
              <w:pStyle w:val="TableBody"/>
              <w:ind w:left="194"/>
            </w:pPr>
            <w:r w:rsidRPr="005C4D35">
              <w:t xml:space="preserve">Bulk </w:t>
            </w:r>
            <w:proofErr w:type="spellStart"/>
            <w:r w:rsidRPr="005C4D35">
              <w:t>services</w:t>
            </w:r>
            <w:r w:rsidRPr="00717FB3">
              <w:rPr>
                <w:b/>
                <w:bCs/>
                <w:vertAlign w:val="superscript"/>
              </w:rPr>
              <w:t>a</w:t>
            </w:r>
            <w:proofErr w:type="spellEnd"/>
          </w:p>
        </w:tc>
        <w:tc>
          <w:tcPr>
            <w:tcW w:w="1162" w:type="dxa"/>
          </w:tcPr>
          <w:p w14:paraId="4C16CA79" w14:textId="39C08952" w:rsidR="009A028E" w:rsidRPr="007E4CD5" w:rsidRDefault="009A028E" w:rsidP="009A028E">
            <w:pPr>
              <w:pStyle w:val="TableBody"/>
              <w:ind w:right="113"/>
              <w:jc w:val="right"/>
            </w:pPr>
            <w:r w:rsidRPr="007E4CD5">
              <w:t>376.52</w:t>
            </w:r>
          </w:p>
        </w:tc>
        <w:tc>
          <w:tcPr>
            <w:tcW w:w="1162" w:type="dxa"/>
          </w:tcPr>
          <w:p w14:paraId="21626777" w14:textId="2A60E93B" w:rsidR="009A028E" w:rsidRPr="007E4CD5" w:rsidRDefault="009A028E" w:rsidP="009A028E">
            <w:pPr>
              <w:pStyle w:val="TableBody"/>
              <w:ind w:right="113"/>
              <w:jc w:val="right"/>
            </w:pPr>
            <w:r w:rsidRPr="007E4CD5">
              <w:t>379.10</w:t>
            </w:r>
          </w:p>
        </w:tc>
        <w:tc>
          <w:tcPr>
            <w:tcW w:w="1163" w:type="dxa"/>
          </w:tcPr>
          <w:p w14:paraId="5727FC19" w14:textId="62E03920" w:rsidR="009A028E" w:rsidRPr="007E4CD5" w:rsidRDefault="009A028E" w:rsidP="009A028E">
            <w:pPr>
              <w:pStyle w:val="TableBody"/>
              <w:ind w:right="113"/>
              <w:jc w:val="right"/>
            </w:pPr>
            <w:r w:rsidRPr="007E4CD5">
              <w:t>379.68</w:t>
            </w:r>
          </w:p>
        </w:tc>
        <w:tc>
          <w:tcPr>
            <w:tcW w:w="1162" w:type="dxa"/>
          </w:tcPr>
          <w:p w14:paraId="33FF29F1" w14:textId="4EFC5F69" w:rsidR="009A028E" w:rsidRPr="007E4CD5" w:rsidRDefault="009A028E" w:rsidP="009A028E">
            <w:pPr>
              <w:pStyle w:val="TableBody"/>
              <w:ind w:right="113"/>
              <w:jc w:val="right"/>
            </w:pPr>
            <w:r w:rsidRPr="007E4CD5">
              <w:t>381.36</w:t>
            </w:r>
          </w:p>
        </w:tc>
        <w:tc>
          <w:tcPr>
            <w:tcW w:w="1163" w:type="dxa"/>
          </w:tcPr>
          <w:p w14:paraId="5EF8DABD" w14:textId="42E5105E" w:rsidR="009A028E" w:rsidRPr="007E4CD5" w:rsidRDefault="009A028E" w:rsidP="009A028E">
            <w:pPr>
              <w:pStyle w:val="TableBody"/>
              <w:ind w:right="113"/>
              <w:jc w:val="right"/>
            </w:pPr>
            <w:r w:rsidRPr="007E4CD5">
              <w:t>1,516.66</w:t>
            </w:r>
          </w:p>
        </w:tc>
      </w:tr>
      <w:tr w:rsidR="009A028E" w14:paraId="46583758" w14:textId="77777777" w:rsidTr="002B02CF">
        <w:trPr>
          <w:cnfStyle w:val="000000010000" w:firstRow="0" w:lastRow="0" w:firstColumn="0" w:lastColumn="0" w:oddVBand="0" w:evenVBand="0" w:oddHBand="0" w:evenHBand="1" w:firstRowFirstColumn="0" w:firstRowLastColumn="0" w:lastRowFirstColumn="0" w:lastRowLastColumn="0"/>
        </w:trPr>
        <w:tc>
          <w:tcPr>
            <w:tcW w:w="3402" w:type="dxa"/>
          </w:tcPr>
          <w:p w14:paraId="0A7E51CC" w14:textId="445F202E" w:rsidR="009A028E" w:rsidRDefault="009A028E" w:rsidP="009A028E">
            <w:pPr>
              <w:pStyle w:val="TableBody"/>
              <w:ind w:left="194"/>
            </w:pPr>
            <w:r w:rsidRPr="005C4D35">
              <w:t xml:space="preserve">Environmental </w:t>
            </w:r>
            <w:proofErr w:type="spellStart"/>
            <w:r w:rsidRPr="005C4D35">
              <w:t>contribution</w:t>
            </w:r>
            <w:r w:rsidRPr="00717FB3">
              <w:rPr>
                <w:b/>
                <w:bCs/>
                <w:vertAlign w:val="superscript"/>
              </w:rPr>
              <w:t>b</w:t>
            </w:r>
            <w:proofErr w:type="spellEnd"/>
          </w:p>
        </w:tc>
        <w:tc>
          <w:tcPr>
            <w:tcW w:w="1162" w:type="dxa"/>
          </w:tcPr>
          <w:p w14:paraId="56D9F638" w14:textId="68B1BC17" w:rsidR="009A028E" w:rsidRPr="007E4CD5" w:rsidRDefault="009A028E" w:rsidP="009A028E">
            <w:pPr>
              <w:pStyle w:val="TableBody"/>
              <w:ind w:right="113"/>
              <w:jc w:val="right"/>
            </w:pPr>
            <w:r w:rsidRPr="007E4CD5">
              <w:t>32.92</w:t>
            </w:r>
          </w:p>
        </w:tc>
        <w:tc>
          <w:tcPr>
            <w:tcW w:w="1162" w:type="dxa"/>
          </w:tcPr>
          <w:p w14:paraId="02C7ADA5" w14:textId="0589A550" w:rsidR="009A028E" w:rsidRPr="007E4CD5" w:rsidRDefault="009A028E" w:rsidP="009A028E">
            <w:pPr>
              <w:pStyle w:val="TableBody"/>
              <w:ind w:right="113"/>
              <w:jc w:val="right"/>
            </w:pPr>
            <w:r w:rsidRPr="007E4CD5">
              <w:t>31.97</w:t>
            </w:r>
          </w:p>
        </w:tc>
        <w:tc>
          <w:tcPr>
            <w:tcW w:w="1163" w:type="dxa"/>
          </w:tcPr>
          <w:p w14:paraId="415D4A9D" w14:textId="0C979135" w:rsidR="009A028E" w:rsidRPr="007E4CD5" w:rsidRDefault="009A028E" w:rsidP="009A028E">
            <w:pPr>
              <w:pStyle w:val="TableBody"/>
              <w:ind w:right="113"/>
              <w:jc w:val="right"/>
            </w:pPr>
            <w:r w:rsidRPr="007E4CD5">
              <w:t>31.03</w:t>
            </w:r>
          </w:p>
        </w:tc>
        <w:tc>
          <w:tcPr>
            <w:tcW w:w="1162" w:type="dxa"/>
          </w:tcPr>
          <w:p w14:paraId="3304414E" w14:textId="2DAA5900" w:rsidR="009A028E" w:rsidRPr="007E4CD5" w:rsidRDefault="009A028E" w:rsidP="009A028E">
            <w:pPr>
              <w:pStyle w:val="TableBody"/>
              <w:ind w:right="113"/>
              <w:jc w:val="right"/>
            </w:pPr>
            <w:r w:rsidRPr="007E4CD5">
              <w:t>30.13</w:t>
            </w:r>
          </w:p>
        </w:tc>
        <w:tc>
          <w:tcPr>
            <w:tcW w:w="1163" w:type="dxa"/>
          </w:tcPr>
          <w:p w14:paraId="454A16C4" w14:textId="7B25180F" w:rsidR="009A028E" w:rsidRPr="007E4CD5" w:rsidRDefault="009A028E" w:rsidP="009A028E">
            <w:pPr>
              <w:pStyle w:val="TableBody"/>
              <w:ind w:right="113"/>
              <w:jc w:val="right"/>
            </w:pPr>
            <w:r w:rsidRPr="007E4CD5">
              <w:t>126.05</w:t>
            </w:r>
          </w:p>
        </w:tc>
      </w:tr>
      <w:tr w:rsidR="009A028E" w14:paraId="733D4188" w14:textId="77777777" w:rsidTr="002B02CF">
        <w:trPr>
          <w:cnfStyle w:val="000000100000" w:firstRow="0" w:lastRow="0" w:firstColumn="0" w:lastColumn="0" w:oddVBand="0" w:evenVBand="0" w:oddHBand="1" w:evenHBand="0" w:firstRowFirstColumn="0" w:firstRowLastColumn="0" w:lastRowFirstColumn="0" w:lastRowLastColumn="0"/>
        </w:trPr>
        <w:tc>
          <w:tcPr>
            <w:tcW w:w="3402" w:type="dxa"/>
          </w:tcPr>
          <w:p w14:paraId="414FF227" w14:textId="10625A82" w:rsidR="009A028E" w:rsidRDefault="009A028E" w:rsidP="009A028E">
            <w:pPr>
              <w:pStyle w:val="TableBody"/>
              <w:ind w:left="194"/>
            </w:pPr>
            <w:proofErr w:type="spellStart"/>
            <w:r w:rsidRPr="005C4D35">
              <w:t>Licence</w:t>
            </w:r>
            <w:proofErr w:type="spellEnd"/>
            <w:r w:rsidRPr="005C4D35">
              <w:t xml:space="preserve"> fees – Essential Services </w:t>
            </w:r>
            <w:proofErr w:type="spellStart"/>
            <w:r w:rsidRPr="005C4D35">
              <w:t>Commission</w:t>
            </w:r>
            <w:r w:rsidRPr="00296BE8">
              <w:rPr>
                <w:b/>
                <w:bCs/>
                <w:vertAlign w:val="superscript"/>
              </w:rPr>
              <w:t>c</w:t>
            </w:r>
            <w:proofErr w:type="spellEnd"/>
          </w:p>
        </w:tc>
        <w:tc>
          <w:tcPr>
            <w:tcW w:w="1162" w:type="dxa"/>
          </w:tcPr>
          <w:p w14:paraId="102927A1" w14:textId="5918E717" w:rsidR="009A028E" w:rsidRPr="007E4CD5" w:rsidRDefault="009A028E" w:rsidP="009A028E">
            <w:pPr>
              <w:pStyle w:val="TableBody"/>
              <w:ind w:right="113"/>
              <w:jc w:val="right"/>
            </w:pPr>
            <w:r w:rsidRPr="007E4CD5">
              <w:t xml:space="preserve"> 0.56 </w:t>
            </w:r>
          </w:p>
        </w:tc>
        <w:tc>
          <w:tcPr>
            <w:tcW w:w="1162" w:type="dxa"/>
          </w:tcPr>
          <w:p w14:paraId="15E20928" w14:textId="2B665012" w:rsidR="009A028E" w:rsidRPr="007E4CD5" w:rsidRDefault="009A028E" w:rsidP="009A028E">
            <w:pPr>
              <w:pStyle w:val="TableBody"/>
              <w:ind w:right="113"/>
              <w:jc w:val="right"/>
            </w:pPr>
            <w:r w:rsidRPr="007E4CD5">
              <w:t xml:space="preserve"> 0.56 </w:t>
            </w:r>
          </w:p>
        </w:tc>
        <w:tc>
          <w:tcPr>
            <w:tcW w:w="1163" w:type="dxa"/>
          </w:tcPr>
          <w:p w14:paraId="1B8609D1" w14:textId="0F1A9FE7" w:rsidR="009A028E" w:rsidRPr="007E4CD5" w:rsidRDefault="009A028E" w:rsidP="009A028E">
            <w:pPr>
              <w:pStyle w:val="TableBody"/>
              <w:ind w:right="113"/>
              <w:jc w:val="right"/>
            </w:pPr>
            <w:r w:rsidRPr="007E4CD5">
              <w:t xml:space="preserve"> 0.56 </w:t>
            </w:r>
          </w:p>
        </w:tc>
        <w:tc>
          <w:tcPr>
            <w:tcW w:w="1162" w:type="dxa"/>
          </w:tcPr>
          <w:p w14:paraId="003358F1" w14:textId="0B7520D6" w:rsidR="009A028E" w:rsidRPr="007E4CD5" w:rsidRDefault="009A028E" w:rsidP="009A028E">
            <w:pPr>
              <w:pStyle w:val="TableBody"/>
              <w:ind w:right="113"/>
              <w:jc w:val="right"/>
            </w:pPr>
            <w:r w:rsidRPr="007E4CD5">
              <w:t xml:space="preserve"> 0.56 </w:t>
            </w:r>
          </w:p>
        </w:tc>
        <w:tc>
          <w:tcPr>
            <w:tcW w:w="1163" w:type="dxa"/>
          </w:tcPr>
          <w:p w14:paraId="4CE7CA00" w14:textId="277962E6" w:rsidR="009A028E" w:rsidRPr="007E4CD5" w:rsidRDefault="009A028E" w:rsidP="009A028E">
            <w:pPr>
              <w:pStyle w:val="TableBody"/>
              <w:ind w:right="113"/>
              <w:jc w:val="right"/>
            </w:pPr>
            <w:r w:rsidRPr="007E4CD5">
              <w:t>2.26</w:t>
            </w:r>
          </w:p>
        </w:tc>
      </w:tr>
      <w:tr w:rsidR="009A028E" w14:paraId="24BA3554" w14:textId="77777777" w:rsidTr="002B02CF">
        <w:trPr>
          <w:cnfStyle w:val="000000010000" w:firstRow="0" w:lastRow="0" w:firstColumn="0" w:lastColumn="0" w:oddVBand="0" w:evenVBand="0" w:oddHBand="0" w:evenHBand="1" w:firstRowFirstColumn="0" w:firstRowLastColumn="0" w:lastRowFirstColumn="0" w:lastRowLastColumn="0"/>
        </w:trPr>
        <w:tc>
          <w:tcPr>
            <w:tcW w:w="3402" w:type="dxa"/>
          </w:tcPr>
          <w:p w14:paraId="1007FD57" w14:textId="2836DFE1" w:rsidR="009A028E" w:rsidRDefault="009A028E" w:rsidP="009A028E">
            <w:pPr>
              <w:pStyle w:val="TableBody"/>
              <w:ind w:left="194"/>
            </w:pPr>
            <w:proofErr w:type="spellStart"/>
            <w:r w:rsidRPr="005C4D35">
              <w:t>Licence</w:t>
            </w:r>
            <w:proofErr w:type="spellEnd"/>
            <w:r w:rsidRPr="005C4D35">
              <w:t xml:space="preserve"> fees – Department of </w:t>
            </w:r>
            <w:proofErr w:type="spellStart"/>
            <w:r w:rsidRPr="005C4D35">
              <w:t>Health</w:t>
            </w:r>
            <w:r w:rsidRPr="00717FB3">
              <w:rPr>
                <w:b/>
                <w:bCs/>
                <w:vertAlign w:val="superscript"/>
              </w:rPr>
              <w:t>c</w:t>
            </w:r>
            <w:proofErr w:type="spellEnd"/>
          </w:p>
        </w:tc>
        <w:tc>
          <w:tcPr>
            <w:tcW w:w="1162" w:type="dxa"/>
          </w:tcPr>
          <w:p w14:paraId="02D158F6" w14:textId="76D3CB06" w:rsidR="009A028E" w:rsidRPr="007E4CD5" w:rsidRDefault="009A028E" w:rsidP="009A028E">
            <w:pPr>
              <w:pStyle w:val="TableBody"/>
              <w:ind w:right="113"/>
              <w:jc w:val="right"/>
            </w:pPr>
            <w:r w:rsidRPr="007E4CD5">
              <w:t xml:space="preserve"> 0.14 </w:t>
            </w:r>
          </w:p>
        </w:tc>
        <w:tc>
          <w:tcPr>
            <w:tcW w:w="1162" w:type="dxa"/>
          </w:tcPr>
          <w:p w14:paraId="344E94FB" w14:textId="36208B3C" w:rsidR="009A028E" w:rsidRPr="007E4CD5" w:rsidRDefault="009A028E" w:rsidP="009A028E">
            <w:pPr>
              <w:pStyle w:val="TableBody"/>
              <w:ind w:right="113"/>
              <w:jc w:val="right"/>
            </w:pPr>
            <w:r w:rsidRPr="007E4CD5">
              <w:t xml:space="preserve"> 0.14 </w:t>
            </w:r>
          </w:p>
        </w:tc>
        <w:tc>
          <w:tcPr>
            <w:tcW w:w="1163" w:type="dxa"/>
          </w:tcPr>
          <w:p w14:paraId="45B64331" w14:textId="198A3F90" w:rsidR="009A028E" w:rsidRPr="007E4CD5" w:rsidRDefault="009A028E" w:rsidP="009A028E">
            <w:pPr>
              <w:pStyle w:val="TableBody"/>
              <w:ind w:right="113"/>
              <w:jc w:val="right"/>
            </w:pPr>
            <w:r w:rsidRPr="007E4CD5">
              <w:t xml:space="preserve"> 0.14 </w:t>
            </w:r>
          </w:p>
        </w:tc>
        <w:tc>
          <w:tcPr>
            <w:tcW w:w="1162" w:type="dxa"/>
          </w:tcPr>
          <w:p w14:paraId="7C3C8FC1" w14:textId="67B524B8" w:rsidR="009A028E" w:rsidRPr="007E4CD5" w:rsidRDefault="009A028E" w:rsidP="009A028E">
            <w:pPr>
              <w:pStyle w:val="TableBody"/>
              <w:ind w:right="113"/>
              <w:jc w:val="right"/>
            </w:pPr>
            <w:r w:rsidRPr="007E4CD5">
              <w:t xml:space="preserve"> 0.14 </w:t>
            </w:r>
          </w:p>
        </w:tc>
        <w:tc>
          <w:tcPr>
            <w:tcW w:w="1163" w:type="dxa"/>
          </w:tcPr>
          <w:p w14:paraId="3A63E0F7" w14:textId="2B4E8388" w:rsidR="009A028E" w:rsidRPr="007E4CD5" w:rsidRDefault="009A028E" w:rsidP="009A028E">
            <w:pPr>
              <w:pStyle w:val="TableBody"/>
              <w:ind w:right="113"/>
              <w:jc w:val="right"/>
            </w:pPr>
            <w:r w:rsidRPr="007E4CD5">
              <w:t>0.54</w:t>
            </w:r>
          </w:p>
        </w:tc>
      </w:tr>
      <w:tr w:rsidR="009A028E" w14:paraId="48F8CF5B" w14:textId="77777777" w:rsidTr="002B02CF">
        <w:trPr>
          <w:cnfStyle w:val="000000100000" w:firstRow="0" w:lastRow="0" w:firstColumn="0" w:lastColumn="0" w:oddVBand="0" w:evenVBand="0" w:oddHBand="1" w:evenHBand="0" w:firstRowFirstColumn="0" w:firstRowLastColumn="0" w:lastRowFirstColumn="0" w:lastRowLastColumn="0"/>
        </w:trPr>
        <w:tc>
          <w:tcPr>
            <w:tcW w:w="3402" w:type="dxa"/>
          </w:tcPr>
          <w:p w14:paraId="169CA9F1" w14:textId="5C378C7C" w:rsidR="009A028E" w:rsidRDefault="009A028E" w:rsidP="009A028E">
            <w:pPr>
              <w:pStyle w:val="TableBody"/>
              <w:ind w:left="194"/>
            </w:pPr>
            <w:proofErr w:type="spellStart"/>
            <w:r w:rsidRPr="005C4D35">
              <w:t>Licence</w:t>
            </w:r>
            <w:proofErr w:type="spellEnd"/>
            <w:r w:rsidRPr="005C4D35">
              <w:t xml:space="preserve"> fees – Environmental Protection </w:t>
            </w:r>
            <w:proofErr w:type="spellStart"/>
            <w:r w:rsidRPr="005C4D35">
              <w:t>Authority</w:t>
            </w:r>
            <w:r w:rsidRPr="00296BE8">
              <w:rPr>
                <w:b/>
                <w:bCs/>
                <w:vertAlign w:val="superscript"/>
              </w:rPr>
              <w:t>c</w:t>
            </w:r>
            <w:proofErr w:type="spellEnd"/>
          </w:p>
        </w:tc>
        <w:tc>
          <w:tcPr>
            <w:tcW w:w="1162" w:type="dxa"/>
          </w:tcPr>
          <w:p w14:paraId="3A760926" w14:textId="7E18C654" w:rsidR="009A028E" w:rsidRPr="007E4CD5" w:rsidRDefault="009A028E" w:rsidP="009A028E">
            <w:pPr>
              <w:pStyle w:val="TableBody"/>
              <w:ind w:right="113"/>
              <w:jc w:val="right"/>
            </w:pPr>
            <w:r w:rsidRPr="007E4CD5">
              <w:t xml:space="preserve"> 0.19 </w:t>
            </w:r>
          </w:p>
        </w:tc>
        <w:tc>
          <w:tcPr>
            <w:tcW w:w="1162" w:type="dxa"/>
          </w:tcPr>
          <w:p w14:paraId="5D49C64D" w14:textId="177D8120" w:rsidR="009A028E" w:rsidRPr="007E4CD5" w:rsidRDefault="009A028E" w:rsidP="009A028E">
            <w:pPr>
              <w:pStyle w:val="TableBody"/>
              <w:ind w:right="113"/>
              <w:jc w:val="right"/>
            </w:pPr>
            <w:r w:rsidRPr="007E4CD5">
              <w:t xml:space="preserve"> 0.19 </w:t>
            </w:r>
          </w:p>
        </w:tc>
        <w:tc>
          <w:tcPr>
            <w:tcW w:w="1163" w:type="dxa"/>
          </w:tcPr>
          <w:p w14:paraId="72496D75" w14:textId="44CF5ECC" w:rsidR="009A028E" w:rsidRPr="007E4CD5" w:rsidRDefault="009A028E" w:rsidP="009A028E">
            <w:pPr>
              <w:pStyle w:val="TableBody"/>
              <w:ind w:right="113"/>
              <w:jc w:val="right"/>
            </w:pPr>
            <w:r w:rsidRPr="007E4CD5">
              <w:t xml:space="preserve"> 0.19 </w:t>
            </w:r>
          </w:p>
        </w:tc>
        <w:tc>
          <w:tcPr>
            <w:tcW w:w="1162" w:type="dxa"/>
          </w:tcPr>
          <w:p w14:paraId="05F91A84" w14:textId="62749E76" w:rsidR="009A028E" w:rsidRPr="007E4CD5" w:rsidRDefault="009A028E" w:rsidP="009A028E">
            <w:pPr>
              <w:pStyle w:val="TableBody"/>
              <w:ind w:right="113"/>
              <w:jc w:val="right"/>
            </w:pPr>
            <w:r w:rsidRPr="007E4CD5">
              <w:t xml:space="preserve"> 0.19 </w:t>
            </w:r>
          </w:p>
        </w:tc>
        <w:tc>
          <w:tcPr>
            <w:tcW w:w="1163" w:type="dxa"/>
          </w:tcPr>
          <w:p w14:paraId="407AFAEB" w14:textId="2EEFF35A" w:rsidR="009A028E" w:rsidRPr="007E4CD5" w:rsidRDefault="009A028E" w:rsidP="009A028E">
            <w:pPr>
              <w:pStyle w:val="TableBody"/>
              <w:ind w:right="113"/>
              <w:jc w:val="right"/>
            </w:pPr>
            <w:r w:rsidRPr="007E4CD5">
              <w:t>0.76</w:t>
            </w:r>
          </w:p>
        </w:tc>
      </w:tr>
      <w:tr w:rsidR="009A028E" w14:paraId="0A83B3DB" w14:textId="77777777" w:rsidTr="002B02CF">
        <w:trPr>
          <w:cnfStyle w:val="000000010000" w:firstRow="0" w:lastRow="0" w:firstColumn="0" w:lastColumn="0" w:oddVBand="0" w:evenVBand="0" w:oddHBand="0" w:evenHBand="1" w:firstRowFirstColumn="0" w:firstRowLastColumn="0" w:lastRowFirstColumn="0" w:lastRowLastColumn="0"/>
        </w:trPr>
        <w:tc>
          <w:tcPr>
            <w:tcW w:w="3402" w:type="dxa"/>
          </w:tcPr>
          <w:p w14:paraId="6F0E9FAF" w14:textId="1CF1840E" w:rsidR="009A028E" w:rsidRPr="00717FB3" w:rsidRDefault="009A028E" w:rsidP="009A028E">
            <w:pPr>
              <w:pStyle w:val="TableBody"/>
              <w:rPr>
                <w:b/>
                <w:bCs/>
              </w:rPr>
            </w:pPr>
            <w:r w:rsidRPr="00717FB3">
              <w:rPr>
                <w:b/>
                <w:bCs/>
              </w:rPr>
              <w:t xml:space="preserve">Draft decision </w:t>
            </w:r>
            <w:r>
              <w:rPr>
                <w:b/>
                <w:bCs/>
              </w:rPr>
              <w:t>–</w:t>
            </w:r>
            <w:r w:rsidRPr="00717FB3">
              <w:rPr>
                <w:b/>
                <w:bCs/>
              </w:rPr>
              <w:t xml:space="preserve"> operating expenditure</w:t>
            </w:r>
          </w:p>
        </w:tc>
        <w:tc>
          <w:tcPr>
            <w:tcW w:w="1162" w:type="dxa"/>
          </w:tcPr>
          <w:p w14:paraId="6A6AA847" w14:textId="46579F68" w:rsidR="009A028E" w:rsidRPr="007E4CD5" w:rsidRDefault="009A028E" w:rsidP="009A028E">
            <w:pPr>
              <w:pStyle w:val="TableBody"/>
              <w:ind w:right="113"/>
              <w:jc w:val="right"/>
              <w:rPr>
                <w:b/>
              </w:rPr>
            </w:pPr>
            <w:r w:rsidRPr="007E4CD5">
              <w:rPr>
                <w:b/>
              </w:rPr>
              <w:t>610.80</w:t>
            </w:r>
          </w:p>
        </w:tc>
        <w:tc>
          <w:tcPr>
            <w:tcW w:w="1162" w:type="dxa"/>
          </w:tcPr>
          <w:p w14:paraId="18C6A16F" w14:textId="2A8B3F36" w:rsidR="009A028E" w:rsidRPr="007E4CD5" w:rsidRDefault="009A028E" w:rsidP="009A028E">
            <w:pPr>
              <w:pStyle w:val="TableBody"/>
              <w:ind w:right="113"/>
              <w:jc w:val="right"/>
              <w:rPr>
                <w:b/>
              </w:rPr>
            </w:pPr>
            <w:r w:rsidRPr="007E4CD5">
              <w:rPr>
                <w:b/>
              </w:rPr>
              <w:t>612.78</w:t>
            </w:r>
          </w:p>
        </w:tc>
        <w:tc>
          <w:tcPr>
            <w:tcW w:w="1163" w:type="dxa"/>
          </w:tcPr>
          <w:p w14:paraId="172BD98C" w14:textId="3B04B9B5" w:rsidR="009A028E" w:rsidRPr="007E4CD5" w:rsidRDefault="009A028E" w:rsidP="009A028E">
            <w:pPr>
              <w:pStyle w:val="TableBody"/>
              <w:ind w:right="113"/>
              <w:jc w:val="right"/>
              <w:rPr>
                <w:b/>
              </w:rPr>
            </w:pPr>
            <w:r w:rsidRPr="007E4CD5">
              <w:rPr>
                <w:b/>
              </w:rPr>
              <w:t>612.92</w:t>
            </w:r>
          </w:p>
        </w:tc>
        <w:tc>
          <w:tcPr>
            <w:tcW w:w="1162" w:type="dxa"/>
          </w:tcPr>
          <w:p w14:paraId="08458882" w14:textId="3F552C58" w:rsidR="009A028E" w:rsidRPr="007E4CD5" w:rsidRDefault="009A028E" w:rsidP="009A028E">
            <w:pPr>
              <w:pStyle w:val="TableBody"/>
              <w:ind w:right="113"/>
              <w:jc w:val="right"/>
              <w:rPr>
                <w:b/>
              </w:rPr>
            </w:pPr>
            <w:r w:rsidRPr="007E4CD5">
              <w:rPr>
                <w:b/>
              </w:rPr>
              <w:t>615.04</w:t>
            </w:r>
          </w:p>
        </w:tc>
        <w:tc>
          <w:tcPr>
            <w:tcW w:w="1163" w:type="dxa"/>
          </w:tcPr>
          <w:p w14:paraId="6E92A2FD" w14:textId="419312C5" w:rsidR="009A028E" w:rsidRPr="007E4CD5" w:rsidRDefault="009A028E" w:rsidP="009A028E">
            <w:pPr>
              <w:pStyle w:val="TableBody"/>
              <w:ind w:right="113"/>
              <w:jc w:val="right"/>
              <w:rPr>
                <w:b/>
              </w:rPr>
            </w:pPr>
            <w:r w:rsidRPr="007E4CD5">
              <w:rPr>
                <w:b/>
              </w:rPr>
              <w:t>2,451.54</w:t>
            </w:r>
          </w:p>
        </w:tc>
      </w:tr>
    </w:tbl>
    <w:p w14:paraId="0C6A0362" w14:textId="0D498947" w:rsidR="00A45028" w:rsidRDefault="00A45028" w:rsidP="00A45028">
      <w:pPr>
        <w:pStyle w:val="Source"/>
        <w:jc w:val="left"/>
      </w:pPr>
      <w:r w:rsidRPr="00E52047">
        <w:rPr>
          <w:b/>
          <w:bCs/>
        </w:rPr>
        <w:t>Notes:</w:t>
      </w:r>
      <w:r w:rsidRPr="00A45028">
        <w:t xml:space="preserve"> Numbers have been rounded.</w:t>
      </w:r>
      <w:r>
        <w:t xml:space="preserve"> </w:t>
      </w:r>
      <w:r w:rsidRPr="00A45028">
        <w:rPr>
          <w:b/>
          <w:bCs/>
          <w:vertAlign w:val="superscript"/>
        </w:rPr>
        <w:t>a</w:t>
      </w:r>
      <w:r>
        <w:t xml:space="preserve"> </w:t>
      </w:r>
      <w:proofErr w:type="gramStart"/>
      <w:r>
        <w:t>Bulk services</w:t>
      </w:r>
      <w:proofErr w:type="gramEnd"/>
      <w:r>
        <w:t xml:space="preserve"> covers the supply of bulk water and sewerage services. </w:t>
      </w:r>
      <w:r w:rsidRPr="00A45028">
        <w:rPr>
          <w:b/>
          <w:bCs/>
          <w:vertAlign w:val="superscript"/>
        </w:rPr>
        <w:t>b</w:t>
      </w:r>
      <w:r>
        <w:rPr>
          <w:b/>
          <w:bCs/>
          <w:vertAlign w:val="superscript"/>
        </w:rPr>
        <w:t> </w:t>
      </w:r>
      <w:r>
        <w:t xml:space="preserve">Environmental contributions are funds collected from water businesses under the </w:t>
      </w:r>
      <w:r w:rsidRPr="00D52302">
        <w:rPr>
          <w:i/>
          <w:iCs w:val="0"/>
        </w:rPr>
        <w:t>W</w:t>
      </w:r>
      <w:r w:rsidR="00387B39" w:rsidRPr="00D52302">
        <w:rPr>
          <w:i/>
          <w:iCs w:val="0"/>
        </w:rPr>
        <w:t xml:space="preserve">ater </w:t>
      </w:r>
      <w:r w:rsidRPr="00D52302">
        <w:rPr>
          <w:i/>
          <w:iCs w:val="0"/>
        </w:rPr>
        <w:t>I</w:t>
      </w:r>
      <w:r w:rsidR="00387B39" w:rsidRPr="00D52302">
        <w:rPr>
          <w:i/>
          <w:iCs w:val="0"/>
        </w:rPr>
        <w:t>ndustry</w:t>
      </w:r>
      <w:r w:rsidRPr="00D52302">
        <w:rPr>
          <w:i/>
          <w:iCs w:val="0"/>
        </w:rPr>
        <w:t xml:space="preserve"> Act</w:t>
      </w:r>
      <w:r w:rsidR="00387B39" w:rsidRPr="00D52302">
        <w:rPr>
          <w:i/>
          <w:iCs w:val="0"/>
        </w:rPr>
        <w:t xml:space="preserve"> </w:t>
      </w:r>
      <w:r w:rsidR="00EB25D6" w:rsidRPr="00D52302">
        <w:rPr>
          <w:i/>
          <w:iCs w:val="0"/>
        </w:rPr>
        <w:t>1994</w:t>
      </w:r>
      <w:r>
        <w:t xml:space="preserve">. </w:t>
      </w:r>
      <w:r w:rsidRPr="00A45028">
        <w:rPr>
          <w:b/>
          <w:bCs/>
          <w:vertAlign w:val="superscript"/>
        </w:rPr>
        <w:t>c</w:t>
      </w:r>
      <w:r>
        <w:t> Licence fees are paid to cover costs incurred by the Department of Health, the Environment Protection Authority Victoria, and the Essential Services Commission in their regulatory activities related to the water business.</w:t>
      </w:r>
    </w:p>
    <w:p w14:paraId="35BFDBEA" w14:textId="177F13BE" w:rsidR="007837E7" w:rsidRPr="007E4CD5" w:rsidRDefault="007837E7" w:rsidP="007837E7">
      <w:r w:rsidRPr="007E4CD5">
        <w:t>Table</w:t>
      </w:r>
      <w:r w:rsidR="005F0299" w:rsidRPr="007E4CD5">
        <w:t> </w:t>
      </w:r>
      <w:r w:rsidRPr="007E4CD5">
        <w:t xml:space="preserve">4.4 summarises how our draft decision on </w:t>
      </w:r>
      <w:r w:rsidR="00AA1D9F" w:rsidRPr="007E4CD5">
        <w:t>Greater Western Water</w:t>
      </w:r>
      <w:r w:rsidRPr="007E4CD5">
        <w:t xml:space="preserve">’s operating expenditure (row D) and its two components differ from the operating expenditure proposed by </w:t>
      </w:r>
      <w:r w:rsidR="00AA1D9F" w:rsidRPr="007E4CD5">
        <w:t>Greater Western Water</w:t>
      </w:r>
      <w:r w:rsidRPr="007E4CD5">
        <w:t xml:space="preserve"> in its price submission (row A). Rows B and C of the table summarise our proposed adjustments to </w:t>
      </w:r>
      <w:r w:rsidR="00AA1D9F" w:rsidRPr="007E4CD5">
        <w:t>Greater Western Water</w:t>
      </w:r>
      <w:r w:rsidRPr="007E4CD5">
        <w:t>’s proposed controllable and non</w:t>
      </w:r>
      <w:r w:rsidR="006761A1" w:rsidRPr="007E4CD5">
        <w:noBreakHyphen/>
      </w:r>
      <w:r w:rsidRPr="007E4CD5">
        <w:t xml:space="preserve">controllable operating </w:t>
      </w:r>
      <w:r w:rsidRPr="00290088">
        <w:t>expenditure</w:t>
      </w:r>
      <w:r w:rsidR="004B6704" w:rsidRPr="00290088">
        <w:t xml:space="preserve"> (</w:t>
      </w:r>
      <w:r w:rsidR="00BE13DD" w:rsidRPr="00290088">
        <w:t xml:space="preserve">the </w:t>
      </w:r>
      <w:r w:rsidR="00874485" w:rsidRPr="00290088">
        <w:t xml:space="preserve">cost categories shown in </w:t>
      </w:r>
      <w:r w:rsidR="00EC2178" w:rsidRPr="00290088">
        <w:t>row</w:t>
      </w:r>
      <w:r w:rsidR="007C2F72" w:rsidRPr="00290088">
        <w:t>s</w:t>
      </w:r>
      <w:r w:rsidR="00EC2178" w:rsidRPr="00290088">
        <w:t xml:space="preserve"> B</w:t>
      </w:r>
      <w:r w:rsidR="007C2F72" w:rsidRPr="00290088">
        <w:t>1</w:t>
      </w:r>
      <w:r w:rsidR="007A5650" w:rsidRPr="00290088">
        <w:t>.1</w:t>
      </w:r>
      <w:r w:rsidR="007C2F72" w:rsidRPr="00290088">
        <w:t xml:space="preserve"> to B</w:t>
      </w:r>
      <w:r w:rsidR="007A5650" w:rsidRPr="00290088">
        <w:t>1.</w:t>
      </w:r>
      <w:r w:rsidR="007C2F72" w:rsidRPr="00290088">
        <w:t>4</w:t>
      </w:r>
      <w:r w:rsidR="00EC2178" w:rsidRPr="00290088">
        <w:t xml:space="preserve"> </w:t>
      </w:r>
      <w:r w:rsidR="00874485" w:rsidRPr="00290088">
        <w:t>are Greater Western Water’s</w:t>
      </w:r>
      <w:r w:rsidR="006951F0" w:rsidRPr="00290088">
        <w:t xml:space="preserve"> </w:t>
      </w:r>
      <w:r w:rsidR="007130E8" w:rsidRPr="00290088">
        <w:t xml:space="preserve">own </w:t>
      </w:r>
      <w:r w:rsidR="00874485" w:rsidRPr="00290088">
        <w:t>descriptions</w:t>
      </w:r>
      <w:r w:rsidR="00CC2D68" w:rsidRPr="00290088">
        <w:t>)</w:t>
      </w:r>
      <w:r w:rsidR="006951F0" w:rsidRPr="00290088">
        <w:t>.</w:t>
      </w:r>
    </w:p>
    <w:p w14:paraId="100F9BCE" w14:textId="5B2C0F0F" w:rsidR="00EF1FAA" w:rsidRPr="007E4CD5" w:rsidRDefault="00EF1FAA" w:rsidP="00EF1FAA">
      <w:r w:rsidRPr="007E4CD5">
        <w:lastRenderedPageBreak/>
        <w:t>Details of our assessment and reasons for our proposed adjustments to Greater Western Water’s proposal are included below in Section 4.1.1 (context of our review), Section 4.1.2 (controllable operating costs) and Section 4.1.3 (non</w:t>
      </w:r>
      <w:r w:rsidR="00C03B4E">
        <w:t>-</w:t>
      </w:r>
      <w:r w:rsidRPr="007E4CD5">
        <w:t>controllable operating costs).</w:t>
      </w:r>
    </w:p>
    <w:p w14:paraId="060B3EEA" w14:textId="61813903" w:rsidR="001D02A7" w:rsidRPr="007E4CD5" w:rsidRDefault="001D02A7">
      <w:r w:rsidRPr="007E4CD5">
        <w:t xml:space="preserve">We consider the operating expenditure proposed in our draft decision reflects the operating expenditure that </w:t>
      </w:r>
      <w:r w:rsidRPr="007E4CD5" w:rsidDel="00E946FD">
        <w:t xml:space="preserve">we were able to verify as prudent and efficient over the course of </w:t>
      </w:r>
      <w:r w:rsidR="00A21B47" w:rsidRPr="007E4CD5">
        <w:t>making our draft decision</w:t>
      </w:r>
      <w:r w:rsidRPr="007E4CD5">
        <w:t>.</w:t>
      </w:r>
      <w:r w:rsidRPr="007E4CD5" w:rsidDel="00E946FD">
        <w:rPr>
          <w:rStyle w:val="FootnoteReference"/>
        </w:rPr>
        <w:footnoteReference w:id="43"/>
      </w:r>
      <w:r w:rsidRPr="007E4CD5">
        <w:t xml:space="preserve"> </w:t>
      </w:r>
    </w:p>
    <w:p w14:paraId="39F1F898" w14:textId="08343762" w:rsidR="00EF1FAA" w:rsidRDefault="00EF1FAA" w:rsidP="00EF1FAA">
      <w:r w:rsidRPr="007E4CD5">
        <w:t xml:space="preserve">The operating expenditure that we propose to adopt for Greater Western Water does not represent the amount that Greater Western Water is required to spend or allocate to </w:t>
      </w:r>
      <w:proofErr w:type="gramStart"/>
      <w:r w:rsidRPr="007E4CD5">
        <w:t>particular operational</w:t>
      </w:r>
      <w:proofErr w:type="gramEnd"/>
      <w:r w:rsidRPr="007E4CD5">
        <w:t>, maintenance and administrative activities. Rather, it is a benchmark that represents assumptions about the overall level of operating expenditure (to be recovered through prices) that we consider sufficient to operate the business efficiently and to maintain services over the regulatory period.</w:t>
      </w:r>
    </w:p>
    <w:p w14:paraId="439DFBD0" w14:textId="52F74F3A" w:rsidR="00C02967" w:rsidRDefault="00FE5064" w:rsidP="00453578">
      <w:pPr>
        <w:pStyle w:val="Figure-Table-BoxHeading"/>
        <w:keepNext/>
        <w:spacing w:after="0" w:line="288" w:lineRule="auto"/>
        <w:ind w:left="1418" w:hanging="1418"/>
      </w:pPr>
      <w:r>
        <w:t>Table 4.4</w:t>
      </w:r>
      <w:r>
        <w:tab/>
      </w:r>
      <w:r w:rsidRPr="00A760BC">
        <w:t>Our</w:t>
      </w:r>
      <w:r>
        <w:t xml:space="preserve"> </w:t>
      </w:r>
      <w:r w:rsidRPr="007768C1">
        <w:t>proposed</w:t>
      </w:r>
      <w:r>
        <w:t xml:space="preserve"> adjustments to </w:t>
      </w:r>
      <w:r w:rsidR="00AA1D9F">
        <w:t>Greater Western Water</w:t>
      </w:r>
      <w:r>
        <w:t xml:space="preserve">’s proposed operating </w:t>
      </w:r>
      <w:proofErr w:type="gramStart"/>
      <w:r>
        <w:t>expenditure</w:t>
      </w:r>
      <w:proofErr w:type="gramEnd"/>
    </w:p>
    <w:p w14:paraId="7C232A2C" w14:textId="7CC97DA5" w:rsidR="00603F98" w:rsidRDefault="00603F98" w:rsidP="00CA7347">
      <w:pPr>
        <w:pStyle w:val="Figure-Table-BoxSubtitle"/>
        <w:keepNext/>
        <w:spacing w:before="0" w:line="240" w:lineRule="auto"/>
        <w:ind w:left="1418"/>
      </w:pPr>
      <w:r>
        <w:t>$ million 202</w:t>
      </w:r>
      <w:r w:rsidR="00ED7EE2">
        <w:t>3</w:t>
      </w:r>
      <w:r>
        <w:t>-2</w:t>
      </w:r>
      <w:r w:rsidR="00ED7EE2">
        <w:t>4</w:t>
      </w:r>
    </w:p>
    <w:tbl>
      <w:tblPr>
        <w:tblStyle w:val="TableGrid"/>
        <w:tblW w:w="9639" w:type="dxa"/>
        <w:tblLayout w:type="fixed"/>
        <w:tblLook w:val="04A0" w:firstRow="1" w:lastRow="0" w:firstColumn="1" w:lastColumn="0" w:noHBand="0" w:noVBand="1"/>
      </w:tblPr>
      <w:tblGrid>
        <w:gridCol w:w="4111"/>
        <w:gridCol w:w="1098"/>
        <w:gridCol w:w="1099"/>
        <w:gridCol w:w="1098"/>
        <w:gridCol w:w="1099"/>
        <w:gridCol w:w="1134"/>
      </w:tblGrid>
      <w:tr w:rsidR="00F838A9" w:rsidRPr="00F838A9" w14:paraId="208F023A" w14:textId="77777777">
        <w:trPr>
          <w:cnfStyle w:val="100000000000" w:firstRow="1" w:lastRow="0" w:firstColumn="0" w:lastColumn="0" w:oddVBand="0" w:evenVBand="0" w:oddHBand="0" w:evenHBand="0" w:firstRowFirstColumn="0" w:firstRowLastColumn="0" w:lastRowFirstColumn="0" w:lastRowLastColumn="0"/>
        </w:trPr>
        <w:tc>
          <w:tcPr>
            <w:tcW w:w="4111" w:type="dxa"/>
          </w:tcPr>
          <w:p w14:paraId="3CD0861D" w14:textId="77777777" w:rsidR="00F838A9" w:rsidRPr="00F838A9" w:rsidRDefault="00F838A9">
            <w:pPr>
              <w:pStyle w:val="TableHeading"/>
              <w:keepNext/>
              <w:keepLines/>
            </w:pPr>
          </w:p>
        </w:tc>
        <w:tc>
          <w:tcPr>
            <w:tcW w:w="1098" w:type="dxa"/>
          </w:tcPr>
          <w:p w14:paraId="26B5E0E7" w14:textId="77777777" w:rsidR="00F838A9" w:rsidRPr="00F838A9" w:rsidRDefault="00F838A9">
            <w:pPr>
              <w:pStyle w:val="TableHeading"/>
              <w:keepNext/>
              <w:keepLines/>
              <w:ind w:right="113"/>
              <w:jc w:val="right"/>
            </w:pPr>
            <w:r w:rsidRPr="00F838A9">
              <w:t>2024-25</w:t>
            </w:r>
          </w:p>
        </w:tc>
        <w:tc>
          <w:tcPr>
            <w:tcW w:w="1099" w:type="dxa"/>
          </w:tcPr>
          <w:p w14:paraId="2A81B3A5" w14:textId="77777777" w:rsidR="00F838A9" w:rsidRPr="00F838A9" w:rsidRDefault="00F838A9">
            <w:pPr>
              <w:pStyle w:val="TableHeading"/>
              <w:keepNext/>
              <w:keepLines/>
              <w:ind w:right="113"/>
              <w:jc w:val="right"/>
            </w:pPr>
            <w:r w:rsidRPr="00F838A9">
              <w:t>2025</w:t>
            </w:r>
            <w:r w:rsidRPr="00F838A9">
              <w:noBreakHyphen/>
              <w:t>26</w:t>
            </w:r>
          </w:p>
        </w:tc>
        <w:tc>
          <w:tcPr>
            <w:tcW w:w="1098" w:type="dxa"/>
          </w:tcPr>
          <w:p w14:paraId="4CD57D7C" w14:textId="77777777" w:rsidR="00F838A9" w:rsidRPr="00F838A9" w:rsidRDefault="00F838A9">
            <w:pPr>
              <w:pStyle w:val="TableHeading"/>
              <w:keepNext/>
              <w:keepLines/>
              <w:ind w:right="113"/>
              <w:jc w:val="right"/>
            </w:pPr>
            <w:r w:rsidRPr="00F838A9">
              <w:t>2026</w:t>
            </w:r>
            <w:r w:rsidRPr="00F838A9">
              <w:noBreakHyphen/>
              <w:t>27</w:t>
            </w:r>
          </w:p>
        </w:tc>
        <w:tc>
          <w:tcPr>
            <w:tcW w:w="1099" w:type="dxa"/>
          </w:tcPr>
          <w:p w14:paraId="353BCEE5" w14:textId="77777777" w:rsidR="00F838A9" w:rsidRPr="00F838A9" w:rsidRDefault="00F838A9">
            <w:pPr>
              <w:pStyle w:val="TableHeading"/>
              <w:keepNext/>
              <w:keepLines/>
              <w:ind w:right="113"/>
              <w:jc w:val="right"/>
            </w:pPr>
            <w:r w:rsidRPr="00F838A9">
              <w:t>2027</w:t>
            </w:r>
            <w:r w:rsidRPr="00F838A9">
              <w:noBreakHyphen/>
              <w:t>28</w:t>
            </w:r>
          </w:p>
        </w:tc>
        <w:tc>
          <w:tcPr>
            <w:tcW w:w="1134" w:type="dxa"/>
          </w:tcPr>
          <w:p w14:paraId="527D00A8" w14:textId="77777777" w:rsidR="00F838A9" w:rsidRPr="00F838A9" w:rsidRDefault="00F838A9">
            <w:pPr>
              <w:pStyle w:val="TableHeading"/>
              <w:keepNext/>
              <w:keepLines/>
              <w:ind w:right="113"/>
              <w:jc w:val="right"/>
            </w:pPr>
            <w:r w:rsidRPr="00F838A9">
              <w:t>Total</w:t>
            </w:r>
          </w:p>
        </w:tc>
      </w:tr>
      <w:tr w:rsidR="00F838A9" w:rsidRPr="00F838A9" w14:paraId="217EAD78" w14:textId="77777777">
        <w:trPr>
          <w:cnfStyle w:val="000000100000" w:firstRow="0" w:lastRow="0" w:firstColumn="0" w:lastColumn="0" w:oddVBand="0" w:evenVBand="0" w:oddHBand="1" w:evenHBand="0" w:firstRowFirstColumn="0" w:firstRowLastColumn="0" w:lastRowFirstColumn="0" w:lastRowLastColumn="0"/>
        </w:trPr>
        <w:tc>
          <w:tcPr>
            <w:tcW w:w="4111" w:type="dxa"/>
          </w:tcPr>
          <w:p w14:paraId="295532B4" w14:textId="77777777" w:rsidR="00F838A9" w:rsidRPr="007E4CD5" w:rsidRDefault="00F838A9">
            <w:pPr>
              <w:pStyle w:val="TableBody"/>
              <w:rPr>
                <w:b/>
              </w:rPr>
            </w:pPr>
            <w:r w:rsidRPr="007E4CD5">
              <w:rPr>
                <w:b/>
              </w:rPr>
              <w:t>A. Greater Western Water’s proposed total operating expenditure</w:t>
            </w:r>
          </w:p>
        </w:tc>
        <w:tc>
          <w:tcPr>
            <w:tcW w:w="1098" w:type="dxa"/>
          </w:tcPr>
          <w:p w14:paraId="4486EFBE" w14:textId="77777777" w:rsidR="00F838A9" w:rsidRPr="007E4CD5" w:rsidRDefault="00F838A9">
            <w:pPr>
              <w:pStyle w:val="TableBody"/>
              <w:ind w:right="113"/>
              <w:jc w:val="right"/>
              <w:rPr>
                <w:b/>
              </w:rPr>
            </w:pPr>
            <w:r w:rsidRPr="007E4CD5">
              <w:rPr>
                <w:b/>
              </w:rPr>
              <w:t>628.35</w:t>
            </w:r>
          </w:p>
        </w:tc>
        <w:tc>
          <w:tcPr>
            <w:tcW w:w="1099" w:type="dxa"/>
          </w:tcPr>
          <w:p w14:paraId="07A82963" w14:textId="77777777" w:rsidR="00F838A9" w:rsidRPr="007E4CD5" w:rsidRDefault="00F838A9">
            <w:pPr>
              <w:pStyle w:val="TableBody"/>
              <w:ind w:right="113"/>
              <w:jc w:val="right"/>
              <w:rPr>
                <w:b/>
              </w:rPr>
            </w:pPr>
            <w:r w:rsidRPr="007E4CD5">
              <w:rPr>
                <w:b/>
              </w:rPr>
              <w:t>630.17</w:t>
            </w:r>
          </w:p>
        </w:tc>
        <w:tc>
          <w:tcPr>
            <w:tcW w:w="1098" w:type="dxa"/>
          </w:tcPr>
          <w:p w14:paraId="59487AE1" w14:textId="77777777" w:rsidR="00F838A9" w:rsidRPr="007E4CD5" w:rsidRDefault="00F838A9">
            <w:pPr>
              <w:pStyle w:val="TableBody"/>
              <w:ind w:right="113"/>
              <w:jc w:val="right"/>
              <w:rPr>
                <w:b/>
              </w:rPr>
            </w:pPr>
            <w:r w:rsidRPr="007E4CD5">
              <w:rPr>
                <w:b/>
              </w:rPr>
              <w:t>630.16</w:t>
            </w:r>
          </w:p>
        </w:tc>
        <w:tc>
          <w:tcPr>
            <w:tcW w:w="1099" w:type="dxa"/>
          </w:tcPr>
          <w:p w14:paraId="4C9EE141" w14:textId="77777777" w:rsidR="00F838A9" w:rsidRPr="007E4CD5" w:rsidRDefault="00F838A9">
            <w:pPr>
              <w:pStyle w:val="TableBody"/>
              <w:ind w:right="113"/>
              <w:jc w:val="right"/>
              <w:rPr>
                <w:b/>
              </w:rPr>
            </w:pPr>
            <w:r w:rsidRPr="007E4CD5">
              <w:rPr>
                <w:b/>
              </w:rPr>
              <w:t>632.22</w:t>
            </w:r>
          </w:p>
        </w:tc>
        <w:tc>
          <w:tcPr>
            <w:tcW w:w="1134" w:type="dxa"/>
          </w:tcPr>
          <w:p w14:paraId="06345A73" w14:textId="77777777" w:rsidR="00F838A9" w:rsidRPr="007E4CD5" w:rsidRDefault="00F838A9">
            <w:pPr>
              <w:pStyle w:val="TableBody"/>
              <w:ind w:right="113"/>
              <w:jc w:val="right"/>
              <w:rPr>
                <w:b/>
              </w:rPr>
            </w:pPr>
            <w:r w:rsidRPr="007E4CD5">
              <w:rPr>
                <w:b/>
              </w:rPr>
              <w:t>2,520.90</w:t>
            </w:r>
          </w:p>
        </w:tc>
      </w:tr>
      <w:tr w:rsidR="00F838A9" w:rsidRPr="00F838A9" w14:paraId="5E1E64FC" w14:textId="77777777">
        <w:trPr>
          <w:cnfStyle w:val="000000010000" w:firstRow="0" w:lastRow="0" w:firstColumn="0" w:lastColumn="0" w:oddVBand="0" w:evenVBand="0" w:oddHBand="0" w:evenHBand="1" w:firstRowFirstColumn="0" w:firstRowLastColumn="0" w:lastRowFirstColumn="0" w:lastRowLastColumn="0"/>
        </w:trPr>
        <w:tc>
          <w:tcPr>
            <w:tcW w:w="4111" w:type="dxa"/>
          </w:tcPr>
          <w:p w14:paraId="13D19735" w14:textId="77777777" w:rsidR="00F838A9" w:rsidRPr="007E4CD5" w:rsidRDefault="00F838A9">
            <w:pPr>
              <w:pStyle w:val="TableBody"/>
              <w:rPr>
                <w:b/>
              </w:rPr>
            </w:pPr>
            <w:r w:rsidRPr="007E4CD5">
              <w:rPr>
                <w:b/>
              </w:rPr>
              <w:t>B. Our total proposed adjustments to controllable operating costs (B1 + B2)</w:t>
            </w:r>
          </w:p>
        </w:tc>
        <w:tc>
          <w:tcPr>
            <w:tcW w:w="1098" w:type="dxa"/>
          </w:tcPr>
          <w:p w14:paraId="6AA29216" w14:textId="77777777" w:rsidR="00F838A9" w:rsidRPr="007E4CD5" w:rsidRDefault="00F838A9">
            <w:pPr>
              <w:pStyle w:val="TableBody"/>
              <w:ind w:right="113"/>
              <w:jc w:val="right"/>
              <w:rPr>
                <w:b/>
              </w:rPr>
            </w:pPr>
            <w:r w:rsidRPr="007E4CD5">
              <w:rPr>
                <w:b/>
              </w:rPr>
              <w:t>-17.72</w:t>
            </w:r>
          </w:p>
        </w:tc>
        <w:tc>
          <w:tcPr>
            <w:tcW w:w="1099" w:type="dxa"/>
          </w:tcPr>
          <w:p w14:paraId="79CB3AEB" w14:textId="77777777" w:rsidR="00F838A9" w:rsidRPr="007E4CD5" w:rsidRDefault="00F838A9">
            <w:pPr>
              <w:pStyle w:val="TableBody"/>
              <w:ind w:right="113"/>
              <w:jc w:val="right"/>
              <w:rPr>
                <w:b/>
              </w:rPr>
            </w:pPr>
            <w:r w:rsidRPr="007E4CD5">
              <w:rPr>
                <w:b/>
              </w:rPr>
              <w:t>-17.69</w:t>
            </w:r>
          </w:p>
        </w:tc>
        <w:tc>
          <w:tcPr>
            <w:tcW w:w="1098" w:type="dxa"/>
          </w:tcPr>
          <w:p w14:paraId="04A03CEA" w14:textId="77777777" w:rsidR="00F838A9" w:rsidRPr="007E4CD5" w:rsidRDefault="00F838A9">
            <w:pPr>
              <w:pStyle w:val="TableBody"/>
              <w:ind w:right="113"/>
              <w:jc w:val="right"/>
              <w:rPr>
                <w:b/>
              </w:rPr>
            </w:pPr>
            <w:r w:rsidRPr="007E4CD5">
              <w:rPr>
                <w:b/>
              </w:rPr>
              <w:t>-17.68</w:t>
            </w:r>
          </w:p>
        </w:tc>
        <w:tc>
          <w:tcPr>
            <w:tcW w:w="1099" w:type="dxa"/>
          </w:tcPr>
          <w:p w14:paraId="124D9415" w14:textId="77777777" w:rsidR="00F838A9" w:rsidRPr="007E4CD5" w:rsidRDefault="00F838A9">
            <w:pPr>
              <w:pStyle w:val="TableBody"/>
              <w:ind w:right="113"/>
              <w:jc w:val="right"/>
              <w:rPr>
                <w:b/>
              </w:rPr>
            </w:pPr>
            <w:r w:rsidRPr="007E4CD5">
              <w:rPr>
                <w:b/>
              </w:rPr>
              <w:t>-17.76</w:t>
            </w:r>
          </w:p>
        </w:tc>
        <w:tc>
          <w:tcPr>
            <w:tcW w:w="1134" w:type="dxa"/>
          </w:tcPr>
          <w:p w14:paraId="4536B083" w14:textId="77777777" w:rsidR="00F838A9" w:rsidRPr="007E4CD5" w:rsidRDefault="00F838A9">
            <w:pPr>
              <w:pStyle w:val="TableBody"/>
              <w:ind w:right="113"/>
              <w:jc w:val="right"/>
              <w:rPr>
                <w:b/>
              </w:rPr>
            </w:pPr>
            <w:r w:rsidRPr="007E4CD5">
              <w:rPr>
                <w:b/>
              </w:rPr>
              <w:t>-70.85</w:t>
            </w:r>
          </w:p>
        </w:tc>
      </w:tr>
      <w:tr w:rsidR="00F838A9" w:rsidRPr="00F838A9" w14:paraId="19F03844" w14:textId="77777777">
        <w:trPr>
          <w:cnfStyle w:val="000000100000" w:firstRow="0" w:lastRow="0" w:firstColumn="0" w:lastColumn="0" w:oddVBand="0" w:evenVBand="0" w:oddHBand="1" w:evenHBand="0" w:firstRowFirstColumn="0" w:firstRowLastColumn="0" w:lastRowFirstColumn="0" w:lastRowLastColumn="0"/>
        </w:trPr>
        <w:tc>
          <w:tcPr>
            <w:tcW w:w="4111" w:type="dxa"/>
          </w:tcPr>
          <w:p w14:paraId="4F14F7C1" w14:textId="77777777" w:rsidR="00F838A9" w:rsidRPr="007E4CD5" w:rsidRDefault="00F838A9">
            <w:pPr>
              <w:pStyle w:val="TableBody"/>
              <w:ind w:left="194"/>
              <w:rPr>
                <w:b/>
              </w:rPr>
            </w:pPr>
            <w:r w:rsidRPr="007E4CD5">
              <w:rPr>
                <w:b/>
              </w:rPr>
              <w:t xml:space="preserve">B1 – Total baseline adjustments (after amended efficiency </w:t>
            </w:r>
            <w:proofErr w:type="gramStart"/>
            <w:r w:rsidRPr="007E4CD5">
              <w:rPr>
                <w:b/>
              </w:rPr>
              <w:t>factor)</w:t>
            </w:r>
            <w:r w:rsidRPr="007E4CD5">
              <w:rPr>
                <w:b/>
                <w:vertAlign w:val="superscript"/>
              </w:rPr>
              <w:t>a</w:t>
            </w:r>
            <w:proofErr w:type="gramEnd"/>
          </w:p>
        </w:tc>
        <w:tc>
          <w:tcPr>
            <w:tcW w:w="1098" w:type="dxa"/>
          </w:tcPr>
          <w:p w14:paraId="727189A4" w14:textId="77777777" w:rsidR="00F838A9" w:rsidRPr="007E4CD5" w:rsidRDefault="00F838A9">
            <w:pPr>
              <w:pStyle w:val="TableBody"/>
              <w:ind w:right="113"/>
              <w:jc w:val="right"/>
              <w:rPr>
                <w:b/>
              </w:rPr>
            </w:pPr>
            <w:r w:rsidRPr="007E4CD5">
              <w:rPr>
                <w:b/>
              </w:rPr>
              <w:t xml:space="preserve">-15.09 </w:t>
            </w:r>
          </w:p>
        </w:tc>
        <w:tc>
          <w:tcPr>
            <w:tcW w:w="1099" w:type="dxa"/>
          </w:tcPr>
          <w:p w14:paraId="08BA5350" w14:textId="77777777" w:rsidR="00F838A9" w:rsidRPr="007E4CD5" w:rsidRDefault="00F838A9">
            <w:pPr>
              <w:pStyle w:val="TableBody"/>
              <w:ind w:right="113"/>
              <w:jc w:val="right"/>
              <w:rPr>
                <w:b/>
              </w:rPr>
            </w:pPr>
            <w:r w:rsidRPr="007E4CD5">
              <w:rPr>
                <w:b/>
              </w:rPr>
              <w:t xml:space="preserve">-14.07 </w:t>
            </w:r>
          </w:p>
        </w:tc>
        <w:tc>
          <w:tcPr>
            <w:tcW w:w="1098" w:type="dxa"/>
          </w:tcPr>
          <w:p w14:paraId="6F1AEBEB" w14:textId="77777777" w:rsidR="00F838A9" w:rsidRPr="007E4CD5" w:rsidRDefault="00F838A9">
            <w:pPr>
              <w:pStyle w:val="TableBody"/>
              <w:ind w:right="113"/>
              <w:jc w:val="right"/>
              <w:rPr>
                <w:b/>
              </w:rPr>
            </w:pPr>
            <w:r w:rsidRPr="007E4CD5">
              <w:rPr>
                <w:b/>
              </w:rPr>
              <w:t>-12.95</w:t>
            </w:r>
          </w:p>
        </w:tc>
        <w:tc>
          <w:tcPr>
            <w:tcW w:w="1099" w:type="dxa"/>
          </w:tcPr>
          <w:p w14:paraId="76D977A0" w14:textId="77777777" w:rsidR="00F838A9" w:rsidRPr="007E4CD5" w:rsidRDefault="00F838A9">
            <w:pPr>
              <w:pStyle w:val="TableBody"/>
              <w:ind w:right="113"/>
              <w:jc w:val="right"/>
              <w:rPr>
                <w:b/>
              </w:rPr>
            </w:pPr>
            <w:r w:rsidRPr="007E4CD5">
              <w:rPr>
                <w:b/>
              </w:rPr>
              <w:t>-12.98</w:t>
            </w:r>
          </w:p>
        </w:tc>
        <w:tc>
          <w:tcPr>
            <w:tcW w:w="1134" w:type="dxa"/>
          </w:tcPr>
          <w:p w14:paraId="0FCF2CA4" w14:textId="77777777" w:rsidR="00F838A9" w:rsidRPr="007E4CD5" w:rsidRDefault="00F838A9">
            <w:pPr>
              <w:pStyle w:val="TableBody"/>
              <w:ind w:right="113"/>
              <w:jc w:val="right"/>
              <w:rPr>
                <w:b/>
              </w:rPr>
            </w:pPr>
            <w:r w:rsidRPr="007E4CD5">
              <w:rPr>
                <w:b/>
              </w:rPr>
              <w:t>-55.09</w:t>
            </w:r>
          </w:p>
        </w:tc>
      </w:tr>
      <w:tr w:rsidR="00F838A9" w:rsidRPr="00F838A9" w14:paraId="2B8B7A5F" w14:textId="77777777">
        <w:trPr>
          <w:cnfStyle w:val="000000010000" w:firstRow="0" w:lastRow="0" w:firstColumn="0" w:lastColumn="0" w:oddVBand="0" w:evenVBand="0" w:oddHBand="0" w:evenHBand="1" w:firstRowFirstColumn="0" w:firstRowLastColumn="0" w:lastRowFirstColumn="0" w:lastRowLastColumn="0"/>
        </w:trPr>
        <w:tc>
          <w:tcPr>
            <w:tcW w:w="4111" w:type="dxa"/>
          </w:tcPr>
          <w:p w14:paraId="2FAB5462" w14:textId="77777777" w:rsidR="00F838A9" w:rsidRPr="007E4CD5" w:rsidRDefault="00F838A9">
            <w:pPr>
              <w:pStyle w:val="TableBody"/>
              <w:ind w:left="194"/>
            </w:pPr>
            <w:r w:rsidRPr="007E4CD5">
              <w:t>B1.1 – Removal of Integration costs</w:t>
            </w:r>
          </w:p>
        </w:tc>
        <w:tc>
          <w:tcPr>
            <w:tcW w:w="1098" w:type="dxa"/>
          </w:tcPr>
          <w:p w14:paraId="5AD0F89C" w14:textId="77777777" w:rsidR="00F838A9" w:rsidRPr="007E4CD5" w:rsidRDefault="00F838A9">
            <w:pPr>
              <w:pStyle w:val="TableBody"/>
              <w:ind w:right="113"/>
              <w:jc w:val="right"/>
            </w:pPr>
            <w:r w:rsidRPr="007E4CD5">
              <w:t>-1.21</w:t>
            </w:r>
          </w:p>
        </w:tc>
        <w:tc>
          <w:tcPr>
            <w:tcW w:w="1099" w:type="dxa"/>
          </w:tcPr>
          <w:p w14:paraId="1DDE5DAD" w14:textId="77777777" w:rsidR="00F838A9" w:rsidRPr="007E4CD5" w:rsidRDefault="00F838A9">
            <w:pPr>
              <w:pStyle w:val="TableBody"/>
              <w:ind w:right="113"/>
              <w:jc w:val="right"/>
            </w:pPr>
            <w:r w:rsidRPr="007E4CD5">
              <w:t>-1.13</w:t>
            </w:r>
          </w:p>
        </w:tc>
        <w:tc>
          <w:tcPr>
            <w:tcW w:w="1098" w:type="dxa"/>
          </w:tcPr>
          <w:p w14:paraId="76BC89FD" w14:textId="77777777" w:rsidR="00F838A9" w:rsidRPr="007E4CD5" w:rsidRDefault="00F838A9">
            <w:pPr>
              <w:pStyle w:val="TableBody"/>
              <w:ind w:right="113"/>
              <w:jc w:val="right"/>
            </w:pPr>
            <w:r w:rsidRPr="007E4CD5">
              <w:t>-1.04</w:t>
            </w:r>
          </w:p>
        </w:tc>
        <w:tc>
          <w:tcPr>
            <w:tcW w:w="1099" w:type="dxa"/>
          </w:tcPr>
          <w:p w14:paraId="3A06AE70" w14:textId="77777777" w:rsidR="00F838A9" w:rsidRPr="007E4CD5" w:rsidRDefault="00F838A9">
            <w:pPr>
              <w:pStyle w:val="TableBody"/>
              <w:ind w:right="113"/>
              <w:jc w:val="right"/>
            </w:pPr>
            <w:r w:rsidRPr="007E4CD5">
              <w:t>-1.04</w:t>
            </w:r>
          </w:p>
        </w:tc>
        <w:tc>
          <w:tcPr>
            <w:tcW w:w="1134" w:type="dxa"/>
          </w:tcPr>
          <w:p w14:paraId="2D5EDE86" w14:textId="77777777" w:rsidR="00F838A9" w:rsidRPr="007E4CD5" w:rsidRDefault="00F838A9">
            <w:pPr>
              <w:pStyle w:val="TableBody"/>
              <w:ind w:right="113"/>
              <w:jc w:val="right"/>
            </w:pPr>
            <w:r w:rsidRPr="007E4CD5">
              <w:t>-4.41</w:t>
            </w:r>
          </w:p>
        </w:tc>
      </w:tr>
      <w:tr w:rsidR="00F838A9" w:rsidRPr="00F838A9" w14:paraId="3A59A927" w14:textId="77777777">
        <w:trPr>
          <w:cnfStyle w:val="000000100000" w:firstRow="0" w:lastRow="0" w:firstColumn="0" w:lastColumn="0" w:oddVBand="0" w:evenVBand="0" w:oddHBand="1" w:evenHBand="0" w:firstRowFirstColumn="0" w:firstRowLastColumn="0" w:lastRowFirstColumn="0" w:lastRowLastColumn="0"/>
        </w:trPr>
        <w:tc>
          <w:tcPr>
            <w:tcW w:w="4111" w:type="dxa"/>
          </w:tcPr>
          <w:p w14:paraId="20E25120" w14:textId="77777777" w:rsidR="00F838A9" w:rsidRPr="007E4CD5" w:rsidRDefault="00F838A9">
            <w:pPr>
              <w:pStyle w:val="TableBody"/>
              <w:ind w:left="194"/>
            </w:pPr>
            <w:r w:rsidRPr="007E4CD5">
              <w:t>B1.2 – Removal of Transformation - Compliance costs</w:t>
            </w:r>
          </w:p>
        </w:tc>
        <w:tc>
          <w:tcPr>
            <w:tcW w:w="1098" w:type="dxa"/>
          </w:tcPr>
          <w:p w14:paraId="254EFE76" w14:textId="77777777" w:rsidR="00F838A9" w:rsidRPr="007E4CD5" w:rsidRDefault="00F838A9">
            <w:pPr>
              <w:pStyle w:val="TableBody"/>
              <w:ind w:right="113"/>
              <w:jc w:val="right"/>
            </w:pPr>
            <w:r w:rsidRPr="007E4CD5">
              <w:t>-2.95</w:t>
            </w:r>
          </w:p>
        </w:tc>
        <w:tc>
          <w:tcPr>
            <w:tcW w:w="1099" w:type="dxa"/>
          </w:tcPr>
          <w:p w14:paraId="6284B36E" w14:textId="77777777" w:rsidR="00F838A9" w:rsidRPr="007E4CD5" w:rsidRDefault="00F838A9">
            <w:pPr>
              <w:pStyle w:val="TableBody"/>
              <w:ind w:right="113"/>
              <w:jc w:val="right"/>
            </w:pPr>
            <w:r w:rsidRPr="007E4CD5">
              <w:t>-2.75</w:t>
            </w:r>
          </w:p>
        </w:tc>
        <w:tc>
          <w:tcPr>
            <w:tcW w:w="1098" w:type="dxa"/>
          </w:tcPr>
          <w:p w14:paraId="17E47681" w14:textId="77777777" w:rsidR="00F838A9" w:rsidRPr="007E4CD5" w:rsidRDefault="00F838A9">
            <w:pPr>
              <w:pStyle w:val="TableBody"/>
              <w:ind w:right="113"/>
              <w:jc w:val="right"/>
            </w:pPr>
            <w:r w:rsidRPr="007E4CD5">
              <w:t>-2.54</w:t>
            </w:r>
          </w:p>
        </w:tc>
        <w:tc>
          <w:tcPr>
            <w:tcW w:w="1099" w:type="dxa"/>
          </w:tcPr>
          <w:p w14:paraId="32A2E9C9" w14:textId="77777777" w:rsidR="00F838A9" w:rsidRPr="007E4CD5" w:rsidRDefault="00F838A9">
            <w:pPr>
              <w:pStyle w:val="TableBody"/>
              <w:ind w:right="113"/>
              <w:jc w:val="right"/>
            </w:pPr>
            <w:r w:rsidRPr="007E4CD5">
              <w:t>-2.54</w:t>
            </w:r>
          </w:p>
        </w:tc>
        <w:tc>
          <w:tcPr>
            <w:tcW w:w="1134" w:type="dxa"/>
          </w:tcPr>
          <w:p w14:paraId="2EEFA354" w14:textId="77777777" w:rsidR="00F838A9" w:rsidRPr="007E4CD5" w:rsidRDefault="00F838A9">
            <w:pPr>
              <w:pStyle w:val="TableBody"/>
              <w:ind w:right="113"/>
              <w:jc w:val="right"/>
            </w:pPr>
            <w:r w:rsidRPr="007E4CD5">
              <w:t>-10.78</w:t>
            </w:r>
          </w:p>
        </w:tc>
      </w:tr>
      <w:tr w:rsidR="00F838A9" w:rsidRPr="00F838A9" w14:paraId="17E83307" w14:textId="77777777">
        <w:trPr>
          <w:cnfStyle w:val="000000010000" w:firstRow="0" w:lastRow="0" w:firstColumn="0" w:lastColumn="0" w:oddVBand="0" w:evenVBand="0" w:oddHBand="0" w:evenHBand="1" w:firstRowFirstColumn="0" w:firstRowLastColumn="0" w:lastRowFirstColumn="0" w:lastRowLastColumn="0"/>
        </w:trPr>
        <w:tc>
          <w:tcPr>
            <w:tcW w:w="4111" w:type="dxa"/>
          </w:tcPr>
          <w:p w14:paraId="1CBB1CA1" w14:textId="77777777" w:rsidR="00F838A9" w:rsidRPr="007E4CD5" w:rsidRDefault="00F838A9">
            <w:pPr>
              <w:pStyle w:val="TableBody"/>
              <w:ind w:left="194"/>
            </w:pPr>
            <w:r w:rsidRPr="007E4CD5">
              <w:t>B1.3 – Removal of Transformation - Corporate costs</w:t>
            </w:r>
          </w:p>
        </w:tc>
        <w:tc>
          <w:tcPr>
            <w:tcW w:w="1098" w:type="dxa"/>
          </w:tcPr>
          <w:p w14:paraId="51460FB3" w14:textId="77777777" w:rsidR="00F838A9" w:rsidRPr="007E4CD5" w:rsidRDefault="00F838A9">
            <w:pPr>
              <w:pStyle w:val="TableBody"/>
              <w:ind w:right="113"/>
              <w:jc w:val="right"/>
            </w:pPr>
            <w:r w:rsidRPr="007E4CD5">
              <w:t>-0.68</w:t>
            </w:r>
          </w:p>
        </w:tc>
        <w:tc>
          <w:tcPr>
            <w:tcW w:w="1099" w:type="dxa"/>
          </w:tcPr>
          <w:p w14:paraId="07D51D3F" w14:textId="77777777" w:rsidR="00F838A9" w:rsidRPr="007E4CD5" w:rsidRDefault="00F838A9">
            <w:pPr>
              <w:pStyle w:val="TableBody"/>
              <w:ind w:right="113"/>
              <w:jc w:val="right"/>
            </w:pPr>
            <w:r w:rsidRPr="007E4CD5">
              <w:t>-0.63</w:t>
            </w:r>
          </w:p>
        </w:tc>
        <w:tc>
          <w:tcPr>
            <w:tcW w:w="1098" w:type="dxa"/>
          </w:tcPr>
          <w:p w14:paraId="15CFBDD9" w14:textId="77777777" w:rsidR="00F838A9" w:rsidRPr="007E4CD5" w:rsidRDefault="00F838A9">
            <w:pPr>
              <w:pStyle w:val="TableBody"/>
              <w:ind w:right="113"/>
              <w:jc w:val="right"/>
            </w:pPr>
            <w:r w:rsidRPr="007E4CD5">
              <w:t>-0.58</w:t>
            </w:r>
          </w:p>
        </w:tc>
        <w:tc>
          <w:tcPr>
            <w:tcW w:w="1099" w:type="dxa"/>
          </w:tcPr>
          <w:p w14:paraId="5DB2FE01" w14:textId="77777777" w:rsidR="00F838A9" w:rsidRPr="007E4CD5" w:rsidRDefault="00F838A9">
            <w:pPr>
              <w:pStyle w:val="TableBody"/>
              <w:ind w:right="113"/>
              <w:jc w:val="right"/>
            </w:pPr>
            <w:r w:rsidRPr="007E4CD5">
              <w:t>-0.59</w:t>
            </w:r>
          </w:p>
        </w:tc>
        <w:tc>
          <w:tcPr>
            <w:tcW w:w="1134" w:type="dxa"/>
          </w:tcPr>
          <w:p w14:paraId="36C753D7" w14:textId="77777777" w:rsidR="00F838A9" w:rsidRPr="007E4CD5" w:rsidRDefault="00F838A9">
            <w:pPr>
              <w:pStyle w:val="TableBody"/>
              <w:ind w:right="113"/>
              <w:jc w:val="right"/>
            </w:pPr>
            <w:r w:rsidRPr="007E4CD5">
              <w:t>-2.48</w:t>
            </w:r>
          </w:p>
        </w:tc>
      </w:tr>
      <w:tr w:rsidR="00F838A9" w:rsidRPr="00F838A9" w14:paraId="0AB92A56" w14:textId="77777777">
        <w:trPr>
          <w:cnfStyle w:val="000000100000" w:firstRow="0" w:lastRow="0" w:firstColumn="0" w:lastColumn="0" w:oddVBand="0" w:evenVBand="0" w:oddHBand="1" w:evenHBand="0" w:firstRowFirstColumn="0" w:firstRowLastColumn="0" w:lastRowFirstColumn="0" w:lastRowLastColumn="0"/>
        </w:trPr>
        <w:tc>
          <w:tcPr>
            <w:tcW w:w="4111" w:type="dxa"/>
          </w:tcPr>
          <w:p w14:paraId="41FA57CE" w14:textId="77777777" w:rsidR="00F838A9" w:rsidRPr="007E4CD5" w:rsidRDefault="00F838A9">
            <w:pPr>
              <w:pStyle w:val="TableBody"/>
              <w:ind w:left="194"/>
            </w:pPr>
            <w:r w:rsidRPr="007E4CD5">
              <w:t>B1.4 – Removal of Transformation - Customer costs</w:t>
            </w:r>
          </w:p>
        </w:tc>
        <w:tc>
          <w:tcPr>
            <w:tcW w:w="1098" w:type="dxa"/>
          </w:tcPr>
          <w:p w14:paraId="3C073F85" w14:textId="77777777" w:rsidR="00F838A9" w:rsidRPr="007E4CD5" w:rsidRDefault="00F838A9">
            <w:pPr>
              <w:pStyle w:val="TableBody"/>
              <w:ind w:right="113"/>
              <w:jc w:val="right"/>
            </w:pPr>
            <w:r w:rsidRPr="007E4CD5">
              <w:t>-0.92</w:t>
            </w:r>
          </w:p>
        </w:tc>
        <w:tc>
          <w:tcPr>
            <w:tcW w:w="1099" w:type="dxa"/>
          </w:tcPr>
          <w:p w14:paraId="7D1CA84E" w14:textId="77777777" w:rsidR="00F838A9" w:rsidRPr="007E4CD5" w:rsidRDefault="00F838A9">
            <w:pPr>
              <w:pStyle w:val="TableBody"/>
              <w:ind w:right="113"/>
              <w:jc w:val="right"/>
            </w:pPr>
            <w:r w:rsidRPr="007E4CD5">
              <w:t>-0.86</w:t>
            </w:r>
          </w:p>
        </w:tc>
        <w:tc>
          <w:tcPr>
            <w:tcW w:w="1098" w:type="dxa"/>
          </w:tcPr>
          <w:p w14:paraId="4F71B41E" w14:textId="77777777" w:rsidR="00F838A9" w:rsidRPr="007E4CD5" w:rsidRDefault="00F838A9">
            <w:pPr>
              <w:pStyle w:val="TableBody"/>
              <w:ind w:right="113"/>
              <w:jc w:val="right"/>
            </w:pPr>
            <w:r w:rsidRPr="007E4CD5">
              <w:t>-0.79</w:t>
            </w:r>
          </w:p>
        </w:tc>
        <w:tc>
          <w:tcPr>
            <w:tcW w:w="1099" w:type="dxa"/>
          </w:tcPr>
          <w:p w14:paraId="5817BF6F" w14:textId="77777777" w:rsidR="00F838A9" w:rsidRPr="007E4CD5" w:rsidRDefault="00F838A9">
            <w:pPr>
              <w:pStyle w:val="TableBody"/>
              <w:ind w:right="113"/>
              <w:jc w:val="right"/>
            </w:pPr>
            <w:r w:rsidRPr="007E4CD5">
              <w:t>-0.79</w:t>
            </w:r>
          </w:p>
        </w:tc>
        <w:tc>
          <w:tcPr>
            <w:tcW w:w="1134" w:type="dxa"/>
          </w:tcPr>
          <w:p w14:paraId="2217EBAE" w14:textId="77777777" w:rsidR="00F838A9" w:rsidRPr="007E4CD5" w:rsidRDefault="00F838A9">
            <w:pPr>
              <w:pStyle w:val="TableBody"/>
              <w:ind w:right="113"/>
              <w:jc w:val="right"/>
            </w:pPr>
            <w:r w:rsidRPr="007E4CD5">
              <w:t>-3.37</w:t>
            </w:r>
          </w:p>
        </w:tc>
      </w:tr>
      <w:tr w:rsidR="00F838A9" w:rsidRPr="00F838A9" w14:paraId="1A2E4D73" w14:textId="77777777">
        <w:trPr>
          <w:cnfStyle w:val="000000010000" w:firstRow="0" w:lastRow="0" w:firstColumn="0" w:lastColumn="0" w:oddVBand="0" w:evenVBand="0" w:oddHBand="0" w:evenHBand="1" w:firstRowFirstColumn="0" w:firstRowLastColumn="0" w:lastRowFirstColumn="0" w:lastRowLastColumn="0"/>
        </w:trPr>
        <w:tc>
          <w:tcPr>
            <w:tcW w:w="4111" w:type="dxa"/>
          </w:tcPr>
          <w:p w14:paraId="7C99DA96" w14:textId="3397CE74" w:rsidR="00F838A9" w:rsidRPr="007E4CD5" w:rsidRDefault="00F838A9">
            <w:pPr>
              <w:pStyle w:val="TableBody"/>
              <w:ind w:left="194"/>
            </w:pPr>
            <w:r w:rsidRPr="007E4CD5">
              <w:t>B1.5 – Removal of field maintenance</w:t>
            </w:r>
          </w:p>
        </w:tc>
        <w:tc>
          <w:tcPr>
            <w:tcW w:w="1098" w:type="dxa"/>
          </w:tcPr>
          <w:p w14:paraId="3563B949" w14:textId="77777777" w:rsidR="00F838A9" w:rsidRPr="007E4CD5" w:rsidRDefault="00F838A9">
            <w:pPr>
              <w:pStyle w:val="TableBody"/>
              <w:ind w:right="113"/>
              <w:jc w:val="right"/>
            </w:pPr>
            <w:r w:rsidRPr="007E4CD5">
              <w:t>-6.23</w:t>
            </w:r>
          </w:p>
        </w:tc>
        <w:tc>
          <w:tcPr>
            <w:tcW w:w="1099" w:type="dxa"/>
          </w:tcPr>
          <w:p w14:paraId="4DC7E4AF" w14:textId="77777777" w:rsidR="00F838A9" w:rsidRPr="007E4CD5" w:rsidRDefault="00F838A9">
            <w:pPr>
              <w:pStyle w:val="TableBody"/>
              <w:ind w:right="113"/>
              <w:jc w:val="right"/>
            </w:pPr>
            <w:r w:rsidRPr="007E4CD5">
              <w:t xml:space="preserve">-5.81 </w:t>
            </w:r>
          </w:p>
        </w:tc>
        <w:tc>
          <w:tcPr>
            <w:tcW w:w="1098" w:type="dxa"/>
          </w:tcPr>
          <w:p w14:paraId="089CEC23" w14:textId="77777777" w:rsidR="00F838A9" w:rsidRPr="007E4CD5" w:rsidRDefault="00F838A9">
            <w:pPr>
              <w:pStyle w:val="TableBody"/>
              <w:ind w:right="113"/>
              <w:jc w:val="right"/>
            </w:pPr>
            <w:r w:rsidRPr="007E4CD5">
              <w:t>-5.35</w:t>
            </w:r>
          </w:p>
        </w:tc>
        <w:tc>
          <w:tcPr>
            <w:tcW w:w="1099" w:type="dxa"/>
          </w:tcPr>
          <w:p w14:paraId="071BB709" w14:textId="77777777" w:rsidR="00F838A9" w:rsidRPr="007E4CD5" w:rsidRDefault="00F838A9">
            <w:pPr>
              <w:pStyle w:val="TableBody"/>
              <w:ind w:right="113"/>
              <w:jc w:val="right"/>
            </w:pPr>
            <w:r w:rsidRPr="007E4CD5">
              <w:t>-5.36</w:t>
            </w:r>
          </w:p>
        </w:tc>
        <w:tc>
          <w:tcPr>
            <w:tcW w:w="1134" w:type="dxa"/>
          </w:tcPr>
          <w:p w14:paraId="4D499036" w14:textId="77777777" w:rsidR="00F838A9" w:rsidRPr="007E4CD5" w:rsidRDefault="00F838A9">
            <w:pPr>
              <w:pStyle w:val="TableBody"/>
              <w:ind w:right="113"/>
              <w:jc w:val="right"/>
            </w:pPr>
            <w:r w:rsidRPr="007E4CD5">
              <w:t>-22.74</w:t>
            </w:r>
          </w:p>
        </w:tc>
      </w:tr>
      <w:tr w:rsidR="00F838A9" w:rsidRPr="00F838A9" w14:paraId="2DDB9238" w14:textId="77777777">
        <w:trPr>
          <w:cnfStyle w:val="000000100000" w:firstRow="0" w:lastRow="0" w:firstColumn="0" w:lastColumn="0" w:oddVBand="0" w:evenVBand="0" w:oddHBand="1" w:evenHBand="0" w:firstRowFirstColumn="0" w:firstRowLastColumn="0" w:lastRowFirstColumn="0" w:lastRowLastColumn="0"/>
        </w:trPr>
        <w:tc>
          <w:tcPr>
            <w:tcW w:w="4111" w:type="dxa"/>
          </w:tcPr>
          <w:p w14:paraId="7D5DE27B" w14:textId="61D811E7" w:rsidR="00F838A9" w:rsidRPr="007E4CD5" w:rsidRDefault="00F838A9">
            <w:pPr>
              <w:pStyle w:val="TableBody"/>
              <w:ind w:left="194"/>
            </w:pPr>
            <w:r w:rsidRPr="007E4CD5">
              <w:t xml:space="preserve">B1.6 – Removal of </w:t>
            </w:r>
            <w:proofErr w:type="spellStart"/>
            <w:r w:rsidRPr="007E4CD5">
              <w:t>Labour</w:t>
            </w:r>
            <w:proofErr w:type="spellEnd"/>
          </w:p>
        </w:tc>
        <w:tc>
          <w:tcPr>
            <w:tcW w:w="1098" w:type="dxa"/>
          </w:tcPr>
          <w:p w14:paraId="15C6813F" w14:textId="77777777" w:rsidR="00F838A9" w:rsidRPr="007E4CD5" w:rsidRDefault="00F838A9">
            <w:pPr>
              <w:pStyle w:val="TableBody"/>
              <w:ind w:right="113"/>
              <w:jc w:val="right"/>
            </w:pPr>
            <w:r w:rsidRPr="007E4CD5">
              <w:t>-0.81</w:t>
            </w:r>
          </w:p>
        </w:tc>
        <w:tc>
          <w:tcPr>
            <w:tcW w:w="1099" w:type="dxa"/>
          </w:tcPr>
          <w:p w14:paraId="7B590B66" w14:textId="77777777" w:rsidR="00F838A9" w:rsidRPr="007E4CD5" w:rsidRDefault="00F838A9">
            <w:pPr>
              <w:pStyle w:val="TableBody"/>
              <w:ind w:right="113"/>
              <w:jc w:val="right"/>
            </w:pPr>
            <w:r w:rsidRPr="007E4CD5">
              <w:t>-0.76</w:t>
            </w:r>
          </w:p>
        </w:tc>
        <w:tc>
          <w:tcPr>
            <w:tcW w:w="1098" w:type="dxa"/>
          </w:tcPr>
          <w:p w14:paraId="22174D21" w14:textId="77777777" w:rsidR="00F838A9" w:rsidRPr="007E4CD5" w:rsidRDefault="00F838A9">
            <w:pPr>
              <w:pStyle w:val="TableBody"/>
              <w:ind w:right="113"/>
              <w:jc w:val="right"/>
            </w:pPr>
            <w:r w:rsidRPr="007E4CD5">
              <w:t>-0.70</w:t>
            </w:r>
          </w:p>
        </w:tc>
        <w:tc>
          <w:tcPr>
            <w:tcW w:w="1099" w:type="dxa"/>
          </w:tcPr>
          <w:p w14:paraId="72F6B53D" w14:textId="77777777" w:rsidR="00F838A9" w:rsidRPr="007E4CD5" w:rsidRDefault="00F838A9">
            <w:pPr>
              <w:pStyle w:val="TableBody"/>
              <w:ind w:right="113"/>
              <w:jc w:val="right"/>
            </w:pPr>
            <w:r w:rsidRPr="007E4CD5">
              <w:t>-0.70</w:t>
            </w:r>
          </w:p>
        </w:tc>
        <w:tc>
          <w:tcPr>
            <w:tcW w:w="1134" w:type="dxa"/>
          </w:tcPr>
          <w:p w14:paraId="7D93E595" w14:textId="77777777" w:rsidR="00F838A9" w:rsidRPr="007E4CD5" w:rsidRDefault="00F838A9">
            <w:pPr>
              <w:pStyle w:val="TableBody"/>
              <w:ind w:right="113"/>
              <w:jc w:val="right"/>
            </w:pPr>
            <w:r w:rsidRPr="007E4CD5">
              <w:t>-2.97</w:t>
            </w:r>
          </w:p>
        </w:tc>
      </w:tr>
      <w:tr w:rsidR="00F838A9" w:rsidRPr="00F838A9" w14:paraId="0C34474F" w14:textId="77777777">
        <w:trPr>
          <w:cnfStyle w:val="000000010000" w:firstRow="0" w:lastRow="0" w:firstColumn="0" w:lastColumn="0" w:oddVBand="0" w:evenVBand="0" w:oddHBand="0" w:evenHBand="1" w:firstRowFirstColumn="0" w:firstRowLastColumn="0" w:lastRowFirstColumn="0" w:lastRowLastColumn="0"/>
        </w:trPr>
        <w:tc>
          <w:tcPr>
            <w:tcW w:w="4111" w:type="dxa"/>
          </w:tcPr>
          <w:p w14:paraId="5B854961" w14:textId="0DF69A11" w:rsidR="00F838A9" w:rsidRPr="007E4CD5" w:rsidRDefault="00F838A9">
            <w:pPr>
              <w:pStyle w:val="TableBody"/>
              <w:ind w:left="194"/>
            </w:pPr>
            <w:r w:rsidRPr="007E4CD5">
              <w:t xml:space="preserve">B1.7 – Removal of unexplained </w:t>
            </w:r>
            <w:r w:rsidR="00C868F8">
              <w:t xml:space="preserve">baseline </w:t>
            </w:r>
            <w:r w:rsidRPr="007E4CD5">
              <w:t>increase</w:t>
            </w:r>
          </w:p>
        </w:tc>
        <w:tc>
          <w:tcPr>
            <w:tcW w:w="1098" w:type="dxa"/>
          </w:tcPr>
          <w:p w14:paraId="235D02AE" w14:textId="77777777" w:rsidR="00F838A9" w:rsidRPr="007E4CD5" w:rsidRDefault="00F838A9">
            <w:pPr>
              <w:pStyle w:val="TableBody"/>
              <w:ind w:right="113"/>
              <w:jc w:val="right"/>
            </w:pPr>
            <w:r w:rsidRPr="007E4CD5">
              <w:t>-2.28</w:t>
            </w:r>
          </w:p>
        </w:tc>
        <w:tc>
          <w:tcPr>
            <w:tcW w:w="1099" w:type="dxa"/>
          </w:tcPr>
          <w:p w14:paraId="423C8B07" w14:textId="77777777" w:rsidR="00F838A9" w:rsidRPr="007E4CD5" w:rsidRDefault="00F838A9">
            <w:pPr>
              <w:pStyle w:val="TableBody"/>
              <w:ind w:right="113"/>
              <w:jc w:val="right"/>
            </w:pPr>
            <w:r w:rsidRPr="007E4CD5">
              <w:t>-2.13</w:t>
            </w:r>
          </w:p>
        </w:tc>
        <w:tc>
          <w:tcPr>
            <w:tcW w:w="1098" w:type="dxa"/>
          </w:tcPr>
          <w:p w14:paraId="27AE5FC4" w14:textId="77777777" w:rsidR="00F838A9" w:rsidRPr="007E4CD5" w:rsidRDefault="00F838A9">
            <w:pPr>
              <w:pStyle w:val="TableBody"/>
              <w:ind w:right="113"/>
              <w:jc w:val="right"/>
            </w:pPr>
            <w:r w:rsidRPr="007E4CD5">
              <w:t>-1.96</w:t>
            </w:r>
          </w:p>
        </w:tc>
        <w:tc>
          <w:tcPr>
            <w:tcW w:w="1099" w:type="dxa"/>
          </w:tcPr>
          <w:p w14:paraId="679C9BF9" w14:textId="77777777" w:rsidR="00F838A9" w:rsidRPr="007E4CD5" w:rsidRDefault="00F838A9">
            <w:pPr>
              <w:pStyle w:val="TableBody"/>
              <w:ind w:right="113"/>
              <w:jc w:val="right"/>
            </w:pPr>
            <w:r w:rsidRPr="007E4CD5">
              <w:t>-1.96</w:t>
            </w:r>
          </w:p>
        </w:tc>
        <w:tc>
          <w:tcPr>
            <w:tcW w:w="1134" w:type="dxa"/>
          </w:tcPr>
          <w:p w14:paraId="7E187B04" w14:textId="77777777" w:rsidR="00F838A9" w:rsidRPr="007E4CD5" w:rsidRDefault="00F838A9">
            <w:pPr>
              <w:pStyle w:val="TableBody"/>
              <w:ind w:right="113"/>
              <w:jc w:val="right"/>
            </w:pPr>
            <w:r w:rsidRPr="007E4CD5">
              <w:t>-8.33</w:t>
            </w:r>
          </w:p>
        </w:tc>
      </w:tr>
      <w:tr w:rsidR="00F838A9" w:rsidRPr="00F838A9" w14:paraId="6CA092B9" w14:textId="77777777">
        <w:trPr>
          <w:cnfStyle w:val="000000100000" w:firstRow="0" w:lastRow="0" w:firstColumn="0" w:lastColumn="0" w:oddVBand="0" w:evenVBand="0" w:oddHBand="1" w:evenHBand="0" w:firstRowFirstColumn="0" w:firstRowLastColumn="0" w:lastRowFirstColumn="0" w:lastRowLastColumn="0"/>
        </w:trPr>
        <w:tc>
          <w:tcPr>
            <w:tcW w:w="4111" w:type="dxa"/>
          </w:tcPr>
          <w:p w14:paraId="4CA0691B" w14:textId="75FFD1B9" w:rsidR="00F838A9" w:rsidRPr="006F188E" w:rsidRDefault="00F838A9" w:rsidP="008E0ACD">
            <w:pPr>
              <w:pStyle w:val="TableBody"/>
              <w:keepNext/>
              <w:ind w:left="194"/>
            </w:pPr>
            <w:r w:rsidRPr="006F188E">
              <w:rPr>
                <w:b/>
              </w:rPr>
              <w:lastRenderedPageBreak/>
              <w:t>B</w:t>
            </w:r>
            <w:r w:rsidR="00632384">
              <w:rPr>
                <w:b/>
              </w:rPr>
              <w:t>2</w:t>
            </w:r>
            <w:r w:rsidRPr="006F188E">
              <w:rPr>
                <w:b/>
              </w:rPr>
              <w:t xml:space="preserve"> – Total step change adjustments</w:t>
            </w:r>
          </w:p>
        </w:tc>
        <w:tc>
          <w:tcPr>
            <w:tcW w:w="1098" w:type="dxa"/>
          </w:tcPr>
          <w:p w14:paraId="40ED0E9E" w14:textId="4736F889" w:rsidR="00F838A9" w:rsidRPr="006F188E" w:rsidRDefault="00F838A9" w:rsidP="008E0ACD">
            <w:pPr>
              <w:pStyle w:val="TableBody"/>
              <w:keepNext/>
              <w:ind w:right="113"/>
              <w:jc w:val="right"/>
              <w:rPr>
                <w:b/>
              </w:rPr>
            </w:pPr>
            <w:r w:rsidRPr="006F188E">
              <w:rPr>
                <w:b/>
              </w:rPr>
              <w:t>-2.63</w:t>
            </w:r>
          </w:p>
        </w:tc>
        <w:tc>
          <w:tcPr>
            <w:tcW w:w="1099" w:type="dxa"/>
          </w:tcPr>
          <w:p w14:paraId="6156AD1F" w14:textId="77777777" w:rsidR="00F838A9" w:rsidRPr="006F188E" w:rsidRDefault="00F838A9" w:rsidP="008E0ACD">
            <w:pPr>
              <w:pStyle w:val="TableBody"/>
              <w:keepNext/>
              <w:ind w:right="113"/>
              <w:jc w:val="right"/>
              <w:rPr>
                <w:b/>
              </w:rPr>
            </w:pPr>
            <w:r w:rsidRPr="006F188E">
              <w:rPr>
                <w:b/>
              </w:rPr>
              <w:t>-3.62</w:t>
            </w:r>
          </w:p>
        </w:tc>
        <w:tc>
          <w:tcPr>
            <w:tcW w:w="1098" w:type="dxa"/>
          </w:tcPr>
          <w:p w14:paraId="553C636A" w14:textId="77777777" w:rsidR="00F838A9" w:rsidRPr="006F188E" w:rsidRDefault="00F838A9" w:rsidP="008E0ACD">
            <w:pPr>
              <w:pStyle w:val="TableBody"/>
              <w:keepNext/>
              <w:ind w:right="113"/>
              <w:jc w:val="right"/>
              <w:rPr>
                <w:b/>
              </w:rPr>
            </w:pPr>
            <w:r w:rsidRPr="006F188E">
              <w:rPr>
                <w:b/>
              </w:rPr>
              <w:t>-4.73</w:t>
            </w:r>
          </w:p>
        </w:tc>
        <w:tc>
          <w:tcPr>
            <w:tcW w:w="1099" w:type="dxa"/>
          </w:tcPr>
          <w:p w14:paraId="08BEBB98" w14:textId="77777777" w:rsidR="00F838A9" w:rsidRPr="006F188E" w:rsidRDefault="00F838A9" w:rsidP="008E0ACD">
            <w:pPr>
              <w:pStyle w:val="TableBody"/>
              <w:keepNext/>
              <w:ind w:right="113"/>
              <w:jc w:val="right"/>
              <w:rPr>
                <w:b/>
              </w:rPr>
            </w:pPr>
            <w:r w:rsidRPr="006F188E">
              <w:rPr>
                <w:b/>
              </w:rPr>
              <w:t>-4.78</w:t>
            </w:r>
          </w:p>
        </w:tc>
        <w:tc>
          <w:tcPr>
            <w:tcW w:w="1134" w:type="dxa"/>
          </w:tcPr>
          <w:p w14:paraId="182F60C8" w14:textId="77777777" w:rsidR="00F838A9" w:rsidRPr="006F188E" w:rsidRDefault="00F838A9" w:rsidP="007D3FD2">
            <w:pPr>
              <w:pStyle w:val="TableBody"/>
              <w:keepNext/>
              <w:ind w:right="113"/>
              <w:jc w:val="right"/>
              <w:rPr>
                <w:b/>
              </w:rPr>
            </w:pPr>
            <w:r w:rsidRPr="006F188E">
              <w:rPr>
                <w:b/>
              </w:rPr>
              <w:t>-15.76</w:t>
            </w:r>
          </w:p>
        </w:tc>
      </w:tr>
      <w:tr w:rsidR="00F838A9" w:rsidRPr="00F838A9" w14:paraId="2F8A213E" w14:textId="77777777">
        <w:trPr>
          <w:cnfStyle w:val="000000010000" w:firstRow="0" w:lastRow="0" w:firstColumn="0" w:lastColumn="0" w:oddVBand="0" w:evenVBand="0" w:oddHBand="0" w:evenHBand="1" w:firstRowFirstColumn="0" w:firstRowLastColumn="0" w:lastRowFirstColumn="0" w:lastRowLastColumn="0"/>
        </w:trPr>
        <w:tc>
          <w:tcPr>
            <w:tcW w:w="4111" w:type="dxa"/>
          </w:tcPr>
          <w:p w14:paraId="6729BAA4" w14:textId="78BDEC7D" w:rsidR="00F838A9" w:rsidRPr="006F188E" w:rsidRDefault="00F838A9">
            <w:pPr>
              <w:pStyle w:val="TableBody"/>
              <w:ind w:left="194"/>
            </w:pPr>
            <w:r w:rsidRPr="006F188E">
              <w:t>B2.1 – Removal of B</w:t>
            </w:r>
            <w:r w:rsidR="008B1525">
              <w:t xml:space="preserve">illing </w:t>
            </w:r>
            <w:r w:rsidRPr="006F188E">
              <w:t>&amp;</w:t>
            </w:r>
            <w:r w:rsidR="008B1525">
              <w:t xml:space="preserve"> </w:t>
            </w:r>
            <w:r w:rsidRPr="006F188E">
              <w:t>C</w:t>
            </w:r>
            <w:r w:rsidR="008B1525">
              <w:t>ollection</w:t>
            </w:r>
            <w:r w:rsidR="005A2486">
              <w:t xml:space="preserve"> system</w:t>
            </w:r>
            <w:r w:rsidRPr="006F188E">
              <w:t xml:space="preserve"> contingency</w:t>
            </w:r>
          </w:p>
        </w:tc>
        <w:tc>
          <w:tcPr>
            <w:tcW w:w="1098" w:type="dxa"/>
          </w:tcPr>
          <w:p w14:paraId="46EA1419" w14:textId="77777777" w:rsidR="00F838A9" w:rsidRPr="006F188E" w:rsidRDefault="00F838A9">
            <w:pPr>
              <w:pStyle w:val="TableBody"/>
              <w:ind w:right="113"/>
              <w:jc w:val="right"/>
            </w:pPr>
            <w:r w:rsidRPr="006F188E">
              <w:t>-0.77</w:t>
            </w:r>
          </w:p>
        </w:tc>
        <w:tc>
          <w:tcPr>
            <w:tcW w:w="1099" w:type="dxa"/>
          </w:tcPr>
          <w:p w14:paraId="1D11D9DA" w14:textId="77777777" w:rsidR="00F838A9" w:rsidRPr="006F188E" w:rsidRDefault="00F838A9">
            <w:pPr>
              <w:pStyle w:val="TableBody"/>
              <w:ind w:right="113"/>
              <w:jc w:val="right"/>
            </w:pPr>
            <w:r w:rsidRPr="006F188E">
              <w:t>-0.78</w:t>
            </w:r>
          </w:p>
        </w:tc>
        <w:tc>
          <w:tcPr>
            <w:tcW w:w="1098" w:type="dxa"/>
          </w:tcPr>
          <w:p w14:paraId="50DF40B5" w14:textId="77777777" w:rsidR="00F838A9" w:rsidRPr="006F188E" w:rsidRDefault="00F838A9">
            <w:pPr>
              <w:pStyle w:val="TableBody"/>
              <w:ind w:right="113"/>
              <w:jc w:val="right"/>
            </w:pPr>
            <w:r w:rsidRPr="006F188E">
              <w:t>-0.80</w:t>
            </w:r>
          </w:p>
        </w:tc>
        <w:tc>
          <w:tcPr>
            <w:tcW w:w="1099" w:type="dxa"/>
          </w:tcPr>
          <w:p w14:paraId="1FC248A8" w14:textId="77777777" w:rsidR="00F838A9" w:rsidRPr="006F188E" w:rsidRDefault="00F838A9">
            <w:pPr>
              <w:pStyle w:val="TableBody"/>
              <w:ind w:right="113"/>
              <w:jc w:val="right"/>
            </w:pPr>
            <w:r w:rsidRPr="006F188E">
              <w:t>-0.81</w:t>
            </w:r>
          </w:p>
        </w:tc>
        <w:tc>
          <w:tcPr>
            <w:tcW w:w="1134" w:type="dxa"/>
          </w:tcPr>
          <w:p w14:paraId="7B6A13E5" w14:textId="77777777" w:rsidR="00F838A9" w:rsidRPr="006F188E" w:rsidRDefault="00F838A9">
            <w:pPr>
              <w:pStyle w:val="TableBody"/>
              <w:ind w:right="113"/>
              <w:jc w:val="right"/>
            </w:pPr>
            <w:r w:rsidRPr="006F188E">
              <w:t>-3.16</w:t>
            </w:r>
          </w:p>
        </w:tc>
      </w:tr>
      <w:tr w:rsidR="00F838A9" w:rsidRPr="00F838A9" w14:paraId="236BBFC3" w14:textId="77777777">
        <w:trPr>
          <w:cnfStyle w:val="000000100000" w:firstRow="0" w:lastRow="0" w:firstColumn="0" w:lastColumn="0" w:oddVBand="0" w:evenVBand="0" w:oddHBand="1" w:evenHBand="0" w:firstRowFirstColumn="0" w:firstRowLastColumn="0" w:lastRowFirstColumn="0" w:lastRowLastColumn="0"/>
        </w:trPr>
        <w:tc>
          <w:tcPr>
            <w:tcW w:w="4111" w:type="dxa"/>
          </w:tcPr>
          <w:p w14:paraId="612A1479" w14:textId="46E05A32" w:rsidR="00F838A9" w:rsidRPr="006F188E" w:rsidRDefault="00F838A9">
            <w:pPr>
              <w:pStyle w:val="TableBody"/>
              <w:ind w:left="194"/>
            </w:pPr>
            <w:r w:rsidRPr="006F188E">
              <w:t>B2.2 – Reallocation of B</w:t>
            </w:r>
            <w:r w:rsidR="00404CEB">
              <w:t xml:space="preserve">illing </w:t>
            </w:r>
            <w:r w:rsidRPr="006F188E">
              <w:t>&amp;</w:t>
            </w:r>
            <w:r w:rsidR="00404CEB">
              <w:t xml:space="preserve"> </w:t>
            </w:r>
            <w:r w:rsidRPr="006F188E">
              <w:t>C</w:t>
            </w:r>
            <w:r w:rsidR="00404CEB">
              <w:t>ollection system</w:t>
            </w:r>
            <w:r w:rsidRPr="006F188E">
              <w:t xml:space="preserve"> cost saving from efficiency rate</w:t>
            </w:r>
          </w:p>
        </w:tc>
        <w:tc>
          <w:tcPr>
            <w:tcW w:w="1098" w:type="dxa"/>
          </w:tcPr>
          <w:p w14:paraId="266054B4" w14:textId="77777777" w:rsidR="00F838A9" w:rsidRPr="006F188E" w:rsidRDefault="00F838A9">
            <w:pPr>
              <w:pStyle w:val="TableBody"/>
              <w:ind w:right="113"/>
              <w:jc w:val="right"/>
            </w:pPr>
            <w:r w:rsidRPr="006F188E">
              <w:t>-1.86</w:t>
            </w:r>
          </w:p>
        </w:tc>
        <w:tc>
          <w:tcPr>
            <w:tcW w:w="1099" w:type="dxa"/>
          </w:tcPr>
          <w:p w14:paraId="589E42B3" w14:textId="77777777" w:rsidR="00F838A9" w:rsidRPr="006F188E" w:rsidRDefault="00F838A9">
            <w:pPr>
              <w:pStyle w:val="TableBody"/>
              <w:ind w:right="113"/>
              <w:jc w:val="right"/>
            </w:pPr>
            <w:r w:rsidRPr="006F188E">
              <w:t>-2.84</w:t>
            </w:r>
          </w:p>
        </w:tc>
        <w:tc>
          <w:tcPr>
            <w:tcW w:w="1098" w:type="dxa"/>
          </w:tcPr>
          <w:p w14:paraId="4A71A78A" w14:textId="77777777" w:rsidR="00F838A9" w:rsidRPr="006F188E" w:rsidRDefault="00F838A9">
            <w:pPr>
              <w:pStyle w:val="TableBody"/>
              <w:ind w:right="113"/>
              <w:jc w:val="right"/>
            </w:pPr>
            <w:r w:rsidRPr="006F188E">
              <w:t>-3.93</w:t>
            </w:r>
          </w:p>
        </w:tc>
        <w:tc>
          <w:tcPr>
            <w:tcW w:w="1099" w:type="dxa"/>
          </w:tcPr>
          <w:p w14:paraId="05354329" w14:textId="77777777" w:rsidR="00F838A9" w:rsidRPr="006F188E" w:rsidRDefault="00F838A9">
            <w:pPr>
              <w:pStyle w:val="TableBody"/>
              <w:ind w:right="113"/>
              <w:jc w:val="right"/>
            </w:pPr>
            <w:r w:rsidRPr="006F188E">
              <w:t>-3.97</w:t>
            </w:r>
          </w:p>
        </w:tc>
        <w:tc>
          <w:tcPr>
            <w:tcW w:w="1134" w:type="dxa"/>
          </w:tcPr>
          <w:p w14:paraId="675E3031" w14:textId="77777777" w:rsidR="00F838A9" w:rsidRPr="006F188E" w:rsidRDefault="00F838A9">
            <w:pPr>
              <w:pStyle w:val="TableBody"/>
              <w:ind w:right="113"/>
              <w:jc w:val="right"/>
            </w:pPr>
            <w:r w:rsidRPr="006F188E">
              <w:t>-12.60</w:t>
            </w:r>
          </w:p>
        </w:tc>
      </w:tr>
      <w:tr w:rsidR="00F838A9" w:rsidRPr="00F838A9" w14:paraId="73E46E50" w14:textId="77777777">
        <w:trPr>
          <w:cnfStyle w:val="000000010000" w:firstRow="0" w:lastRow="0" w:firstColumn="0" w:lastColumn="0" w:oddVBand="0" w:evenVBand="0" w:oddHBand="0" w:evenHBand="1" w:firstRowFirstColumn="0" w:firstRowLastColumn="0" w:lastRowFirstColumn="0" w:lastRowLastColumn="0"/>
        </w:trPr>
        <w:tc>
          <w:tcPr>
            <w:tcW w:w="4111" w:type="dxa"/>
          </w:tcPr>
          <w:p w14:paraId="77A86E42" w14:textId="77777777" w:rsidR="00F838A9" w:rsidRPr="006F188E" w:rsidRDefault="00F838A9">
            <w:pPr>
              <w:pStyle w:val="TableBody"/>
              <w:rPr>
                <w:b/>
              </w:rPr>
            </w:pPr>
            <w:r w:rsidRPr="006F188E">
              <w:rPr>
                <w:b/>
              </w:rPr>
              <w:t>C. Our total proposed adjustments to non</w:t>
            </w:r>
            <w:r w:rsidRPr="006F188E">
              <w:rPr>
                <w:b/>
              </w:rPr>
              <w:noBreakHyphen/>
              <w:t>controllable operating costs (C1)</w:t>
            </w:r>
          </w:p>
        </w:tc>
        <w:tc>
          <w:tcPr>
            <w:tcW w:w="1098" w:type="dxa"/>
          </w:tcPr>
          <w:p w14:paraId="139AD2B0" w14:textId="77777777" w:rsidR="00F838A9" w:rsidRPr="006F188E" w:rsidRDefault="00F838A9">
            <w:pPr>
              <w:pStyle w:val="TableBody"/>
              <w:ind w:right="113"/>
              <w:jc w:val="right"/>
              <w:rPr>
                <w:b/>
              </w:rPr>
            </w:pPr>
            <w:r w:rsidRPr="006F188E">
              <w:rPr>
                <w:b/>
              </w:rPr>
              <w:t>0.16</w:t>
            </w:r>
          </w:p>
        </w:tc>
        <w:tc>
          <w:tcPr>
            <w:tcW w:w="1099" w:type="dxa"/>
          </w:tcPr>
          <w:p w14:paraId="35917564" w14:textId="77777777" w:rsidR="00F838A9" w:rsidRPr="006F188E" w:rsidRDefault="00F838A9">
            <w:pPr>
              <w:pStyle w:val="TableBody"/>
              <w:ind w:right="113"/>
              <w:jc w:val="right"/>
              <w:rPr>
                <w:b/>
              </w:rPr>
            </w:pPr>
            <w:r w:rsidRPr="006F188E">
              <w:rPr>
                <w:b/>
              </w:rPr>
              <w:t>0.31</w:t>
            </w:r>
          </w:p>
        </w:tc>
        <w:tc>
          <w:tcPr>
            <w:tcW w:w="1098" w:type="dxa"/>
          </w:tcPr>
          <w:p w14:paraId="285153CC" w14:textId="77777777" w:rsidR="00F838A9" w:rsidRPr="006F188E" w:rsidRDefault="00F838A9">
            <w:pPr>
              <w:pStyle w:val="TableBody"/>
              <w:ind w:right="113"/>
              <w:jc w:val="right"/>
              <w:rPr>
                <w:b/>
              </w:rPr>
            </w:pPr>
            <w:r w:rsidRPr="006F188E">
              <w:rPr>
                <w:b/>
              </w:rPr>
              <w:t>0.45</w:t>
            </w:r>
          </w:p>
        </w:tc>
        <w:tc>
          <w:tcPr>
            <w:tcW w:w="1099" w:type="dxa"/>
          </w:tcPr>
          <w:p w14:paraId="5308841D" w14:textId="77777777" w:rsidR="00F838A9" w:rsidRPr="006F188E" w:rsidRDefault="00F838A9">
            <w:pPr>
              <w:pStyle w:val="TableBody"/>
              <w:ind w:right="113"/>
              <w:jc w:val="right"/>
              <w:rPr>
                <w:b/>
              </w:rPr>
            </w:pPr>
            <w:r w:rsidRPr="006F188E">
              <w:rPr>
                <w:b/>
              </w:rPr>
              <w:t>0.58</w:t>
            </w:r>
          </w:p>
        </w:tc>
        <w:tc>
          <w:tcPr>
            <w:tcW w:w="1134" w:type="dxa"/>
          </w:tcPr>
          <w:p w14:paraId="08C11F8F" w14:textId="77777777" w:rsidR="00F838A9" w:rsidRPr="006F188E" w:rsidRDefault="00F838A9">
            <w:pPr>
              <w:pStyle w:val="TableBody"/>
              <w:ind w:right="113"/>
              <w:jc w:val="right"/>
              <w:rPr>
                <w:b/>
              </w:rPr>
            </w:pPr>
            <w:r w:rsidRPr="006F188E">
              <w:rPr>
                <w:b/>
              </w:rPr>
              <w:t>1.49</w:t>
            </w:r>
          </w:p>
        </w:tc>
      </w:tr>
      <w:tr w:rsidR="00F838A9" w:rsidRPr="00F838A9" w14:paraId="470BBD02" w14:textId="77777777">
        <w:trPr>
          <w:cnfStyle w:val="000000100000" w:firstRow="0" w:lastRow="0" w:firstColumn="0" w:lastColumn="0" w:oddVBand="0" w:evenVBand="0" w:oddHBand="1" w:evenHBand="0" w:firstRowFirstColumn="0" w:firstRowLastColumn="0" w:lastRowFirstColumn="0" w:lastRowLastColumn="0"/>
        </w:trPr>
        <w:tc>
          <w:tcPr>
            <w:tcW w:w="4111" w:type="dxa"/>
          </w:tcPr>
          <w:p w14:paraId="1D68EA33" w14:textId="77777777" w:rsidR="00F838A9" w:rsidRPr="006F188E" w:rsidRDefault="00F838A9">
            <w:pPr>
              <w:pStyle w:val="TableBody"/>
            </w:pPr>
            <w:r w:rsidRPr="006F188E">
              <w:t>C1 – Long-term inflation update impact on environmental contribution forecast</w:t>
            </w:r>
          </w:p>
        </w:tc>
        <w:tc>
          <w:tcPr>
            <w:tcW w:w="1098" w:type="dxa"/>
          </w:tcPr>
          <w:p w14:paraId="5CED792C" w14:textId="77777777" w:rsidR="00F838A9" w:rsidRPr="006F188E" w:rsidRDefault="00F838A9">
            <w:pPr>
              <w:pStyle w:val="TableBody"/>
              <w:ind w:right="113"/>
              <w:jc w:val="right"/>
            </w:pPr>
            <w:r w:rsidRPr="006F188E">
              <w:t>0.16</w:t>
            </w:r>
          </w:p>
        </w:tc>
        <w:tc>
          <w:tcPr>
            <w:tcW w:w="1099" w:type="dxa"/>
          </w:tcPr>
          <w:p w14:paraId="1D4E743D" w14:textId="77777777" w:rsidR="00F838A9" w:rsidRPr="006F188E" w:rsidRDefault="00F838A9">
            <w:pPr>
              <w:pStyle w:val="TableBody"/>
              <w:ind w:right="113"/>
              <w:jc w:val="right"/>
            </w:pPr>
            <w:r w:rsidRPr="006F188E">
              <w:t>0.31</w:t>
            </w:r>
          </w:p>
        </w:tc>
        <w:tc>
          <w:tcPr>
            <w:tcW w:w="1098" w:type="dxa"/>
          </w:tcPr>
          <w:p w14:paraId="65CE072C" w14:textId="77777777" w:rsidR="00F838A9" w:rsidRPr="006F188E" w:rsidRDefault="00F838A9">
            <w:pPr>
              <w:pStyle w:val="TableBody"/>
              <w:ind w:right="113"/>
              <w:jc w:val="right"/>
            </w:pPr>
            <w:r w:rsidRPr="006F188E">
              <w:t>0.45</w:t>
            </w:r>
          </w:p>
        </w:tc>
        <w:tc>
          <w:tcPr>
            <w:tcW w:w="1099" w:type="dxa"/>
          </w:tcPr>
          <w:p w14:paraId="2BF619F9" w14:textId="77777777" w:rsidR="00F838A9" w:rsidRPr="006F188E" w:rsidRDefault="00F838A9">
            <w:pPr>
              <w:pStyle w:val="TableBody"/>
              <w:ind w:right="113"/>
              <w:jc w:val="right"/>
            </w:pPr>
            <w:r w:rsidRPr="006F188E">
              <w:t>0.58</w:t>
            </w:r>
          </w:p>
        </w:tc>
        <w:tc>
          <w:tcPr>
            <w:tcW w:w="1134" w:type="dxa"/>
          </w:tcPr>
          <w:p w14:paraId="1B4F2A05" w14:textId="77777777" w:rsidR="00F838A9" w:rsidRPr="006F188E" w:rsidRDefault="00F838A9">
            <w:pPr>
              <w:pStyle w:val="TableBody"/>
              <w:ind w:right="113"/>
              <w:jc w:val="right"/>
            </w:pPr>
            <w:r w:rsidRPr="006F188E">
              <w:t>1.49</w:t>
            </w:r>
          </w:p>
        </w:tc>
      </w:tr>
      <w:tr w:rsidR="00F838A9" w14:paraId="26A6C4A4" w14:textId="77777777">
        <w:trPr>
          <w:cnfStyle w:val="000000010000" w:firstRow="0" w:lastRow="0" w:firstColumn="0" w:lastColumn="0" w:oddVBand="0" w:evenVBand="0" w:oddHBand="0" w:evenHBand="1" w:firstRowFirstColumn="0" w:firstRowLastColumn="0" w:lastRowFirstColumn="0" w:lastRowLastColumn="0"/>
        </w:trPr>
        <w:tc>
          <w:tcPr>
            <w:tcW w:w="4111" w:type="dxa"/>
          </w:tcPr>
          <w:p w14:paraId="285EE299" w14:textId="77777777" w:rsidR="00F838A9" w:rsidRPr="006F188E" w:rsidRDefault="00F838A9">
            <w:pPr>
              <w:pStyle w:val="TableBody"/>
              <w:rPr>
                <w:b/>
              </w:rPr>
            </w:pPr>
            <w:r w:rsidRPr="006F188E">
              <w:rPr>
                <w:b/>
              </w:rPr>
              <w:t>D. Draft decision – total operating expenditure (D = A + B + C)</w:t>
            </w:r>
          </w:p>
        </w:tc>
        <w:tc>
          <w:tcPr>
            <w:tcW w:w="1098" w:type="dxa"/>
          </w:tcPr>
          <w:p w14:paraId="5B27DE7F" w14:textId="77777777" w:rsidR="00F838A9" w:rsidRPr="006F188E" w:rsidRDefault="00F838A9">
            <w:pPr>
              <w:pStyle w:val="TableBody"/>
              <w:ind w:right="113"/>
              <w:jc w:val="right"/>
              <w:rPr>
                <w:b/>
              </w:rPr>
            </w:pPr>
            <w:r w:rsidRPr="006F188E">
              <w:rPr>
                <w:b/>
              </w:rPr>
              <w:t>610.80</w:t>
            </w:r>
          </w:p>
        </w:tc>
        <w:tc>
          <w:tcPr>
            <w:tcW w:w="1099" w:type="dxa"/>
          </w:tcPr>
          <w:p w14:paraId="238FA2F4" w14:textId="77777777" w:rsidR="00F838A9" w:rsidRPr="006F188E" w:rsidRDefault="00F838A9">
            <w:pPr>
              <w:pStyle w:val="TableBody"/>
              <w:ind w:right="113"/>
              <w:jc w:val="right"/>
              <w:rPr>
                <w:b/>
              </w:rPr>
            </w:pPr>
            <w:r w:rsidRPr="006F188E">
              <w:rPr>
                <w:b/>
              </w:rPr>
              <w:t>612.78</w:t>
            </w:r>
          </w:p>
        </w:tc>
        <w:tc>
          <w:tcPr>
            <w:tcW w:w="1098" w:type="dxa"/>
          </w:tcPr>
          <w:p w14:paraId="586B24EF" w14:textId="77777777" w:rsidR="00F838A9" w:rsidRPr="006F188E" w:rsidRDefault="00F838A9">
            <w:pPr>
              <w:pStyle w:val="TableBody"/>
              <w:ind w:right="113"/>
              <w:jc w:val="right"/>
              <w:rPr>
                <w:b/>
              </w:rPr>
            </w:pPr>
            <w:r w:rsidRPr="006F188E">
              <w:rPr>
                <w:b/>
              </w:rPr>
              <w:t>612.92</w:t>
            </w:r>
          </w:p>
        </w:tc>
        <w:tc>
          <w:tcPr>
            <w:tcW w:w="1099" w:type="dxa"/>
          </w:tcPr>
          <w:p w14:paraId="2174CACE" w14:textId="77777777" w:rsidR="00F838A9" w:rsidRPr="006F188E" w:rsidRDefault="00F838A9">
            <w:pPr>
              <w:pStyle w:val="TableBody"/>
              <w:ind w:right="113"/>
              <w:jc w:val="right"/>
              <w:rPr>
                <w:b/>
              </w:rPr>
            </w:pPr>
            <w:r w:rsidRPr="006F188E">
              <w:rPr>
                <w:b/>
              </w:rPr>
              <w:t>615.04</w:t>
            </w:r>
          </w:p>
        </w:tc>
        <w:tc>
          <w:tcPr>
            <w:tcW w:w="1134" w:type="dxa"/>
          </w:tcPr>
          <w:p w14:paraId="1894FC7B" w14:textId="77777777" w:rsidR="00F838A9" w:rsidRPr="006F188E" w:rsidRDefault="00F838A9">
            <w:pPr>
              <w:pStyle w:val="TableBody"/>
              <w:ind w:right="113"/>
              <w:jc w:val="right"/>
              <w:rPr>
                <w:b/>
              </w:rPr>
            </w:pPr>
            <w:r w:rsidRPr="006F188E">
              <w:rPr>
                <w:b/>
              </w:rPr>
              <w:t>2,451.54</w:t>
            </w:r>
          </w:p>
        </w:tc>
      </w:tr>
    </w:tbl>
    <w:p w14:paraId="4ABCD4CF" w14:textId="77777777" w:rsidR="007A0341" w:rsidRDefault="007A0341" w:rsidP="007A0341">
      <w:pPr>
        <w:pStyle w:val="Source"/>
        <w:jc w:val="left"/>
      </w:pPr>
      <w:r w:rsidRPr="006F188E">
        <w:rPr>
          <w:b/>
        </w:rPr>
        <w:t xml:space="preserve">Notes: </w:t>
      </w:r>
      <w:r w:rsidRPr="006F188E">
        <w:t>Our proposed adjustments are the differences between our draft decision and what Greater Western Water proposed in its price submission. Row A shows the total operating expenditure proposed by Greater Western Water in its price submission. We have arrived at our draft decision (row D) by proposing the relevant adjustments to controllable operating costs and non</w:t>
      </w:r>
      <w:r w:rsidRPr="006F188E">
        <w:noBreakHyphen/>
        <w:t xml:space="preserve">controllable operating costs shown in rows B and C (and disaggregated in rows B1.1 to B2.2 and row C1). Numbers have been rounded. </w:t>
      </w:r>
      <w:proofErr w:type="spellStart"/>
      <w:r w:rsidRPr="006F188E">
        <w:rPr>
          <w:b/>
          <w:vertAlign w:val="superscript"/>
        </w:rPr>
        <w:t>a</w:t>
      </w:r>
      <w:proofErr w:type="spellEnd"/>
      <w:r w:rsidRPr="006F188E">
        <w:t xml:space="preserve"> Our adjustments to Greater Western Water’s baseline operating expenditure (B1.1 to B1.7) capture the impact of our removal of Billing and Collection system cost savings from the proposed efficiency rate (see Section 4.1.2). These savings have been reallocated as step change adjustments in row B2.2, representing no overall net change for this adjustment.</w:t>
      </w:r>
      <w:r>
        <w:t xml:space="preserve"> </w:t>
      </w:r>
    </w:p>
    <w:p w14:paraId="76B0D270" w14:textId="08343762" w:rsidR="00A16A57" w:rsidRDefault="00BC1B6A" w:rsidP="00E151F6">
      <w:pPr>
        <w:pStyle w:val="Heading3"/>
      </w:pPr>
      <w:bookmarkStart w:id="73" w:name="_Toc161400985"/>
      <w:r>
        <w:t>4.1.1</w:t>
      </w:r>
      <w:r w:rsidR="00E151F6">
        <w:t xml:space="preserve"> </w:t>
      </w:r>
      <w:r w:rsidR="00E151F6">
        <w:tab/>
      </w:r>
      <w:r w:rsidRPr="00BC1B6A">
        <w:t>Context of our review</w:t>
      </w:r>
      <w:bookmarkEnd w:id="73"/>
      <w:r w:rsidRPr="00BC1B6A">
        <w:t xml:space="preserve"> </w:t>
      </w:r>
    </w:p>
    <w:p w14:paraId="557BFC6E" w14:textId="5A46E4A9" w:rsidR="00E22433" w:rsidRDefault="00A16A57" w:rsidP="00A16A57">
      <w:pPr>
        <w:pStyle w:val="Heading4"/>
      </w:pPr>
      <w:proofErr w:type="gramStart"/>
      <w:r>
        <w:t>4.1.1.1</w:t>
      </w:r>
      <w:r w:rsidR="008F6292">
        <w:t xml:space="preserve"> </w:t>
      </w:r>
      <w:r w:rsidR="004A270C">
        <w:t xml:space="preserve"> </w:t>
      </w:r>
      <w:r w:rsidR="00BF3648">
        <w:t>Our</w:t>
      </w:r>
      <w:proofErr w:type="gramEnd"/>
      <w:r w:rsidR="00BF3648">
        <w:t xml:space="preserve"> </w:t>
      </w:r>
      <w:r w:rsidR="00BC1B6A" w:rsidRPr="00BC1B6A">
        <w:t>guidance to Greater Western Water</w:t>
      </w:r>
    </w:p>
    <w:p w14:paraId="44A2C37C" w14:textId="5A3E469F" w:rsidR="00C40C54" w:rsidRPr="00854440" w:rsidRDefault="00C40C54" w:rsidP="00C40C54">
      <w:r w:rsidRPr="006F188E">
        <w:t xml:space="preserve">Our assessment of Greater Western Water’s operating expenditure must consider the implications of the business integration on efficient costs. Our guidance, developed in consultation with Greater Western Water, set out specific requirements to </w:t>
      </w:r>
      <w:r w:rsidR="00373C2E" w:rsidRPr="006F188E">
        <w:t>enable us to do so</w:t>
      </w:r>
      <w:r w:rsidRPr="006F188E">
        <w:t>, namely:</w:t>
      </w:r>
      <w:r w:rsidRPr="006F188E">
        <w:rPr>
          <w:rStyle w:val="FootnoteReference"/>
        </w:rPr>
        <w:footnoteReference w:id="44"/>
      </w:r>
    </w:p>
    <w:p w14:paraId="33323F5E" w14:textId="5A46E4A9" w:rsidR="00C40C54" w:rsidRPr="006F188E" w:rsidRDefault="00C40C54" w:rsidP="00ED1290">
      <w:pPr>
        <w:pStyle w:val="ListBullet"/>
      </w:pPr>
      <w:r w:rsidRPr="006F188E">
        <w:t xml:space="preserve">clearly identify both one-off transition costs and operational efficiencies compared to the two former businesses in its actual and forecast operating </w:t>
      </w:r>
      <w:proofErr w:type="gramStart"/>
      <w:r w:rsidRPr="006F188E">
        <w:t>expenditure</w:t>
      </w:r>
      <w:proofErr w:type="gramEnd"/>
    </w:p>
    <w:p w14:paraId="29B5D264" w14:textId="5A46E4A9" w:rsidR="00C40C54" w:rsidRPr="006F188E" w:rsidRDefault="00C40C54" w:rsidP="00ED1290">
      <w:pPr>
        <w:pStyle w:val="ListBullet"/>
      </w:pPr>
      <w:r w:rsidRPr="006F188E">
        <w:t xml:space="preserve">compare these cost variations with the sum of the expenditure benchmarks and forecasts from the 2018 and 2020 price reviews for the former </w:t>
      </w:r>
      <w:proofErr w:type="gramStart"/>
      <w:r w:rsidRPr="006F188E">
        <w:t>businesses</w:t>
      </w:r>
      <w:proofErr w:type="gramEnd"/>
    </w:p>
    <w:p w14:paraId="3F55069E" w14:textId="22D78971" w:rsidR="00C40C54" w:rsidRPr="006F188E" w:rsidRDefault="00C40C54" w:rsidP="00ED1290">
      <w:pPr>
        <w:pStyle w:val="ListBullet"/>
      </w:pPr>
      <w:r w:rsidRPr="006F188E">
        <w:t>include necessary information to support its operating cost forecast and assumptions for the extension year, 2023</w:t>
      </w:r>
      <w:r w:rsidR="00725DBE" w:rsidRPr="006F188E">
        <w:t>-</w:t>
      </w:r>
      <w:r w:rsidRPr="006F188E">
        <w:t>24.</w:t>
      </w:r>
    </w:p>
    <w:p w14:paraId="3BEBAF65" w14:textId="77777777" w:rsidR="00C40C54" w:rsidRDefault="00C40C54" w:rsidP="00C40C54">
      <w:r w:rsidRPr="006F188E">
        <w:t xml:space="preserve">Our guidance also stated we expect Greater Western Water’s price submission will identify and explain any significant forecast cost efficiencies it anticipates from the business integration, and </w:t>
      </w:r>
      <w:r w:rsidRPr="006F188E">
        <w:lastRenderedPageBreak/>
        <w:t>clearly explain where costs have risen above the forecast benchmarks due to business transition costs.</w:t>
      </w:r>
      <w:r w:rsidRPr="006F188E">
        <w:rPr>
          <w:rStyle w:val="FootnoteReference"/>
        </w:rPr>
        <w:footnoteReference w:id="45"/>
      </w:r>
    </w:p>
    <w:p w14:paraId="13676CE2" w14:textId="5A46E4A9" w:rsidR="00BF3648" w:rsidRDefault="00BF3648" w:rsidP="00BF3648">
      <w:pPr>
        <w:pStyle w:val="Heading4"/>
      </w:pPr>
      <w:proofErr w:type="gramStart"/>
      <w:r>
        <w:t xml:space="preserve">4.1.1.2 </w:t>
      </w:r>
      <w:r w:rsidR="004A270C">
        <w:t xml:space="preserve"> </w:t>
      </w:r>
      <w:r w:rsidR="003944A4">
        <w:t>Key</w:t>
      </w:r>
      <w:proofErr w:type="gramEnd"/>
      <w:r w:rsidR="003944A4">
        <w:t xml:space="preserve"> focus areas for our review</w:t>
      </w:r>
    </w:p>
    <w:p w14:paraId="4A74DEA8" w14:textId="5A46E4A9" w:rsidR="009B3838" w:rsidRPr="006F188E" w:rsidRDefault="009B3838" w:rsidP="009B3838">
      <w:r w:rsidRPr="006F188E">
        <w:t>After our initial review of Greater Western Water’s price submission and financial model, and our expenditure consultant’s ‘stage one’ assessment report, we identified the following key focus areas for our consultant’s detailed operating expenditure assessment:</w:t>
      </w:r>
    </w:p>
    <w:p w14:paraId="008EC2AE" w14:textId="6ACDE383" w:rsidR="009B3838" w:rsidRPr="0095504E" w:rsidRDefault="009B3838" w:rsidP="00ED1290">
      <w:pPr>
        <w:pStyle w:val="ListBullet"/>
      </w:pPr>
      <w:r w:rsidRPr="006F188E">
        <w:t xml:space="preserve">The increase in proposed recurring baseline year controllable operating expenditure. Greater Western Water has proposed a baseline that is $25.5 million (13.8 per cent) above the benchmarks established for the two former businesses. Verification that these additional baseline costs are recurring efficient costs for the newly integrated business is crucial in setting an efficient cost benchmark. The price submission did not clearly identify the additional ongoing costs incurred to manage the integration of the two businesses from other additional ongoing costs and the realised or expected savings resulting from the integration. Our expenditure consultant </w:t>
      </w:r>
      <w:r w:rsidR="003E4AAC" w:rsidRPr="006F188E">
        <w:t xml:space="preserve">would need </w:t>
      </w:r>
      <w:r w:rsidR="00B24ED0" w:rsidRPr="006F188E">
        <w:t>to analyse and assess whether</w:t>
      </w:r>
      <w:r w:rsidRPr="006F188E">
        <w:t xml:space="preserve"> these costs (and savings) </w:t>
      </w:r>
      <w:r w:rsidR="00B24ED0" w:rsidRPr="006F188E">
        <w:t>are recurring and whether they are efficient</w:t>
      </w:r>
      <w:r w:rsidRPr="006F188E">
        <w:t>.</w:t>
      </w:r>
    </w:p>
    <w:p w14:paraId="7FCF330C" w14:textId="77777777" w:rsidR="009B3838" w:rsidRPr="006F188E" w:rsidRDefault="009B3838" w:rsidP="00ED1290">
      <w:pPr>
        <w:pStyle w:val="ListBullet"/>
      </w:pPr>
      <w:r w:rsidRPr="006F188E">
        <w:t>Labour costs and recruitment strategy, given the observed 35 per cent increase in FTE employees across the current regulatory period.</w:t>
      </w:r>
      <w:r w:rsidRPr="006F188E">
        <w:rPr>
          <w:rStyle w:val="FootnoteReference"/>
        </w:rPr>
        <w:footnoteReference w:id="46"/>
      </w:r>
      <w:r w:rsidRPr="006F188E">
        <w:t xml:space="preserve"> </w:t>
      </w:r>
    </w:p>
    <w:p w14:paraId="4AE64926" w14:textId="0E6595C0" w:rsidR="009B3838" w:rsidRPr="006F188E" w:rsidRDefault="009B3838" w:rsidP="00ED1290">
      <w:pPr>
        <w:pStyle w:val="ListBullet"/>
      </w:pPr>
      <w:r w:rsidRPr="006F188E">
        <w:t>Forecast efficiency rate assumptions and methodology. Greater Western Water’s price submission did not set out specific forecast cost reductions resulting from the integration of the two businesses or from its further investments in business transformation. Rather, it bundled any such savings up in its proposed overall efficiency rate (which averaged 3.0 per cent per annum)</w:t>
      </w:r>
      <w:r w:rsidR="008E6A60" w:rsidRPr="006F188E">
        <w:t>.</w:t>
      </w:r>
      <w:r w:rsidRPr="006F188E">
        <w:t xml:space="preserve"> </w:t>
      </w:r>
      <w:r w:rsidR="00BA3273" w:rsidRPr="006F188E">
        <w:t>We required</w:t>
      </w:r>
      <w:r w:rsidRPr="006F188E">
        <w:t xml:space="preserve"> our expenditure consultant to </w:t>
      </w:r>
      <w:r w:rsidR="00485847" w:rsidRPr="006F188E">
        <w:t>analyse</w:t>
      </w:r>
      <w:r w:rsidR="00BA3273" w:rsidRPr="006F188E">
        <w:t xml:space="preserve"> and assess </w:t>
      </w:r>
      <w:r w:rsidRPr="006F188E">
        <w:t>these cost savings.</w:t>
      </w:r>
    </w:p>
    <w:p w14:paraId="7A4CA637" w14:textId="3F566ED4" w:rsidR="009B3838" w:rsidRPr="004B047B" w:rsidRDefault="009B3838" w:rsidP="009B3838">
      <w:r w:rsidRPr="006F188E">
        <w:t xml:space="preserve">In its report, our consultant describes the challenges it encountered </w:t>
      </w:r>
      <w:r w:rsidR="004B047B" w:rsidRPr="006F188E">
        <w:t>with verifying Greater Western Water’s expenditure proposals</w:t>
      </w:r>
      <w:r w:rsidR="009F5568">
        <w:t>, stating it</w:t>
      </w:r>
      <w:r w:rsidR="004B047B" w:rsidRPr="00AE3DBB">
        <w:t xml:space="preserve"> </w:t>
      </w:r>
      <w:r w:rsidR="00AE3DBB">
        <w:t>often received supporting documentation that was lacking the detailed</w:t>
      </w:r>
      <w:r w:rsidR="009F5568">
        <w:t xml:space="preserve"> </w:t>
      </w:r>
      <w:r w:rsidR="00AE3DBB">
        <w:t xml:space="preserve">information </w:t>
      </w:r>
      <w:r w:rsidR="009F5568">
        <w:t>it</w:t>
      </w:r>
      <w:r w:rsidR="00AE3DBB">
        <w:t xml:space="preserve"> required to assess prudency and efficiency</w:t>
      </w:r>
      <w:r w:rsidRPr="006F188E">
        <w:t>.</w:t>
      </w:r>
      <w:r w:rsidR="006A51FB" w:rsidRPr="006F188E">
        <w:rPr>
          <w:rStyle w:val="FootnoteReference"/>
        </w:rPr>
        <w:footnoteReference w:id="47"/>
      </w:r>
      <w:r w:rsidRPr="006F188E">
        <w:t xml:space="preserve"> </w:t>
      </w:r>
      <w:r w:rsidR="00986B61" w:rsidRPr="006F188E">
        <w:t>O</w:t>
      </w:r>
      <w:r w:rsidR="00A96A07" w:rsidRPr="006F188E">
        <w:t xml:space="preserve">ur consultant required </w:t>
      </w:r>
      <w:r w:rsidRPr="006F188E">
        <w:t xml:space="preserve">several meetings with Greater Western Water staff, and multiple follow-up questions to requests for information, to </w:t>
      </w:r>
      <w:r w:rsidR="00F179FE" w:rsidRPr="006F188E">
        <w:t>enable us and our consultant to be able to properly assess the expenditure proposal</w:t>
      </w:r>
      <w:r w:rsidRPr="006F188E">
        <w:t xml:space="preserve">. Consistent with our assessment process, where our consultant has been able to verify the proposed costs are prudent and efficient, it has recommended that we accept them. However, </w:t>
      </w:r>
      <w:r w:rsidRPr="006F188E">
        <w:lastRenderedPageBreak/>
        <w:t>in some instances where it has been unable to verify whether the proposed costs are prudent and efficient based on the available information provided by Greater Western Water, it has recommended that they be removed from the forecast allowance.</w:t>
      </w:r>
    </w:p>
    <w:p w14:paraId="2FCD899A" w14:textId="2057A5A0" w:rsidR="006500F0" w:rsidRDefault="006500F0" w:rsidP="006500F0">
      <w:pPr>
        <w:pStyle w:val="Heading3"/>
      </w:pPr>
      <w:bookmarkStart w:id="74" w:name="_Toc122514860"/>
      <w:bookmarkStart w:id="75" w:name="_Toc150515689"/>
      <w:bookmarkStart w:id="76" w:name="_Toc161400986"/>
      <w:r>
        <w:t>4.1.</w:t>
      </w:r>
      <w:r w:rsidR="00E151F6">
        <w:t>2</w:t>
      </w:r>
      <w:r>
        <w:t xml:space="preserve"> </w:t>
      </w:r>
      <w:r>
        <w:tab/>
        <w:t>Controllable operating expenditure</w:t>
      </w:r>
      <w:bookmarkEnd w:id="74"/>
      <w:bookmarkEnd w:id="75"/>
      <w:bookmarkEnd w:id="76"/>
    </w:p>
    <w:p w14:paraId="0EC9A987" w14:textId="35F279EF" w:rsidR="00F757CD" w:rsidRPr="006F188E" w:rsidRDefault="00F757CD" w:rsidP="00F757CD">
      <w:r w:rsidRPr="006F188E">
        <w:t xml:space="preserve">Greater Western Water proposed a total forecast controllable operating expenditure of $876.1 million over a </w:t>
      </w:r>
      <w:r w:rsidR="00291F2F" w:rsidRPr="006F188E">
        <w:t>four</w:t>
      </w:r>
      <w:r w:rsidR="005B4604">
        <w:t>-</w:t>
      </w:r>
      <w:r w:rsidRPr="006F188E">
        <w:t>year regulatory period. For the reasons set out below, we propose to adopt a forecast operating expenditure of $805.27 million for the 2024–28 regulatory period, which is $70.9 million lower than proposed by Greater Western Water.</w:t>
      </w:r>
    </w:p>
    <w:p w14:paraId="69795337" w14:textId="6F38671C" w:rsidR="00F757CD" w:rsidRPr="006F188E" w:rsidRDefault="00F757CD" w:rsidP="00F757CD">
      <w:r w:rsidRPr="006F188E">
        <w:t>Greater Western Water’s forecast controllable operating expenditure for the period from 1 July 2024 is estimated through a series of steps:</w:t>
      </w:r>
    </w:p>
    <w:p w14:paraId="6E7A6781" w14:textId="36CAC534" w:rsidR="00F757CD" w:rsidRPr="006F188E" w:rsidRDefault="00F757CD" w:rsidP="00F757CD">
      <w:pPr>
        <w:pStyle w:val="ListNumber"/>
      </w:pPr>
      <w:r w:rsidRPr="006F188E">
        <w:t>1.</w:t>
      </w:r>
      <w:r>
        <w:tab/>
      </w:r>
      <w:r w:rsidRPr="006F188E">
        <w:t>Establish a controllable operating expenditure baseline – the baseline comprises the efficient recurring costs from the last full year of data (2022</w:t>
      </w:r>
      <w:r w:rsidR="002D77EC" w:rsidRPr="006F188E">
        <w:noBreakHyphen/>
      </w:r>
      <w:r w:rsidRPr="006F188E">
        <w:t>23) after noncontrollable expenditure and one</w:t>
      </w:r>
      <w:r w:rsidR="001D4A84" w:rsidRPr="006F188E">
        <w:noBreakHyphen/>
      </w:r>
      <w:r w:rsidRPr="006F188E">
        <w:t>off (non-recurring) items are removed or normally occurring items are added in.</w:t>
      </w:r>
    </w:p>
    <w:p w14:paraId="68E1A9BC" w14:textId="6F38671C" w:rsidR="00F757CD" w:rsidRPr="006F188E" w:rsidRDefault="00F757CD" w:rsidP="00F757CD">
      <w:pPr>
        <w:pStyle w:val="ListNumber"/>
      </w:pPr>
      <w:r w:rsidRPr="006F188E">
        <w:t>2.</w:t>
      </w:r>
      <w:r>
        <w:tab/>
      </w:r>
      <w:r w:rsidRPr="006F188E">
        <w:t xml:space="preserve">Apply a growth rate for operating expenditure for the regulatory period – assumed by Greater Western Water to be 2.8 per cent per year on average. </w:t>
      </w:r>
    </w:p>
    <w:p w14:paraId="34398476" w14:textId="6F38671C" w:rsidR="00F757CD" w:rsidRPr="006F188E" w:rsidRDefault="00F757CD" w:rsidP="00F757CD">
      <w:pPr>
        <w:pStyle w:val="ListNumber"/>
      </w:pPr>
      <w:r w:rsidRPr="006F188E">
        <w:t>3.</w:t>
      </w:r>
      <w:r>
        <w:tab/>
      </w:r>
      <w:r w:rsidRPr="006F188E">
        <w:t xml:space="preserve">Apply an annual cost efficiency improvement rate – assumed by Greater Western Water to be 3.0 per cent per year on average. </w:t>
      </w:r>
    </w:p>
    <w:p w14:paraId="1D9B83AD" w14:textId="6F38671C" w:rsidR="00F757CD" w:rsidRDefault="00F757CD" w:rsidP="00F757CD">
      <w:pPr>
        <w:pStyle w:val="ListNumber"/>
      </w:pPr>
      <w:r w:rsidRPr="006F188E">
        <w:t>4.</w:t>
      </w:r>
      <w:r>
        <w:tab/>
      </w:r>
      <w:proofErr w:type="gramStart"/>
      <w:r w:rsidRPr="006F188E">
        <w:t>Make adjustments</w:t>
      </w:r>
      <w:proofErr w:type="gramEnd"/>
      <w:r w:rsidRPr="006F188E">
        <w:t xml:space="preserve"> for additional costs or cost savings expected in future years.</w:t>
      </w:r>
    </w:p>
    <w:p w14:paraId="499D073D" w14:textId="2CB63917" w:rsidR="00EB26FB" w:rsidRDefault="00EB26FB" w:rsidP="00EB26FB">
      <w:pPr>
        <w:pStyle w:val="Heading4"/>
      </w:pPr>
      <w:proofErr w:type="gramStart"/>
      <w:r>
        <w:t>4.1.</w:t>
      </w:r>
      <w:r w:rsidR="00433A71">
        <w:t>2</w:t>
      </w:r>
      <w:r>
        <w:t>.1</w:t>
      </w:r>
      <w:r w:rsidR="00D73458">
        <w:t xml:space="preserve">  </w:t>
      </w:r>
      <w:r>
        <w:t>Baseline</w:t>
      </w:r>
      <w:proofErr w:type="gramEnd"/>
      <w:r>
        <w:t xml:space="preserve"> controllable operating expenditure</w:t>
      </w:r>
    </w:p>
    <w:p w14:paraId="4DAC691A" w14:textId="01005679" w:rsidR="00810530" w:rsidRDefault="00810530" w:rsidP="00810530">
      <w:r w:rsidRPr="006F188E">
        <w:t>Greater Western Water has proposed a controllable operating expenditure baseline of $209.6 million, after removing $5.9 million in non-recurring operating expenditure that occurred in 2022-23. Greater Western Water’s proposed baseline is $25.5 million (or 13.8 per cent) higher than the aggregate benchmark figure of $184.1 million of controllable operating expenditure for 2022</w:t>
      </w:r>
      <w:r w:rsidR="002D77EC" w:rsidRPr="006F188E">
        <w:noBreakHyphen/>
      </w:r>
      <w:r w:rsidRPr="006F188E">
        <w:t>23, which reflects the sum of the City West Water and Western Water benchmarks established in our 2018 and 2020 price determinations, respectively. Greater Western Water’s historical and forecast controllable operating expenditure is displayed in Figure 4.1 below, which shows the divergence of actual costs from the previous benchmarks set for City West Water and Western Water.</w:t>
      </w:r>
      <w:r w:rsidRPr="00AF3FE2">
        <w:t xml:space="preserve"> </w:t>
      </w:r>
    </w:p>
    <w:p w14:paraId="39FA75AC" w14:textId="6F38671C" w:rsidR="00810B67" w:rsidRDefault="00810B67" w:rsidP="00810B67">
      <w:pPr>
        <w:pStyle w:val="Figure-Table-BoxHeading"/>
        <w:keepNext/>
        <w:spacing w:before="0" w:after="0" w:line="240" w:lineRule="auto"/>
        <w:ind w:left="0" w:firstLine="0"/>
      </w:pPr>
      <w:r>
        <w:lastRenderedPageBreak/>
        <w:t xml:space="preserve">Figure 4.1 </w:t>
      </w:r>
      <w:r>
        <w:tab/>
        <w:t xml:space="preserve">Actual and forecast controllable operating </w:t>
      </w:r>
      <w:proofErr w:type="gramStart"/>
      <w:r>
        <w:t>expenditure</w:t>
      </w:r>
      <w:proofErr w:type="gramEnd"/>
    </w:p>
    <w:p w14:paraId="588125E5" w14:textId="77777777" w:rsidR="00810B67" w:rsidRDefault="00810B67" w:rsidP="00810B67">
      <w:pPr>
        <w:pStyle w:val="Figure-Table-BoxSubtitle"/>
        <w:keepNext/>
        <w:spacing w:before="0" w:after="0" w:line="240" w:lineRule="auto"/>
      </w:pPr>
      <w:r>
        <w:tab/>
        <w:t>$ million 2023</w:t>
      </w:r>
      <w:r>
        <w:noBreakHyphen/>
        <w:t>24</w:t>
      </w:r>
    </w:p>
    <w:p w14:paraId="17FC028C" w14:textId="220D1E5E" w:rsidR="00810B67" w:rsidRDefault="001F207C" w:rsidP="00810530">
      <w:r>
        <w:rPr>
          <w:noProof/>
        </w:rPr>
        <w:drawing>
          <wp:inline distT="0" distB="0" distL="0" distR="0" wp14:anchorId="6C52BA09" wp14:editId="3CB7ECD2">
            <wp:extent cx="6103620" cy="2811780"/>
            <wp:effectExtent l="0" t="0" r="0" b="7620"/>
            <wp:docPr id="302871329" name="Chart 1">
              <a:extLst xmlns:a="http://schemas.openxmlformats.org/drawingml/2006/main">
                <a:ext uri="{FF2B5EF4-FFF2-40B4-BE49-F238E27FC236}">
                  <a16:creationId xmlns:a16="http://schemas.microsoft.com/office/drawing/2014/main" id="{00000000-0008-0000-1C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B4659F5" w14:textId="36218A1A" w:rsidR="00C33AD3" w:rsidRDefault="00C33AD3" w:rsidP="00C33AD3">
      <w:pPr>
        <w:pStyle w:val="Source"/>
        <w:jc w:val="left"/>
      </w:pPr>
      <w:r w:rsidRPr="006F188E">
        <w:rPr>
          <w:b/>
        </w:rPr>
        <w:t>Note:</w:t>
      </w:r>
      <w:r w:rsidRPr="006F188E">
        <w:t xml:space="preserve"> This graph shows actual figures for 201718 to 202223, and Greater Western Water’s forecasts for 202324 to 202728, against the sum of the antecedent businesses’ controllable operating expenditure benchmarks set in 2018 and 2020 respectively, and the outlook for the 2023–28 period at that time.</w:t>
      </w:r>
    </w:p>
    <w:p w14:paraId="486A1697" w14:textId="77777777" w:rsidR="002A747F" w:rsidRDefault="008D32CD" w:rsidP="008D32CD">
      <w:r w:rsidRPr="006F188E">
        <w:t>Our expenditure consultant requested further substantiation of Greater Western Water’s proposed increase to its baseline year operating expenditure benchmark, to better understand the cost drivers identified by Greater Western Water in table 21 of its price submission.</w:t>
      </w:r>
      <w:r w:rsidRPr="006F188E">
        <w:rPr>
          <w:rStyle w:val="FootnoteReference"/>
        </w:rPr>
        <w:footnoteReference w:id="48"/>
      </w:r>
      <w:r w:rsidRPr="006F188E">
        <w:t xml:space="preserve"> </w:t>
      </w:r>
      <w:r w:rsidR="001B00EF" w:rsidRPr="006F188E">
        <w:t>In response to this request</w:t>
      </w:r>
      <w:r w:rsidRPr="006F188E">
        <w:t>, Greater Western Water amended some of its figures in this table, as shown below in Table 4.</w:t>
      </w:r>
      <w:r w:rsidR="009E4B1D" w:rsidRPr="006F188E">
        <w:t>5</w:t>
      </w:r>
      <w:r w:rsidRPr="006F188E">
        <w:t>.</w:t>
      </w:r>
      <w:r w:rsidRPr="006F188E">
        <w:rPr>
          <w:rStyle w:val="FootnoteReference"/>
        </w:rPr>
        <w:footnoteReference w:id="49"/>
      </w:r>
      <w:r w:rsidRPr="006F188E">
        <w:t xml:space="preserve"> </w:t>
      </w:r>
    </w:p>
    <w:p w14:paraId="453AC3CF" w14:textId="27CF83CB" w:rsidR="00E86631" w:rsidRDefault="0056475B" w:rsidP="008D32CD">
      <w:r w:rsidRPr="00081687">
        <w:t xml:space="preserve">The cost categories </w:t>
      </w:r>
      <w:r w:rsidR="00ED5839" w:rsidRPr="00081687">
        <w:t xml:space="preserve">shown in </w:t>
      </w:r>
      <w:r w:rsidR="00AD2445" w:rsidRPr="00081687">
        <w:t>Table 4.5</w:t>
      </w:r>
      <w:r w:rsidR="00ED5839" w:rsidRPr="00081687">
        <w:t xml:space="preserve"> are Greater Western Water’s own </w:t>
      </w:r>
      <w:r w:rsidR="00AD2445" w:rsidRPr="00081687">
        <w:t>descriptions for the cost increases above its b</w:t>
      </w:r>
      <w:r w:rsidR="00F21824" w:rsidRPr="00081687">
        <w:t>enchmark</w:t>
      </w:r>
      <w:r w:rsidR="00EA5F08" w:rsidRPr="00081687">
        <w:t xml:space="preserve">. Much of our consultant’s assessment work involved </w:t>
      </w:r>
      <w:r w:rsidR="00411DFA" w:rsidRPr="00081687">
        <w:t xml:space="preserve">working with Greater Western Water to </w:t>
      </w:r>
      <w:r w:rsidR="00EA5F08" w:rsidRPr="00081687">
        <w:t xml:space="preserve">break </w:t>
      </w:r>
      <w:r w:rsidR="00C56D9C" w:rsidRPr="00081687">
        <w:t xml:space="preserve">down these </w:t>
      </w:r>
      <w:r w:rsidR="00DF1421" w:rsidRPr="00081687">
        <w:t>br</w:t>
      </w:r>
      <w:r w:rsidR="00C56D9C" w:rsidRPr="00081687">
        <w:t>o</w:t>
      </w:r>
      <w:r w:rsidR="00DF1421" w:rsidRPr="00081687">
        <w:t xml:space="preserve">ad </w:t>
      </w:r>
      <w:r w:rsidR="00370A02" w:rsidRPr="00081687">
        <w:t xml:space="preserve">categories </w:t>
      </w:r>
      <w:r w:rsidR="00262B4D" w:rsidRPr="00081687">
        <w:t xml:space="preserve">to reveal </w:t>
      </w:r>
      <w:r w:rsidR="00370A02" w:rsidRPr="00081687">
        <w:t>the underlying cost components and cost increase drivers</w:t>
      </w:r>
      <w:r w:rsidR="00F02183" w:rsidRPr="00081687">
        <w:t xml:space="preserve">, so it could verify </w:t>
      </w:r>
      <w:r w:rsidR="00F43CBA" w:rsidRPr="00081687">
        <w:t xml:space="preserve">if they were recurring </w:t>
      </w:r>
      <w:r w:rsidR="00940AE2" w:rsidRPr="00081687">
        <w:t xml:space="preserve">prudent </w:t>
      </w:r>
      <w:r w:rsidR="00F43CBA" w:rsidRPr="00081687">
        <w:t>and efficient</w:t>
      </w:r>
      <w:r w:rsidR="00940AE2" w:rsidRPr="00081687">
        <w:t xml:space="preserve"> costs</w:t>
      </w:r>
      <w:r w:rsidR="00370A02" w:rsidRPr="00081687">
        <w:t>.</w:t>
      </w:r>
      <w:r w:rsidR="002A19A2" w:rsidRPr="00081687">
        <w:t xml:space="preserve"> </w:t>
      </w:r>
      <w:r w:rsidR="008E1F59" w:rsidRPr="00081687">
        <w:t xml:space="preserve">Details of </w:t>
      </w:r>
      <w:r w:rsidR="00F75105" w:rsidRPr="00081687">
        <w:t>our consultant’s findings are available in its report</w:t>
      </w:r>
      <w:r w:rsidR="00E568A1" w:rsidRPr="00081687">
        <w:t>, which can be accessed on our website</w:t>
      </w:r>
      <w:r w:rsidR="009E1EA9" w:rsidRPr="00081687">
        <w:t>.</w:t>
      </w:r>
    </w:p>
    <w:p w14:paraId="40F094DF" w14:textId="6AB75BFF" w:rsidR="008D32CD" w:rsidRPr="003608E5" w:rsidRDefault="008D32CD" w:rsidP="008D32CD"/>
    <w:p w14:paraId="420C237F" w14:textId="70AAE8CA" w:rsidR="00A04E3B" w:rsidRDefault="00A04E3B" w:rsidP="00D70CC9">
      <w:pPr>
        <w:pStyle w:val="Figure-Table-BoxHeading"/>
        <w:keepNext/>
        <w:spacing w:before="0" w:after="0" w:line="240" w:lineRule="auto"/>
        <w:ind w:left="1440" w:hanging="1440"/>
      </w:pPr>
      <w:r>
        <w:lastRenderedPageBreak/>
        <w:t>Table 4.</w:t>
      </w:r>
      <w:r w:rsidR="009E4B1D">
        <w:t>5</w:t>
      </w:r>
      <w:r>
        <w:tab/>
        <w:t xml:space="preserve">Greater Western Water’s </w:t>
      </w:r>
      <w:proofErr w:type="spellStart"/>
      <w:r>
        <w:t>categorisation</w:t>
      </w:r>
      <w:proofErr w:type="spellEnd"/>
      <w:r>
        <w:t xml:space="preserve"> of expenditure above antecedent businesses’ 2022-23 controllable operating expenditure benchmark</w:t>
      </w:r>
    </w:p>
    <w:p w14:paraId="66BAA633" w14:textId="77777777" w:rsidR="00A04E3B" w:rsidRDefault="00A04E3B" w:rsidP="002A18FA">
      <w:pPr>
        <w:pStyle w:val="Figure-Table-BoxSubtitle"/>
        <w:keepNext/>
        <w:spacing w:before="0" w:line="240" w:lineRule="auto"/>
      </w:pPr>
      <w:r>
        <w:tab/>
        <w:t>$ million 2023-24</w:t>
      </w:r>
    </w:p>
    <w:tbl>
      <w:tblPr>
        <w:tblStyle w:val="TableGrid"/>
        <w:tblW w:w="5074" w:type="pct"/>
        <w:tblLook w:val="04A0" w:firstRow="1" w:lastRow="0" w:firstColumn="1" w:lastColumn="0" w:noHBand="0" w:noVBand="1"/>
      </w:tblPr>
      <w:tblGrid>
        <w:gridCol w:w="3887"/>
        <w:gridCol w:w="3018"/>
        <w:gridCol w:w="2876"/>
      </w:tblGrid>
      <w:tr w:rsidR="009E44AC" w:rsidRPr="007B3DB1" w14:paraId="66710CCC" w14:textId="77777777">
        <w:trPr>
          <w:cnfStyle w:val="100000000000" w:firstRow="1" w:lastRow="0" w:firstColumn="0" w:lastColumn="0" w:oddVBand="0" w:evenVBand="0" w:oddHBand="0" w:evenHBand="0" w:firstRowFirstColumn="0" w:firstRowLastColumn="0" w:lastRowFirstColumn="0" w:lastRowLastColumn="0"/>
          <w:trHeight w:val="292"/>
        </w:trPr>
        <w:tc>
          <w:tcPr>
            <w:tcW w:w="1987" w:type="pct"/>
          </w:tcPr>
          <w:p w14:paraId="17D75290" w14:textId="77777777" w:rsidR="009E44AC" w:rsidRPr="007B3DB1" w:rsidRDefault="009E44AC" w:rsidP="00D70CC9">
            <w:pPr>
              <w:pStyle w:val="TableHeading"/>
              <w:keepNext/>
            </w:pPr>
            <w:r>
              <w:t>Category</w:t>
            </w:r>
          </w:p>
        </w:tc>
        <w:tc>
          <w:tcPr>
            <w:tcW w:w="1543" w:type="pct"/>
          </w:tcPr>
          <w:p w14:paraId="3A8728DE" w14:textId="77777777" w:rsidR="009E44AC" w:rsidRDefault="009E44AC" w:rsidP="00D70CC9">
            <w:pPr>
              <w:pStyle w:val="TableHeading"/>
              <w:keepNext/>
            </w:pPr>
            <w:r>
              <w:t xml:space="preserve">Price submission </w:t>
            </w:r>
          </w:p>
        </w:tc>
        <w:tc>
          <w:tcPr>
            <w:tcW w:w="1470" w:type="pct"/>
          </w:tcPr>
          <w:p w14:paraId="6E379C38" w14:textId="11A99DEE" w:rsidR="009E44AC" w:rsidRPr="007B3DB1" w:rsidRDefault="0025387B" w:rsidP="00D70CC9">
            <w:pPr>
              <w:pStyle w:val="TableHeading"/>
              <w:keepNext/>
            </w:pPr>
            <w:r>
              <w:t>Amended</w:t>
            </w:r>
          </w:p>
        </w:tc>
      </w:tr>
      <w:tr w:rsidR="009E44AC" w:rsidRPr="007B3DB1" w14:paraId="6FAD64BF" w14:textId="77777777">
        <w:trPr>
          <w:cnfStyle w:val="000000100000" w:firstRow="0" w:lastRow="0" w:firstColumn="0" w:lastColumn="0" w:oddVBand="0" w:evenVBand="0" w:oddHBand="1" w:evenHBand="0" w:firstRowFirstColumn="0" w:firstRowLastColumn="0" w:lastRowFirstColumn="0" w:lastRowLastColumn="0"/>
          <w:trHeight w:val="279"/>
        </w:trPr>
        <w:tc>
          <w:tcPr>
            <w:tcW w:w="1987" w:type="pct"/>
          </w:tcPr>
          <w:p w14:paraId="1A04E313" w14:textId="77777777" w:rsidR="009E44AC" w:rsidRPr="007B3DB1" w:rsidRDefault="009E44AC" w:rsidP="00D70CC9">
            <w:pPr>
              <w:pStyle w:val="TableBody"/>
              <w:keepNext/>
            </w:pPr>
            <w:r w:rsidRPr="007B3DB1">
              <w:t>Integration</w:t>
            </w:r>
          </w:p>
        </w:tc>
        <w:tc>
          <w:tcPr>
            <w:tcW w:w="1543" w:type="pct"/>
          </w:tcPr>
          <w:p w14:paraId="48881822" w14:textId="77777777" w:rsidR="009E44AC" w:rsidRPr="006F188E" w:rsidRDefault="009E44AC" w:rsidP="00D70CC9">
            <w:pPr>
              <w:pStyle w:val="TableBody"/>
              <w:keepNext/>
            </w:pPr>
            <w:r w:rsidRPr="006F188E">
              <w:t>1.19</w:t>
            </w:r>
          </w:p>
        </w:tc>
        <w:tc>
          <w:tcPr>
            <w:tcW w:w="1470" w:type="pct"/>
          </w:tcPr>
          <w:p w14:paraId="2812AE17" w14:textId="77777777" w:rsidR="009E44AC" w:rsidRPr="006F188E" w:rsidRDefault="009E44AC" w:rsidP="00D70CC9">
            <w:pPr>
              <w:pStyle w:val="TableBody"/>
              <w:keepNext/>
            </w:pPr>
            <w:r w:rsidRPr="006F188E">
              <w:t>1.19</w:t>
            </w:r>
          </w:p>
        </w:tc>
      </w:tr>
      <w:tr w:rsidR="009E44AC" w:rsidRPr="007B3DB1" w14:paraId="6CF98164" w14:textId="77777777">
        <w:trPr>
          <w:cnfStyle w:val="000000010000" w:firstRow="0" w:lastRow="0" w:firstColumn="0" w:lastColumn="0" w:oddVBand="0" w:evenVBand="0" w:oddHBand="0" w:evenHBand="1" w:firstRowFirstColumn="0" w:firstRowLastColumn="0" w:lastRowFirstColumn="0" w:lastRowLastColumn="0"/>
          <w:trHeight w:val="279"/>
        </w:trPr>
        <w:tc>
          <w:tcPr>
            <w:tcW w:w="1987" w:type="pct"/>
          </w:tcPr>
          <w:p w14:paraId="69FEDCA9" w14:textId="77777777" w:rsidR="009E44AC" w:rsidRPr="007B3DB1" w:rsidRDefault="009E44AC" w:rsidP="00D70CC9">
            <w:pPr>
              <w:pStyle w:val="TableBody"/>
              <w:keepNext/>
            </w:pPr>
            <w:r w:rsidRPr="007B3DB1">
              <w:t>Transformation – Asset</w:t>
            </w:r>
          </w:p>
        </w:tc>
        <w:tc>
          <w:tcPr>
            <w:tcW w:w="1543" w:type="pct"/>
          </w:tcPr>
          <w:p w14:paraId="7164212C" w14:textId="77777777" w:rsidR="009E44AC" w:rsidRPr="006F188E" w:rsidRDefault="009E44AC" w:rsidP="00D70CC9">
            <w:pPr>
              <w:pStyle w:val="TableBody"/>
              <w:keepNext/>
            </w:pPr>
            <w:r w:rsidRPr="006F188E">
              <w:t>1.19</w:t>
            </w:r>
          </w:p>
        </w:tc>
        <w:tc>
          <w:tcPr>
            <w:tcW w:w="1470" w:type="pct"/>
          </w:tcPr>
          <w:p w14:paraId="295996C3" w14:textId="77777777" w:rsidR="009E44AC" w:rsidRPr="006F188E" w:rsidRDefault="009E44AC" w:rsidP="00D70CC9">
            <w:pPr>
              <w:pStyle w:val="TableBody"/>
              <w:keepNext/>
            </w:pPr>
            <w:r w:rsidRPr="006F188E">
              <w:t>1.19</w:t>
            </w:r>
          </w:p>
        </w:tc>
      </w:tr>
      <w:tr w:rsidR="009E44AC" w:rsidRPr="007B3DB1" w14:paraId="526AA342" w14:textId="77777777">
        <w:trPr>
          <w:cnfStyle w:val="000000100000" w:firstRow="0" w:lastRow="0" w:firstColumn="0" w:lastColumn="0" w:oddVBand="0" w:evenVBand="0" w:oddHBand="1" w:evenHBand="0" w:firstRowFirstColumn="0" w:firstRowLastColumn="0" w:lastRowFirstColumn="0" w:lastRowLastColumn="0"/>
          <w:trHeight w:val="279"/>
        </w:trPr>
        <w:tc>
          <w:tcPr>
            <w:tcW w:w="1987" w:type="pct"/>
          </w:tcPr>
          <w:p w14:paraId="3AE5CF44" w14:textId="77777777" w:rsidR="009E44AC" w:rsidRPr="007B3DB1" w:rsidRDefault="009E44AC" w:rsidP="00D70CC9">
            <w:pPr>
              <w:pStyle w:val="TableBody"/>
              <w:keepNext/>
            </w:pPr>
            <w:r w:rsidRPr="007B3DB1">
              <w:t>Transformation – Compliance</w:t>
            </w:r>
          </w:p>
        </w:tc>
        <w:tc>
          <w:tcPr>
            <w:tcW w:w="1543" w:type="pct"/>
          </w:tcPr>
          <w:p w14:paraId="1D4D39F3" w14:textId="77777777" w:rsidR="009E44AC" w:rsidRPr="006F188E" w:rsidRDefault="009E44AC" w:rsidP="00D70CC9">
            <w:pPr>
              <w:pStyle w:val="TableBody"/>
              <w:keepNext/>
            </w:pPr>
            <w:r w:rsidRPr="006F188E">
              <w:t>3.54</w:t>
            </w:r>
          </w:p>
        </w:tc>
        <w:tc>
          <w:tcPr>
            <w:tcW w:w="1470" w:type="pct"/>
          </w:tcPr>
          <w:p w14:paraId="36B4D560" w14:textId="77777777" w:rsidR="009E44AC" w:rsidRPr="006F188E" w:rsidRDefault="009E44AC" w:rsidP="00D70CC9">
            <w:pPr>
              <w:pStyle w:val="TableBody"/>
              <w:keepNext/>
            </w:pPr>
            <w:r w:rsidRPr="006F188E">
              <w:t>3.54</w:t>
            </w:r>
          </w:p>
        </w:tc>
      </w:tr>
      <w:tr w:rsidR="009E44AC" w:rsidRPr="007B3DB1" w14:paraId="73B1F367" w14:textId="77777777">
        <w:trPr>
          <w:cnfStyle w:val="000000010000" w:firstRow="0" w:lastRow="0" w:firstColumn="0" w:lastColumn="0" w:oddVBand="0" w:evenVBand="0" w:oddHBand="0" w:evenHBand="1" w:firstRowFirstColumn="0" w:firstRowLastColumn="0" w:lastRowFirstColumn="0" w:lastRowLastColumn="0"/>
          <w:trHeight w:val="279"/>
        </w:trPr>
        <w:tc>
          <w:tcPr>
            <w:tcW w:w="1987" w:type="pct"/>
          </w:tcPr>
          <w:p w14:paraId="6005FD95" w14:textId="77777777" w:rsidR="009E44AC" w:rsidRPr="007B3DB1" w:rsidRDefault="009E44AC" w:rsidP="00D70CC9">
            <w:pPr>
              <w:pStyle w:val="TableBody"/>
              <w:keepNext/>
            </w:pPr>
            <w:r w:rsidRPr="007B3DB1">
              <w:t>Transformation – Corporate</w:t>
            </w:r>
          </w:p>
        </w:tc>
        <w:tc>
          <w:tcPr>
            <w:tcW w:w="1543" w:type="pct"/>
          </w:tcPr>
          <w:p w14:paraId="60DE1877" w14:textId="77777777" w:rsidR="009E44AC" w:rsidRPr="006F188E" w:rsidRDefault="009E44AC" w:rsidP="00D70CC9">
            <w:pPr>
              <w:pStyle w:val="TableBody"/>
              <w:keepNext/>
            </w:pPr>
            <w:r w:rsidRPr="006F188E">
              <w:t>0.76</w:t>
            </w:r>
          </w:p>
        </w:tc>
        <w:tc>
          <w:tcPr>
            <w:tcW w:w="1470" w:type="pct"/>
          </w:tcPr>
          <w:p w14:paraId="435D772E" w14:textId="77777777" w:rsidR="009E44AC" w:rsidRPr="006F188E" w:rsidRDefault="009E44AC" w:rsidP="00D70CC9">
            <w:pPr>
              <w:pStyle w:val="TableBody"/>
              <w:keepNext/>
            </w:pPr>
            <w:r w:rsidRPr="006F188E">
              <w:t>0.76</w:t>
            </w:r>
          </w:p>
        </w:tc>
      </w:tr>
      <w:tr w:rsidR="009E44AC" w:rsidRPr="007B3DB1" w14:paraId="40A3C98E" w14:textId="77777777">
        <w:trPr>
          <w:cnfStyle w:val="000000100000" w:firstRow="0" w:lastRow="0" w:firstColumn="0" w:lastColumn="0" w:oddVBand="0" w:evenVBand="0" w:oddHBand="1" w:evenHBand="0" w:firstRowFirstColumn="0" w:firstRowLastColumn="0" w:lastRowFirstColumn="0" w:lastRowLastColumn="0"/>
          <w:trHeight w:val="279"/>
        </w:trPr>
        <w:tc>
          <w:tcPr>
            <w:tcW w:w="1987" w:type="pct"/>
          </w:tcPr>
          <w:p w14:paraId="0CD3B281" w14:textId="77777777" w:rsidR="009E44AC" w:rsidRPr="007B3DB1" w:rsidRDefault="009E44AC" w:rsidP="00D70CC9">
            <w:pPr>
              <w:pStyle w:val="TableBody"/>
              <w:keepNext/>
            </w:pPr>
            <w:r w:rsidRPr="007B3DB1">
              <w:t>Transformation – Customer</w:t>
            </w:r>
          </w:p>
        </w:tc>
        <w:tc>
          <w:tcPr>
            <w:tcW w:w="1543" w:type="pct"/>
          </w:tcPr>
          <w:p w14:paraId="3073AA8C" w14:textId="77777777" w:rsidR="009E44AC" w:rsidRPr="006F188E" w:rsidRDefault="009E44AC" w:rsidP="00D70CC9">
            <w:pPr>
              <w:pStyle w:val="TableBody"/>
              <w:keepNext/>
            </w:pPr>
            <w:r w:rsidRPr="006F188E">
              <w:t>1.17</w:t>
            </w:r>
          </w:p>
        </w:tc>
        <w:tc>
          <w:tcPr>
            <w:tcW w:w="1470" w:type="pct"/>
          </w:tcPr>
          <w:p w14:paraId="606292BA" w14:textId="77777777" w:rsidR="009E44AC" w:rsidRPr="006F188E" w:rsidRDefault="009E44AC" w:rsidP="00D70CC9">
            <w:pPr>
              <w:pStyle w:val="TableBody"/>
              <w:keepNext/>
            </w:pPr>
            <w:r w:rsidRPr="006F188E">
              <w:t>1.03</w:t>
            </w:r>
          </w:p>
        </w:tc>
      </w:tr>
      <w:tr w:rsidR="009E44AC" w:rsidRPr="007B3DB1" w14:paraId="62CB12AD" w14:textId="77777777">
        <w:trPr>
          <w:cnfStyle w:val="000000010000" w:firstRow="0" w:lastRow="0" w:firstColumn="0" w:lastColumn="0" w:oddVBand="0" w:evenVBand="0" w:oddHBand="0" w:evenHBand="1" w:firstRowFirstColumn="0" w:firstRowLastColumn="0" w:lastRowFirstColumn="0" w:lastRowLastColumn="0"/>
          <w:trHeight w:val="279"/>
        </w:trPr>
        <w:tc>
          <w:tcPr>
            <w:tcW w:w="1987" w:type="pct"/>
          </w:tcPr>
          <w:p w14:paraId="66781A36" w14:textId="77777777" w:rsidR="009E44AC" w:rsidRPr="007B3DB1" w:rsidRDefault="009E44AC">
            <w:pPr>
              <w:pStyle w:val="TableBody"/>
            </w:pPr>
            <w:r w:rsidRPr="007B3DB1">
              <w:t>Transformation – Safety</w:t>
            </w:r>
          </w:p>
        </w:tc>
        <w:tc>
          <w:tcPr>
            <w:tcW w:w="1543" w:type="pct"/>
          </w:tcPr>
          <w:p w14:paraId="28926A5A" w14:textId="77777777" w:rsidR="009E44AC" w:rsidRPr="006F188E" w:rsidRDefault="009E44AC">
            <w:pPr>
              <w:pStyle w:val="TableBody"/>
            </w:pPr>
            <w:r w:rsidRPr="006F188E">
              <w:t>0.29</w:t>
            </w:r>
          </w:p>
        </w:tc>
        <w:tc>
          <w:tcPr>
            <w:tcW w:w="1470" w:type="pct"/>
          </w:tcPr>
          <w:p w14:paraId="1406C548" w14:textId="77777777" w:rsidR="009E44AC" w:rsidRPr="006F188E" w:rsidRDefault="009E44AC">
            <w:pPr>
              <w:pStyle w:val="TableBody"/>
            </w:pPr>
            <w:r w:rsidRPr="006F188E">
              <w:t>0.29</w:t>
            </w:r>
          </w:p>
        </w:tc>
      </w:tr>
      <w:tr w:rsidR="009E44AC" w:rsidRPr="007B3DB1" w14:paraId="362BDCE2" w14:textId="77777777">
        <w:trPr>
          <w:cnfStyle w:val="000000100000" w:firstRow="0" w:lastRow="0" w:firstColumn="0" w:lastColumn="0" w:oddVBand="0" w:evenVBand="0" w:oddHBand="1" w:evenHBand="0" w:firstRowFirstColumn="0" w:firstRowLastColumn="0" w:lastRowFirstColumn="0" w:lastRowLastColumn="0"/>
          <w:trHeight w:val="279"/>
        </w:trPr>
        <w:tc>
          <w:tcPr>
            <w:tcW w:w="1987" w:type="pct"/>
          </w:tcPr>
          <w:p w14:paraId="2398678B" w14:textId="77777777" w:rsidR="009E44AC" w:rsidRPr="007B3DB1" w:rsidRDefault="009E44AC">
            <w:pPr>
              <w:pStyle w:val="TableBody"/>
            </w:pPr>
            <w:r w:rsidRPr="007B3DB1">
              <w:t>Changes in obligations</w:t>
            </w:r>
          </w:p>
        </w:tc>
        <w:tc>
          <w:tcPr>
            <w:tcW w:w="1543" w:type="pct"/>
          </w:tcPr>
          <w:p w14:paraId="28C8FA2B" w14:textId="77777777" w:rsidR="009E44AC" w:rsidRPr="006F188E" w:rsidRDefault="009E44AC">
            <w:pPr>
              <w:pStyle w:val="TableBody"/>
            </w:pPr>
            <w:r w:rsidRPr="006F188E">
              <w:t>1.33</w:t>
            </w:r>
          </w:p>
        </w:tc>
        <w:tc>
          <w:tcPr>
            <w:tcW w:w="1470" w:type="pct"/>
          </w:tcPr>
          <w:p w14:paraId="4131FFB7" w14:textId="77777777" w:rsidR="009E44AC" w:rsidRPr="006F188E" w:rsidRDefault="009E44AC">
            <w:pPr>
              <w:pStyle w:val="TableBody"/>
            </w:pPr>
            <w:r w:rsidRPr="006F188E">
              <w:t>1.33</w:t>
            </w:r>
          </w:p>
        </w:tc>
      </w:tr>
      <w:tr w:rsidR="009E44AC" w:rsidRPr="007B3DB1" w14:paraId="3C02218A" w14:textId="77777777">
        <w:trPr>
          <w:cnfStyle w:val="000000010000" w:firstRow="0" w:lastRow="0" w:firstColumn="0" w:lastColumn="0" w:oddVBand="0" w:evenVBand="0" w:oddHBand="0" w:evenHBand="1" w:firstRowFirstColumn="0" w:firstRowLastColumn="0" w:lastRowFirstColumn="0" w:lastRowLastColumn="0"/>
          <w:trHeight w:val="279"/>
        </w:trPr>
        <w:tc>
          <w:tcPr>
            <w:tcW w:w="1987" w:type="pct"/>
          </w:tcPr>
          <w:p w14:paraId="4BC595EE" w14:textId="77777777" w:rsidR="009E44AC" w:rsidRPr="007B3DB1" w:rsidRDefault="009E44AC">
            <w:pPr>
              <w:pStyle w:val="TableBody"/>
            </w:pPr>
            <w:r w:rsidRPr="007B3DB1">
              <w:t>External cost drivers</w:t>
            </w:r>
          </w:p>
        </w:tc>
        <w:tc>
          <w:tcPr>
            <w:tcW w:w="1543" w:type="pct"/>
          </w:tcPr>
          <w:p w14:paraId="76159E67" w14:textId="77777777" w:rsidR="009E44AC" w:rsidRPr="006F188E" w:rsidRDefault="009E44AC">
            <w:pPr>
              <w:pStyle w:val="TableBody"/>
            </w:pPr>
            <w:r w:rsidRPr="006F188E">
              <w:t>12.69</w:t>
            </w:r>
          </w:p>
        </w:tc>
        <w:tc>
          <w:tcPr>
            <w:tcW w:w="1470" w:type="pct"/>
          </w:tcPr>
          <w:p w14:paraId="366AD88B" w14:textId="77777777" w:rsidR="009E44AC" w:rsidRPr="006F188E" w:rsidRDefault="009E44AC">
            <w:pPr>
              <w:pStyle w:val="TableBody"/>
            </w:pPr>
            <w:r w:rsidRPr="006F188E">
              <w:t>12.69</w:t>
            </w:r>
          </w:p>
        </w:tc>
      </w:tr>
      <w:tr w:rsidR="009E44AC" w:rsidRPr="007B3DB1" w14:paraId="590C5D4B" w14:textId="77777777">
        <w:trPr>
          <w:cnfStyle w:val="000000100000" w:firstRow="0" w:lastRow="0" w:firstColumn="0" w:lastColumn="0" w:oddVBand="0" w:evenVBand="0" w:oddHBand="1" w:evenHBand="0" w:firstRowFirstColumn="0" w:firstRowLastColumn="0" w:lastRowFirstColumn="0" w:lastRowLastColumn="0"/>
          <w:trHeight w:val="279"/>
        </w:trPr>
        <w:tc>
          <w:tcPr>
            <w:tcW w:w="1987" w:type="pct"/>
          </w:tcPr>
          <w:p w14:paraId="38CD8B31" w14:textId="77777777" w:rsidR="009E44AC" w:rsidRPr="007B3DB1" w:rsidRDefault="009E44AC">
            <w:pPr>
              <w:pStyle w:val="TableBody"/>
            </w:pPr>
            <w:proofErr w:type="spellStart"/>
            <w:r w:rsidRPr="007B3DB1">
              <w:t>Labour</w:t>
            </w:r>
            <w:proofErr w:type="spellEnd"/>
            <w:r w:rsidRPr="007B3DB1">
              <w:t xml:space="preserve"> movements</w:t>
            </w:r>
          </w:p>
        </w:tc>
        <w:tc>
          <w:tcPr>
            <w:tcW w:w="1543" w:type="pct"/>
          </w:tcPr>
          <w:p w14:paraId="4061AB65" w14:textId="77777777" w:rsidR="009E44AC" w:rsidRPr="006F188E" w:rsidRDefault="009E44AC">
            <w:pPr>
              <w:pStyle w:val="TableBody"/>
            </w:pPr>
            <w:r w:rsidRPr="006F188E">
              <w:t>3.00</w:t>
            </w:r>
          </w:p>
        </w:tc>
        <w:tc>
          <w:tcPr>
            <w:tcW w:w="1470" w:type="pct"/>
          </w:tcPr>
          <w:p w14:paraId="7DF91E4D" w14:textId="77777777" w:rsidR="009E44AC" w:rsidRPr="006F188E" w:rsidRDefault="009E44AC">
            <w:pPr>
              <w:pStyle w:val="TableBody"/>
            </w:pPr>
            <w:r w:rsidRPr="006F188E">
              <w:t>0.91</w:t>
            </w:r>
          </w:p>
        </w:tc>
      </w:tr>
      <w:tr w:rsidR="009E44AC" w:rsidRPr="007B3DB1" w14:paraId="25B64DBB" w14:textId="77777777">
        <w:trPr>
          <w:cnfStyle w:val="000000010000" w:firstRow="0" w:lastRow="0" w:firstColumn="0" w:lastColumn="0" w:oddVBand="0" w:evenVBand="0" w:oddHBand="0" w:evenHBand="1" w:firstRowFirstColumn="0" w:firstRowLastColumn="0" w:lastRowFirstColumn="0" w:lastRowLastColumn="0"/>
          <w:trHeight w:val="279"/>
        </w:trPr>
        <w:tc>
          <w:tcPr>
            <w:tcW w:w="1987" w:type="pct"/>
          </w:tcPr>
          <w:p w14:paraId="4A63E0AF" w14:textId="17DD73BE" w:rsidR="009E44AC" w:rsidRPr="007B3DB1" w:rsidRDefault="009E44AC">
            <w:pPr>
              <w:pStyle w:val="TableBody"/>
            </w:pPr>
            <w:r>
              <w:t>Remaining Variance</w:t>
            </w:r>
            <w:r w:rsidR="00380EA8">
              <w:t xml:space="preserve"> (unexplained baseline increases)</w:t>
            </w:r>
          </w:p>
        </w:tc>
        <w:tc>
          <w:tcPr>
            <w:tcW w:w="1543" w:type="pct"/>
          </w:tcPr>
          <w:p w14:paraId="74AF7CA0" w14:textId="77777777" w:rsidR="009E44AC" w:rsidRPr="006F188E" w:rsidRDefault="009E44AC">
            <w:pPr>
              <w:pStyle w:val="TableBody"/>
            </w:pPr>
            <w:r w:rsidRPr="006F188E">
              <w:t>0.32</w:t>
            </w:r>
          </w:p>
        </w:tc>
        <w:tc>
          <w:tcPr>
            <w:tcW w:w="1470" w:type="pct"/>
          </w:tcPr>
          <w:p w14:paraId="0B4D0B47" w14:textId="77777777" w:rsidR="009E44AC" w:rsidRPr="006F188E" w:rsidRDefault="009E44AC">
            <w:pPr>
              <w:pStyle w:val="TableBody"/>
            </w:pPr>
            <w:r w:rsidRPr="006F188E">
              <w:t>2.55</w:t>
            </w:r>
          </w:p>
        </w:tc>
      </w:tr>
      <w:tr w:rsidR="009E44AC" w:rsidRPr="007B3DB1" w14:paraId="366697F7" w14:textId="77777777">
        <w:trPr>
          <w:cnfStyle w:val="000000100000" w:firstRow="0" w:lastRow="0" w:firstColumn="0" w:lastColumn="0" w:oddVBand="0" w:evenVBand="0" w:oddHBand="1" w:evenHBand="0" w:firstRowFirstColumn="0" w:firstRowLastColumn="0" w:lastRowFirstColumn="0" w:lastRowLastColumn="0"/>
          <w:trHeight w:val="270"/>
        </w:trPr>
        <w:tc>
          <w:tcPr>
            <w:tcW w:w="1987" w:type="pct"/>
          </w:tcPr>
          <w:p w14:paraId="5DD0B57B" w14:textId="77777777" w:rsidR="009E44AC" w:rsidRPr="007B3DB1" w:rsidRDefault="009E44AC">
            <w:pPr>
              <w:pStyle w:val="TableBold"/>
            </w:pPr>
            <w:r>
              <w:t>Total</w:t>
            </w:r>
          </w:p>
        </w:tc>
        <w:tc>
          <w:tcPr>
            <w:tcW w:w="1543" w:type="pct"/>
          </w:tcPr>
          <w:p w14:paraId="2ACF1284" w14:textId="77777777" w:rsidR="009E44AC" w:rsidRPr="006F188E" w:rsidRDefault="009E44AC">
            <w:pPr>
              <w:pStyle w:val="TableBold"/>
            </w:pPr>
            <w:r w:rsidRPr="006F188E">
              <w:t>25.48</w:t>
            </w:r>
          </w:p>
        </w:tc>
        <w:tc>
          <w:tcPr>
            <w:tcW w:w="1470" w:type="pct"/>
          </w:tcPr>
          <w:p w14:paraId="65061BD5" w14:textId="77777777" w:rsidR="009E44AC" w:rsidRPr="006F188E" w:rsidRDefault="009E44AC">
            <w:pPr>
              <w:pStyle w:val="TableBold"/>
            </w:pPr>
            <w:r w:rsidRPr="006F188E">
              <w:t>25.48</w:t>
            </w:r>
          </w:p>
        </w:tc>
      </w:tr>
    </w:tbl>
    <w:p w14:paraId="18FB7BE6" w14:textId="36218A1A" w:rsidR="003D29E4" w:rsidRPr="006F188E" w:rsidRDefault="003D29E4" w:rsidP="003D29E4">
      <w:pPr>
        <w:pStyle w:val="Caption"/>
      </w:pPr>
      <w:r w:rsidRPr="006F188E">
        <w:rPr>
          <w:b/>
        </w:rPr>
        <w:t xml:space="preserve">Note: </w:t>
      </w:r>
      <w:r w:rsidRPr="006F188E">
        <w:t xml:space="preserve">Greater Western Water revised its breakdown of costs above the benchmark allowance during our consultant’s investigation, lowering the amounts categorised under ‘Labour movements’ and ‘Transformation – Customer’ when it found some of these costs were already embedded within the other categories. This alteration led Greater Western Water to increase the ‘remaining variance’ value to $2.55 million. Some of these figures are net values, representing cost increases which are partially offset by efficiencies or cost savings. </w:t>
      </w:r>
    </w:p>
    <w:p w14:paraId="4CB211DD" w14:textId="36218A1A" w:rsidR="00020EF0" w:rsidRPr="006F188E" w:rsidRDefault="00020EF0" w:rsidP="00020EF0">
      <w:r w:rsidRPr="006F188E">
        <w:t xml:space="preserve">After an extensive review process, involving numerous requests for further information and subsequent interrogation of the responses provided by Greater Western Water, our consultant was unable to verify the recurring nature or the prudency and efficiency of the proposed increase to the baseline allowance above the previously established benchmarks. Given these findings, our consultant recommended that a total of $16.86 million of the proposed increase to the baseline allowance be removed from the forecasts. </w:t>
      </w:r>
    </w:p>
    <w:p w14:paraId="66642486" w14:textId="74348236" w:rsidR="00020EF0" w:rsidRDefault="00020EF0" w:rsidP="00020EF0">
      <w:r w:rsidRPr="006F188E">
        <w:t>Our consultant’s specific recommended adjustments to the proposed baseline allowance, and the impact on Greater Western Water’s forecast operating expenditure across the next regulatory period is outlined in Table 4.</w:t>
      </w:r>
      <w:r w:rsidR="005500B5" w:rsidRPr="006F188E">
        <w:t>6</w:t>
      </w:r>
      <w:r w:rsidRPr="006F188E">
        <w:t xml:space="preserve"> below. The details of our consultant’s review and analysis and the reasoning for its recommendations is set out in its final report.</w:t>
      </w:r>
      <w:r w:rsidRPr="006F188E">
        <w:rPr>
          <w:rStyle w:val="FootnoteReference"/>
        </w:rPr>
        <w:footnoteReference w:id="50"/>
      </w:r>
    </w:p>
    <w:p w14:paraId="67CD831A" w14:textId="127F3686" w:rsidR="008F578A" w:rsidRDefault="008F578A" w:rsidP="00C25E19">
      <w:pPr>
        <w:pStyle w:val="Figure-Table-BoxHeading"/>
        <w:keepNext/>
        <w:spacing w:before="0" w:after="0" w:line="240" w:lineRule="auto"/>
        <w:ind w:left="0" w:firstLine="0"/>
      </w:pPr>
      <w:r>
        <w:lastRenderedPageBreak/>
        <w:t>Table 4.</w:t>
      </w:r>
      <w:r w:rsidR="005500B5">
        <w:t>6</w:t>
      </w:r>
      <w:r>
        <w:tab/>
        <w:t xml:space="preserve">FTI Consulting’s recommended baseline operating expenditure adjustments </w:t>
      </w:r>
    </w:p>
    <w:p w14:paraId="522B6738" w14:textId="77777777" w:rsidR="008F578A" w:rsidRDefault="008F578A" w:rsidP="002A18FA">
      <w:pPr>
        <w:pStyle w:val="Figure-Table-BoxSubtitle"/>
        <w:keepNext/>
        <w:spacing w:before="0" w:line="240" w:lineRule="auto"/>
      </w:pPr>
      <w:r>
        <w:tab/>
        <w:t>$ million 2023-24</w:t>
      </w:r>
    </w:p>
    <w:tbl>
      <w:tblPr>
        <w:tblStyle w:val="TableGrid2"/>
        <w:tblW w:w="5001" w:type="pct"/>
        <w:tblLayout w:type="fixed"/>
        <w:tblLook w:val="04A0" w:firstRow="1" w:lastRow="0" w:firstColumn="1" w:lastColumn="0" w:noHBand="0" w:noVBand="1"/>
      </w:tblPr>
      <w:tblGrid>
        <w:gridCol w:w="2694"/>
        <w:gridCol w:w="1700"/>
        <w:gridCol w:w="1311"/>
        <w:gridCol w:w="1311"/>
        <w:gridCol w:w="1311"/>
        <w:gridCol w:w="1313"/>
      </w:tblGrid>
      <w:tr w:rsidR="000F7D8B" w:rsidRPr="0059067E" w14:paraId="32C7E7C4" w14:textId="77777777" w:rsidTr="00D25D1A">
        <w:trPr>
          <w:cnfStyle w:val="100000000000" w:firstRow="1" w:lastRow="0" w:firstColumn="0" w:lastColumn="0" w:oddVBand="0" w:evenVBand="0" w:oddHBand="0" w:evenHBand="0" w:firstRowFirstColumn="0" w:firstRowLastColumn="0" w:lastRowFirstColumn="0" w:lastRowLastColumn="0"/>
          <w:cantSplit/>
          <w:trHeight w:val="356"/>
        </w:trPr>
        <w:tc>
          <w:tcPr>
            <w:tcW w:w="5000" w:type="pct"/>
            <w:gridSpan w:val="6"/>
            <w:noWrap/>
          </w:tcPr>
          <w:p w14:paraId="73B646D2" w14:textId="77777777" w:rsidR="000F7D8B" w:rsidRPr="0059067E" w:rsidRDefault="000F7D8B" w:rsidP="00C25E19">
            <w:pPr>
              <w:pStyle w:val="TableHeading"/>
              <w:keepNext/>
              <w:rPr>
                <w:sz w:val="20"/>
                <w:szCs w:val="20"/>
                <w:lang w:val="en-AU" w:eastAsia="zh-CN"/>
              </w:rPr>
            </w:pPr>
            <w:r w:rsidRPr="004C0ED3">
              <w:rPr>
                <w:lang w:eastAsia="zh-CN"/>
              </w:rPr>
              <w:t>Recommended adjustments:</w:t>
            </w:r>
          </w:p>
        </w:tc>
      </w:tr>
      <w:tr w:rsidR="00166E2E" w:rsidRPr="0059067E" w14:paraId="0A364C3C" w14:textId="77777777" w:rsidTr="00D25D1A">
        <w:trPr>
          <w:cnfStyle w:val="000000100000" w:firstRow="0" w:lastRow="0" w:firstColumn="0" w:lastColumn="0" w:oddVBand="0" w:evenVBand="0" w:oddHBand="1" w:evenHBand="0" w:firstRowFirstColumn="0" w:firstRowLastColumn="0" w:lastRowFirstColumn="0" w:lastRowLastColumn="0"/>
          <w:cantSplit/>
          <w:trHeight w:val="23"/>
        </w:trPr>
        <w:tc>
          <w:tcPr>
            <w:tcW w:w="1397" w:type="pct"/>
            <w:noWrap/>
          </w:tcPr>
          <w:p w14:paraId="3A131F3F" w14:textId="77777777" w:rsidR="000F7D8B" w:rsidRPr="0059067E" w:rsidRDefault="000F7D8B">
            <w:pPr>
              <w:pStyle w:val="TableBody"/>
              <w:rPr>
                <w:lang w:eastAsia="zh-CN"/>
              </w:rPr>
            </w:pPr>
          </w:p>
        </w:tc>
        <w:tc>
          <w:tcPr>
            <w:tcW w:w="882" w:type="pct"/>
          </w:tcPr>
          <w:p w14:paraId="0AA293F3" w14:textId="77777777" w:rsidR="000F7D8B" w:rsidRDefault="000F7D8B">
            <w:pPr>
              <w:pStyle w:val="TableBody"/>
              <w:rPr>
                <w:lang w:eastAsia="zh-CN"/>
              </w:rPr>
            </w:pPr>
            <w:r>
              <w:rPr>
                <w:lang w:eastAsia="zh-CN"/>
              </w:rPr>
              <w:t xml:space="preserve">2022-23 </w:t>
            </w:r>
          </w:p>
          <w:p w14:paraId="1A127F83" w14:textId="19DC485C" w:rsidR="000F7D8B" w:rsidRPr="0059067E" w:rsidRDefault="000F7D8B">
            <w:pPr>
              <w:pStyle w:val="TableBody"/>
              <w:rPr>
                <w:lang w:eastAsia="zh-CN"/>
              </w:rPr>
            </w:pPr>
            <w:r>
              <w:rPr>
                <w:lang w:eastAsia="zh-CN"/>
              </w:rPr>
              <w:t xml:space="preserve">(Baseline year) </w:t>
            </w:r>
          </w:p>
        </w:tc>
        <w:tc>
          <w:tcPr>
            <w:tcW w:w="680" w:type="pct"/>
            <w:noWrap/>
          </w:tcPr>
          <w:p w14:paraId="52B27AD6" w14:textId="77777777" w:rsidR="000F7D8B" w:rsidRPr="0059067E" w:rsidRDefault="000F7D8B">
            <w:pPr>
              <w:pStyle w:val="TableBody"/>
              <w:rPr>
                <w:lang w:eastAsia="zh-CN"/>
              </w:rPr>
            </w:pPr>
            <w:r w:rsidRPr="0059067E">
              <w:rPr>
                <w:lang w:eastAsia="zh-CN"/>
              </w:rPr>
              <w:t>2024-25</w:t>
            </w:r>
          </w:p>
        </w:tc>
        <w:tc>
          <w:tcPr>
            <w:tcW w:w="680" w:type="pct"/>
            <w:noWrap/>
          </w:tcPr>
          <w:p w14:paraId="241F5111" w14:textId="77777777" w:rsidR="000F7D8B" w:rsidRPr="0059067E" w:rsidRDefault="000F7D8B">
            <w:pPr>
              <w:pStyle w:val="TableBody"/>
              <w:rPr>
                <w:lang w:eastAsia="zh-CN"/>
              </w:rPr>
            </w:pPr>
            <w:r w:rsidRPr="0059067E">
              <w:rPr>
                <w:lang w:eastAsia="zh-CN"/>
              </w:rPr>
              <w:t>2025-26</w:t>
            </w:r>
          </w:p>
        </w:tc>
        <w:tc>
          <w:tcPr>
            <w:tcW w:w="680" w:type="pct"/>
            <w:noWrap/>
          </w:tcPr>
          <w:p w14:paraId="6075AD2D" w14:textId="77777777" w:rsidR="000F7D8B" w:rsidRPr="0059067E" w:rsidRDefault="000F7D8B">
            <w:pPr>
              <w:pStyle w:val="TableBody"/>
              <w:rPr>
                <w:lang w:eastAsia="zh-CN"/>
              </w:rPr>
            </w:pPr>
            <w:r w:rsidRPr="0059067E">
              <w:rPr>
                <w:lang w:eastAsia="zh-CN"/>
              </w:rPr>
              <w:t>2026-27</w:t>
            </w:r>
          </w:p>
        </w:tc>
        <w:tc>
          <w:tcPr>
            <w:tcW w:w="681" w:type="pct"/>
            <w:noWrap/>
          </w:tcPr>
          <w:p w14:paraId="1D817370" w14:textId="77777777" w:rsidR="000F7D8B" w:rsidRPr="0059067E" w:rsidRDefault="000F7D8B" w:rsidP="00C25E19">
            <w:pPr>
              <w:pStyle w:val="TableBody"/>
              <w:keepNext/>
              <w:rPr>
                <w:lang w:eastAsia="zh-CN"/>
              </w:rPr>
            </w:pPr>
            <w:r w:rsidRPr="0059067E">
              <w:rPr>
                <w:lang w:eastAsia="zh-CN"/>
              </w:rPr>
              <w:t>2027-28</w:t>
            </w:r>
          </w:p>
        </w:tc>
      </w:tr>
      <w:tr w:rsidR="00166E2E" w:rsidRPr="0059067E" w14:paraId="3BD2B1C0" w14:textId="77777777" w:rsidTr="00D25D1A">
        <w:trPr>
          <w:cnfStyle w:val="000000010000" w:firstRow="0" w:lastRow="0" w:firstColumn="0" w:lastColumn="0" w:oddVBand="0" w:evenVBand="0" w:oddHBand="0" w:evenHBand="1" w:firstRowFirstColumn="0" w:firstRowLastColumn="0" w:lastRowFirstColumn="0" w:lastRowLastColumn="0"/>
          <w:cantSplit/>
          <w:trHeight w:val="255"/>
        </w:trPr>
        <w:tc>
          <w:tcPr>
            <w:tcW w:w="1397" w:type="pct"/>
            <w:noWrap/>
            <w:hideMark/>
          </w:tcPr>
          <w:p w14:paraId="60174448" w14:textId="77777777" w:rsidR="000F7D8B" w:rsidRPr="0059067E" w:rsidRDefault="000F7D8B">
            <w:pPr>
              <w:pStyle w:val="TableBody"/>
              <w:rPr>
                <w:lang w:val="en-AU" w:eastAsia="zh-CN"/>
              </w:rPr>
            </w:pPr>
            <w:r>
              <w:rPr>
                <w:lang w:eastAsia="zh-CN"/>
              </w:rPr>
              <w:t>Integration costs</w:t>
            </w:r>
          </w:p>
        </w:tc>
        <w:tc>
          <w:tcPr>
            <w:tcW w:w="882" w:type="pct"/>
          </w:tcPr>
          <w:p w14:paraId="77A3579E" w14:textId="77777777" w:rsidR="000F7D8B" w:rsidRPr="006F188E" w:rsidRDefault="000F7D8B">
            <w:pPr>
              <w:pStyle w:val="TableBody"/>
              <w:rPr>
                <w:lang w:val="en-AU" w:eastAsia="zh-CN"/>
              </w:rPr>
            </w:pPr>
            <w:r w:rsidRPr="006F188E">
              <w:rPr>
                <w:lang w:val="en-AU" w:eastAsia="zh-CN"/>
              </w:rPr>
              <w:t>-1.35</w:t>
            </w:r>
          </w:p>
        </w:tc>
        <w:tc>
          <w:tcPr>
            <w:tcW w:w="680" w:type="pct"/>
            <w:noWrap/>
            <w:hideMark/>
          </w:tcPr>
          <w:p w14:paraId="506543F4" w14:textId="77777777" w:rsidR="000F7D8B" w:rsidRPr="006F188E" w:rsidRDefault="000F7D8B">
            <w:pPr>
              <w:pStyle w:val="TableBody"/>
              <w:rPr>
                <w:lang w:val="en-AU" w:eastAsia="zh-CN"/>
              </w:rPr>
            </w:pPr>
            <w:r w:rsidRPr="006F188E">
              <w:t>-1.21</w:t>
            </w:r>
          </w:p>
        </w:tc>
        <w:tc>
          <w:tcPr>
            <w:tcW w:w="680" w:type="pct"/>
            <w:noWrap/>
            <w:hideMark/>
          </w:tcPr>
          <w:p w14:paraId="57ECD5B6" w14:textId="77777777" w:rsidR="000F7D8B" w:rsidRPr="006F188E" w:rsidRDefault="000F7D8B">
            <w:pPr>
              <w:pStyle w:val="TableBody"/>
              <w:rPr>
                <w:lang w:val="en-AU" w:eastAsia="zh-CN"/>
              </w:rPr>
            </w:pPr>
            <w:r w:rsidRPr="006F188E">
              <w:t>-1.13</w:t>
            </w:r>
          </w:p>
        </w:tc>
        <w:tc>
          <w:tcPr>
            <w:tcW w:w="680" w:type="pct"/>
            <w:noWrap/>
            <w:hideMark/>
          </w:tcPr>
          <w:p w14:paraId="33CF7A70" w14:textId="77777777" w:rsidR="000F7D8B" w:rsidRPr="006F188E" w:rsidRDefault="000F7D8B">
            <w:pPr>
              <w:pStyle w:val="TableBody"/>
              <w:rPr>
                <w:lang w:val="en-AU" w:eastAsia="zh-CN"/>
              </w:rPr>
            </w:pPr>
            <w:r w:rsidRPr="006F188E">
              <w:t>-1.04</w:t>
            </w:r>
          </w:p>
        </w:tc>
        <w:tc>
          <w:tcPr>
            <w:tcW w:w="681" w:type="pct"/>
            <w:noWrap/>
            <w:hideMark/>
          </w:tcPr>
          <w:p w14:paraId="3998F3EE" w14:textId="77777777" w:rsidR="000F7D8B" w:rsidRPr="006F188E" w:rsidRDefault="000F7D8B" w:rsidP="00C25E19">
            <w:pPr>
              <w:pStyle w:val="TableBody"/>
              <w:keepNext/>
              <w:rPr>
                <w:lang w:val="en-AU" w:eastAsia="zh-CN"/>
              </w:rPr>
            </w:pPr>
            <w:r w:rsidRPr="006F188E">
              <w:t>-1.04</w:t>
            </w:r>
          </w:p>
        </w:tc>
      </w:tr>
      <w:tr w:rsidR="00166E2E" w:rsidRPr="0059067E" w14:paraId="2B231ABA" w14:textId="77777777" w:rsidTr="00D25D1A">
        <w:trPr>
          <w:cnfStyle w:val="000000100000" w:firstRow="0" w:lastRow="0" w:firstColumn="0" w:lastColumn="0" w:oddVBand="0" w:evenVBand="0" w:oddHBand="1" w:evenHBand="0" w:firstRowFirstColumn="0" w:firstRowLastColumn="0" w:lastRowFirstColumn="0" w:lastRowLastColumn="0"/>
          <w:cantSplit/>
          <w:trHeight w:val="255"/>
        </w:trPr>
        <w:tc>
          <w:tcPr>
            <w:tcW w:w="1397" w:type="pct"/>
            <w:noWrap/>
            <w:hideMark/>
          </w:tcPr>
          <w:p w14:paraId="1CF9E6BF" w14:textId="77777777" w:rsidR="000F7D8B" w:rsidRPr="0059067E" w:rsidRDefault="000F7D8B">
            <w:pPr>
              <w:pStyle w:val="TableBody"/>
              <w:rPr>
                <w:lang w:val="en-AU" w:eastAsia="zh-CN"/>
              </w:rPr>
            </w:pPr>
            <w:r>
              <w:rPr>
                <w:lang w:eastAsia="zh-CN"/>
              </w:rPr>
              <w:t>Compliance obligations</w:t>
            </w:r>
          </w:p>
        </w:tc>
        <w:tc>
          <w:tcPr>
            <w:tcW w:w="882" w:type="pct"/>
          </w:tcPr>
          <w:p w14:paraId="3A15F89E" w14:textId="77777777" w:rsidR="000F7D8B" w:rsidRPr="006F188E" w:rsidRDefault="000F7D8B">
            <w:pPr>
              <w:pStyle w:val="TableBody"/>
              <w:rPr>
                <w:lang w:val="en-AU" w:eastAsia="zh-CN"/>
              </w:rPr>
            </w:pPr>
            <w:r w:rsidRPr="006F188E">
              <w:rPr>
                <w:lang w:val="en-AU" w:eastAsia="zh-CN"/>
              </w:rPr>
              <w:t>-3.3</w:t>
            </w:r>
          </w:p>
        </w:tc>
        <w:tc>
          <w:tcPr>
            <w:tcW w:w="680" w:type="pct"/>
            <w:noWrap/>
            <w:hideMark/>
          </w:tcPr>
          <w:p w14:paraId="77EF86F5" w14:textId="77777777" w:rsidR="000F7D8B" w:rsidRPr="006F188E" w:rsidRDefault="000F7D8B">
            <w:pPr>
              <w:pStyle w:val="TableBody"/>
              <w:rPr>
                <w:lang w:val="en-AU" w:eastAsia="zh-CN"/>
              </w:rPr>
            </w:pPr>
            <w:r w:rsidRPr="006F188E">
              <w:t>-2.95</w:t>
            </w:r>
          </w:p>
        </w:tc>
        <w:tc>
          <w:tcPr>
            <w:tcW w:w="680" w:type="pct"/>
            <w:noWrap/>
            <w:hideMark/>
          </w:tcPr>
          <w:p w14:paraId="3B1962BC" w14:textId="77777777" w:rsidR="000F7D8B" w:rsidRPr="006F188E" w:rsidRDefault="000F7D8B">
            <w:pPr>
              <w:pStyle w:val="TableBody"/>
              <w:rPr>
                <w:lang w:val="en-AU" w:eastAsia="zh-CN"/>
              </w:rPr>
            </w:pPr>
            <w:r w:rsidRPr="006F188E">
              <w:t>-2.75</w:t>
            </w:r>
          </w:p>
        </w:tc>
        <w:tc>
          <w:tcPr>
            <w:tcW w:w="680" w:type="pct"/>
            <w:noWrap/>
            <w:hideMark/>
          </w:tcPr>
          <w:p w14:paraId="57ED9858" w14:textId="77777777" w:rsidR="000F7D8B" w:rsidRPr="006F188E" w:rsidRDefault="000F7D8B">
            <w:pPr>
              <w:pStyle w:val="TableBody"/>
              <w:rPr>
                <w:lang w:val="en-AU" w:eastAsia="zh-CN"/>
              </w:rPr>
            </w:pPr>
            <w:r w:rsidRPr="006F188E">
              <w:t>-2.54</w:t>
            </w:r>
          </w:p>
        </w:tc>
        <w:tc>
          <w:tcPr>
            <w:tcW w:w="681" w:type="pct"/>
            <w:noWrap/>
            <w:hideMark/>
          </w:tcPr>
          <w:p w14:paraId="50FA3DD6" w14:textId="77777777" w:rsidR="000F7D8B" w:rsidRPr="006F188E" w:rsidRDefault="000F7D8B" w:rsidP="00C25E19">
            <w:pPr>
              <w:pStyle w:val="TableBody"/>
              <w:keepNext/>
              <w:rPr>
                <w:lang w:val="en-AU" w:eastAsia="zh-CN"/>
              </w:rPr>
            </w:pPr>
            <w:r w:rsidRPr="006F188E">
              <w:t>-2.54</w:t>
            </w:r>
          </w:p>
        </w:tc>
      </w:tr>
      <w:tr w:rsidR="00166E2E" w:rsidRPr="0059067E" w14:paraId="705113B1" w14:textId="77777777" w:rsidTr="00D25D1A">
        <w:trPr>
          <w:cnfStyle w:val="000000010000" w:firstRow="0" w:lastRow="0" w:firstColumn="0" w:lastColumn="0" w:oddVBand="0" w:evenVBand="0" w:oddHBand="0" w:evenHBand="1" w:firstRowFirstColumn="0" w:firstRowLastColumn="0" w:lastRowFirstColumn="0" w:lastRowLastColumn="0"/>
          <w:cantSplit/>
          <w:trHeight w:val="255"/>
        </w:trPr>
        <w:tc>
          <w:tcPr>
            <w:tcW w:w="1397" w:type="pct"/>
            <w:noWrap/>
            <w:hideMark/>
          </w:tcPr>
          <w:p w14:paraId="7CC51F31" w14:textId="77777777" w:rsidR="000F7D8B" w:rsidRPr="0059067E" w:rsidRDefault="000F7D8B">
            <w:pPr>
              <w:pStyle w:val="TableBody"/>
              <w:rPr>
                <w:lang w:val="en-AU" w:eastAsia="zh-CN"/>
              </w:rPr>
            </w:pPr>
            <w:r>
              <w:rPr>
                <w:lang w:eastAsia="zh-CN"/>
              </w:rPr>
              <w:t>Corporate costs</w:t>
            </w:r>
          </w:p>
        </w:tc>
        <w:tc>
          <w:tcPr>
            <w:tcW w:w="882" w:type="pct"/>
          </w:tcPr>
          <w:p w14:paraId="314AA1E6" w14:textId="77777777" w:rsidR="000F7D8B" w:rsidRPr="006F188E" w:rsidRDefault="000F7D8B">
            <w:pPr>
              <w:pStyle w:val="TableBody"/>
              <w:rPr>
                <w:lang w:val="en-AU" w:eastAsia="zh-CN"/>
              </w:rPr>
            </w:pPr>
            <w:r w:rsidRPr="006F188E">
              <w:rPr>
                <w:lang w:val="en-AU" w:eastAsia="zh-CN"/>
              </w:rPr>
              <w:t>-0.76</w:t>
            </w:r>
          </w:p>
        </w:tc>
        <w:tc>
          <w:tcPr>
            <w:tcW w:w="680" w:type="pct"/>
            <w:noWrap/>
            <w:hideMark/>
          </w:tcPr>
          <w:p w14:paraId="1731BB37" w14:textId="77777777" w:rsidR="000F7D8B" w:rsidRPr="006F188E" w:rsidRDefault="000F7D8B">
            <w:pPr>
              <w:pStyle w:val="TableBody"/>
              <w:rPr>
                <w:lang w:val="en-AU" w:eastAsia="zh-CN"/>
              </w:rPr>
            </w:pPr>
            <w:r w:rsidRPr="006F188E">
              <w:t>-0.68</w:t>
            </w:r>
          </w:p>
        </w:tc>
        <w:tc>
          <w:tcPr>
            <w:tcW w:w="680" w:type="pct"/>
            <w:noWrap/>
            <w:hideMark/>
          </w:tcPr>
          <w:p w14:paraId="69E7EB78" w14:textId="77777777" w:rsidR="000F7D8B" w:rsidRPr="006F188E" w:rsidRDefault="000F7D8B">
            <w:pPr>
              <w:pStyle w:val="TableBody"/>
              <w:rPr>
                <w:lang w:val="en-AU" w:eastAsia="zh-CN"/>
              </w:rPr>
            </w:pPr>
            <w:r w:rsidRPr="006F188E">
              <w:t>-0.63</w:t>
            </w:r>
          </w:p>
        </w:tc>
        <w:tc>
          <w:tcPr>
            <w:tcW w:w="680" w:type="pct"/>
            <w:noWrap/>
            <w:hideMark/>
          </w:tcPr>
          <w:p w14:paraId="0141472B" w14:textId="77777777" w:rsidR="000F7D8B" w:rsidRPr="006F188E" w:rsidRDefault="000F7D8B">
            <w:pPr>
              <w:pStyle w:val="TableBody"/>
              <w:rPr>
                <w:lang w:val="en-AU" w:eastAsia="zh-CN"/>
              </w:rPr>
            </w:pPr>
            <w:r w:rsidRPr="006F188E">
              <w:t>-0.58</w:t>
            </w:r>
          </w:p>
        </w:tc>
        <w:tc>
          <w:tcPr>
            <w:tcW w:w="681" w:type="pct"/>
            <w:noWrap/>
            <w:hideMark/>
          </w:tcPr>
          <w:p w14:paraId="4053F7AA" w14:textId="77777777" w:rsidR="000F7D8B" w:rsidRPr="006F188E" w:rsidRDefault="000F7D8B">
            <w:pPr>
              <w:pStyle w:val="TableBody"/>
              <w:rPr>
                <w:lang w:val="en-AU" w:eastAsia="zh-CN"/>
              </w:rPr>
            </w:pPr>
            <w:r w:rsidRPr="006F188E">
              <w:t>-0.59</w:t>
            </w:r>
          </w:p>
        </w:tc>
      </w:tr>
      <w:tr w:rsidR="00166E2E" w:rsidRPr="0059067E" w14:paraId="302F77A3" w14:textId="77777777" w:rsidTr="00D25D1A">
        <w:trPr>
          <w:cnfStyle w:val="000000100000" w:firstRow="0" w:lastRow="0" w:firstColumn="0" w:lastColumn="0" w:oddVBand="0" w:evenVBand="0" w:oddHBand="1" w:evenHBand="0" w:firstRowFirstColumn="0" w:firstRowLastColumn="0" w:lastRowFirstColumn="0" w:lastRowLastColumn="0"/>
          <w:cantSplit/>
          <w:trHeight w:val="255"/>
        </w:trPr>
        <w:tc>
          <w:tcPr>
            <w:tcW w:w="1397" w:type="pct"/>
            <w:noWrap/>
            <w:hideMark/>
          </w:tcPr>
          <w:p w14:paraId="716D57EC" w14:textId="77777777" w:rsidR="000F7D8B" w:rsidRPr="0059067E" w:rsidRDefault="000F7D8B">
            <w:pPr>
              <w:pStyle w:val="TableBody"/>
              <w:rPr>
                <w:lang w:val="en-AU" w:eastAsia="zh-CN"/>
              </w:rPr>
            </w:pPr>
            <w:r>
              <w:rPr>
                <w:lang w:eastAsia="zh-CN"/>
              </w:rPr>
              <w:t>Customer and community engagement</w:t>
            </w:r>
          </w:p>
        </w:tc>
        <w:tc>
          <w:tcPr>
            <w:tcW w:w="882" w:type="pct"/>
          </w:tcPr>
          <w:p w14:paraId="0AD2E4DC" w14:textId="77777777" w:rsidR="000F7D8B" w:rsidRPr="006F188E" w:rsidRDefault="000F7D8B">
            <w:pPr>
              <w:pStyle w:val="TableBody"/>
              <w:rPr>
                <w:lang w:val="en-AU" w:eastAsia="zh-CN"/>
              </w:rPr>
            </w:pPr>
            <w:r w:rsidRPr="006F188E">
              <w:rPr>
                <w:lang w:val="en-AU" w:eastAsia="zh-CN"/>
              </w:rPr>
              <w:t>-1.03</w:t>
            </w:r>
          </w:p>
        </w:tc>
        <w:tc>
          <w:tcPr>
            <w:tcW w:w="680" w:type="pct"/>
            <w:noWrap/>
            <w:hideMark/>
          </w:tcPr>
          <w:p w14:paraId="57A28398" w14:textId="77777777" w:rsidR="000F7D8B" w:rsidRPr="006F188E" w:rsidRDefault="000F7D8B">
            <w:pPr>
              <w:pStyle w:val="TableBody"/>
              <w:rPr>
                <w:lang w:val="en-AU" w:eastAsia="zh-CN"/>
              </w:rPr>
            </w:pPr>
            <w:r w:rsidRPr="006F188E">
              <w:t>-0.92</w:t>
            </w:r>
          </w:p>
        </w:tc>
        <w:tc>
          <w:tcPr>
            <w:tcW w:w="680" w:type="pct"/>
            <w:noWrap/>
            <w:hideMark/>
          </w:tcPr>
          <w:p w14:paraId="109F367D" w14:textId="77777777" w:rsidR="000F7D8B" w:rsidRPr="006F188E" w:rsidRDefault="000F7D8B">
            <w:pPr>
              <w:pStyle w:val="TableBody"/>
              <w:rPr>
                <w:lang w:val="en-AU" w:eastAsia="zh-CN"/>
              </w:rPr>
            </w:pPr>
            <w:r w:rsidRPr="006F188E">
              <w:t>-0.86</w:t>
            </w:r>
          </w:p>
        </w:tc>
        <w:tc>
          <w:tcPr>
            <w:tcW w:w="680" w:type="pct"/>
            <w:noWrap/>
            <w:hideMark/>
          </w:tcPr>
          <w:p w14:paraId="46FA0BD6" w14:textId="77777777" w:rsidR="000F7D8B" w:rsidRPr="006F188E" w:rsidRDefault="000F7D8B">
            <w:pPr>
              <w:pStyle w:val="TableBody"/>
              <w:rPr>
                <w:lang w:val="en-AU" w:eastAsia="zh-CN"/>
              </w:rPr>
            </w:pPr>
            <w:r w:rsidRPr="006F188E">
              <w:t>-0.79</w:t>
            </w:r>
          </w:p>
        </w:tc>
        <w:tc>
          <w:tcPr>
            <w:tcW w:w="681" w:type="pct"/>
            <w:noWrap/>
            <w:hideMark/>
          </w:tcPr>
          <w:p w14:paraId="01A4F3F4" w14:textId="77777777" w:rsidR="000F7D8B" w:rsidRPr="006F188E" w:rsidRDefault="000F7D8B">
            <w:pPr>
              <w:pStyle w:val="TableBody"/>
              <w:rPr>
                <w:lang w:val="en-AU" w:eastAsia="zh-CN"/>
              </w:rPr>
            </w:pPr>
            <w:r w:rsidRPr="006F188E">
              <w:t>-0.79</w:t>
            </w:r>
          </w:p>
        </w:tc>
      </w:tr>
      <w:tr w:rsidR="00166E2E" w:rsidRPr="0059067E" w14:paraId="0428E711" w14:textId="77777777" w:rsidTr="00D25D1A">
        <w:trPr>
          <w:cnfStyle w:val="000000010000" w:firstRow="0" w:lastRow="0" w:firstColumn="0" w:lastColumn="0" w:oddVBand="0" w:evenVBand="0" w:oddHBand="0" w:evenHBand="1" w:firstRowFirstColumn="0" w:firstRowLastColumn="0" w:lastRowFirstColumn="0" w:lastRowLastColumn="0"/>
          <w:cantSplit/>
          <w:trHeight w:val="255"/>
        </w:trPr>
        <w:tc>
          <w:tcPr>
            <w:tcW w:w="1397" w:type="pct"/>
            <w:noWrap/>
          </w:tcPr>
          <w:p w14:paraId="280D7133" w14:textId="77777777" w:rsidR="000F7D8B" w:rsidRPr="0059067E" w:rsidRDefault="000F7D8B">
            <w:pPr>
              <w:pStyle w:val="TableBody"/>
              <w:rPr>
                <w:lang w:val="en-AU" w:eastAsia="zh-CN"/>
              </w:rPr>
            </w:pPr>
            <w:r>
              <w:rPr>
                <w:lang w:val="en-AU" w:eastAsia="zh-CN"/>
              </w:rPr>
              <w:t>Field</w:t>
            </w:r>
            <w:r w:rsidRPr="0059067E">
              <w:rPr>
                <w:lang w:val="en-AU" w:eastAsia="zh-CN"/>
              </w:rPr>
              <w:t xml:space="preserve"> maintenance</w:t>
            </w:r>
          </w:p>
        </w:tc>
        <w:tc>
          <w:tcPr>
            <w:tcW w:w="882" w:type="pct"/>
          </w:tcPr>
          <w:p w14:paraId="26BC6D5C" w14:textId="77777777" w:rsidR="000F7D8B" w:rsidRPr="006F188E" w:rsidRDefault="000F7D8B">
            <w:pPr>
              <w:pStyle w:val="TableBody"/>
              <w:rPr>
                <w:lang w:val="en-AU" w:eastAsia="zh-CN"/>
              </w:rPr>
            </w:pPr>
            <w:r w:rsidRPr="006F188E">
              <w:rPr>
                <w:lang w:val="en-AU" w:eastAsia="zh-CN"/>
              </w:rPr>
              <w:t>-6.96</w:t>
            </w:r>
          </w:p>
        </w:tc>
        <w:tc>
          <w:tcPr>
            <w:tcW w:w="680" w:type="pct"/>
            <w:noWrap/>
          </w:tcPr>
          <w:p w14:paraId="25BC2A9E" w14:textId="77777777" w:rsidR="000F7D8B" w:rsidRPr="006F188E" w:rsidRDefault="000F7D8B">
            <w:pPr>
              <w:pStyle w:val="TableBody"/>
              <w:rPr>
                <w:lang w:val="en-AU" w:eastAsia="zh-CN"/>
              </w:rPr>
            </w:pPr>
            <w:r w:rsidRPr="006F188E">
              <w:t>-6.23</w:t>
            </w:r>
          </w:p>
        </w:tc>
        <w:tc>
          <w:tcPr>
            <w:tcW w:w="680" w:type="pct"/>
            <w:noWrap/>
          </w:tcPr>
          <w:p w14:paraId="3EBBB678" w14:textId="77777777" w:rsidR="000F7D8B" w:rsidRPr="006F188E" w:rsidRDefault="000F7D8B">
            <w:pPr>
              <w:pStyle w:val="TableBody"/>
              <w:rPr>
                <w:lang w:val="en-AU" w:eastAsia="zh-CN"/>
              </w:rPr>
            </w:pPr>
            <w:r w:rsidRPr="006F188E">
              <w:t xml:space="preserve">-5.81 </w:t>
            </w:r>
          </w:p>
        </w:tc>
        <w:tc>
          <w:tcPr>
            <w:tcW w:w="680" w:type="pct"/>
            <w:noWrap/>
          </w:tcPr>
          <w:p w14:paraId="4253EB3A" w14:textId="77777777" w:rsidR="000F7D8B" w:rsidRPr="006F188E" w:rsidRDefault="000F7D8B">
            <w:pPr>
              <w:pStyle w:val="TableBody"/>
              <w:rPr>
                <w:lang w:val="en-AU" w:eastAsia="zh-CN"/>
              </w:rPr>
            </w:pPr>
            <w:r w:rsidRPr="006F188E">
              <w:t>-5.35</w:t>
            </w:r>
          </w:p>
        </w:tc>
        <w:tc>
          <w:tcPr>
            <w:tcW w:w="681" w:type="pct"/>
            <w:noWrap/>
          </w:tcPr>
          <w:p w14:paraId="2873F91F" w14:textId="77777777" w:rsidR="000F7D8B" w:rsidRPr="006F188E" w:rsidRDefault="000F7D8B">
            <w:pPr>
              <w:pStyle w:val="TableBody"/>
              <w:rPr>
                <w:lang w:val="en-AU" w:eastAsia="zh-CN"/>
              </w:rPr>
            </w:pPr>
            <w:r w:rsidRPr="006F188E">
              <w:t>-5.36</w:t>
            </w:r>
          </w:p>
        </w:tc>
      </w:tr>
      <w:tr w:rsidR="00166E2E" w:rsidRPr="0059067E" w14:paraId="06F8B0EC" w14:textId="77777777" w:rsidTr="00D25D1A">
        <w:trPr>
          <w:cnfStyle w:val="000000100000" w:firstRow="0" w:lastRow="0" w:firstColumn="0" w:lastColumn="0" w:oddVBand="0" w:evenVBand="0" w:oddHBand="1" w:evenHBand="0" w:firstRowFirstColumn="0" w:firstRowLastColumn="0" w:lastRowFirstColumn="0" w:lastRowLastColumn="0"/>
          <w:cantSplit/>
          <w:trHeight w:val="255"/>
        </w:trPr>
        <w:tc>
          <w:tcPr>
            <w:tcW w:w="1397" w:type="pct"/>
            <w:noWrap/>
          </w:tcPr>
          <w:p w14:paraId="3035319F" w14:textId="77777777" w:rsidR="000F7D8B" w:rsidRPr="0059067E" w:rsidRDefault="000F7D8B">
            <w:pPr>
              <w:pStyle w:val="TableBody"/>
              <w:rPr>
                <w:lang w:val="en-AU" w:eastAsia="zh-CN"/>
              </w:rPr>
            </w:pPr>
            <w:r w:rsidRPr="0059067E">
              <w:rPr>
                <w:lang w:val="en-AU" w:eastAsia="zh-CN"/>
              </w:rPr>
              <w:t>Labour costs</w:t>
            </w:r>
          </w:p>
        </w:tc>
        <w:tc>
          <w:tcPr>
            <w:tcW w:w="882" w:type="pct"/>
          </w:tcPr>
          <w:p w14:paraId="03BD6E51" w14:textId="77777777" w:rsidR="000F7D8B" w:rsidRPr="006F188E" w:rsidRDefault="000F7D8B">
            <w:pPr>
              <w:pStyle w:val="TableBody"/>
              <w:rPr>
                <w:lang w:val="en-AU" w:eastAsia="zh-CN"/>
              </w:rPr>
            </w:pPr>
            <w:r w:rsidRPr="006F188E">
              <w:rPr>
                <w:lang w:val="en-AU" w:eastAsia="zh-CN"/>
              </w:rPr>
              <w:t>-0.91</w:t>
            </w:r>
          </w:p>
        </w:tc>
        <w:tc>
          <w:tcPr>
            <w:tcW w:w="680" w:type="pct"/>
            <w:noWrap/>
          </w:tcPr>
          <w:p w14:paraId="153DCCD4" w14:textId="77777777" w:rsidR="000F7D8B" w:rsidRPr="006F188E" w:rsidRDefault="000F7D8B">
            <w:pPr>
              <w:pStyle w:val="TableBody"/>
              <w:rPr>
                <w:lang w:val="en-AU" w:eastAsia="zh-CN"/>
              </w:rPr>
            </w:pPr>
            <w:r w:rsidRPr="006F188E">
              <w:t>-0.81</w:t>
            </w:r>
          </w:p>
        </w:tc>
        <w:tc>
          <w:tcPr>
            <w:tcW w:w="680" w:type="pct"/>
            <w:noWrap/>
          </w:tcPr>
          <w:p w14:paraId="7EE7ABB7" w14:textId="77777777" w:rsidR="000F7D8B" w:rsidRPr="006F188E" w:rsidRDefault="000F7D8B">
            <w:pPr>
              <w:pStyle w:val="TableBody"/>
              <w:rPr>
                <w:lang w:val="en-AU" w:eastAsia="zh-CN"/>
              </w:rPr>
            </w:pPr>
            <w:r w:rsidRPr="006F188E">
              <w:t>-0.76</w:t>
            </w:r>
          </w:p>
        </w:tc>
        <w:tc>
          <w:tcPr>
            <w:tcW w:w="680" w:type="pct"/>
            <w:noWrap/>
          </w:tcPr>
          <w:p w14:paraId="18B38F5B" w14:textId="77777777" w:rsidR="000F7D8B" w:rsidRPr="006F188E" w:rsidRDefault="000F7D8B">
            <w:pPr>
              <w:pStyle w:val="TableBody"/>
              <w:rPr>
                <w:lang w:val="en-AU" w:eastAsia="zh-CN"/>
              </w:rPr>
            </w:pPr>
            <w:r w:rsidRPr="006F188E">
              <w:t>-0.70</w:t>
            </w:r>
          </w:p>
        </w:tc>
        <w:tc>
          <w:tcPr>
            <w:tcW w:w="681" w:type="pct"/>
            <w:noWrap/>
          </w:tcPr>
          <w:p w14:paraId="3B8F63E9" w14:textId="77777777" w:rsidR="000F7D8B" w:rsidRPr="006F188E" w:rsidRDefault="000F7D8B">
            <w:pPr>
              <w:pStyle w:val="TableBody"/>
              <w:rPr>
                <w:lang w:val="en-AU" w:eastAsia="zh-CN"/>
              </w:rPr>
            </w:pPr>
            <w:r w:rsidRPr="006F188E">
              <w:t>-0.70</w:t>
            </w:r>
          </w:p>
        </w:tc>
      </w:tr>
      <w:tr w:rsidR="00166E2E" w:rsidRPr="0059067E" w14:paraId="2F0190DB" w14:textId="77777777" w:rsidTr="00D25D1A">
        <w:trPr>
          <w:cnfStyle w:val="000000010000" w:firstRow="0" w:lastRow="0" w:firstColumn="0" w:lastColumn="0" w:oddVBand="0" w:evenVBand="0" w:oddHBand="0" w:evenHBand="1" w:firstRowFirstColumn="0" w:firstRowLastColumn="0" w:lastRowFirstColumn="0" w:lastRowLastColumn="0"/>
          <w:cantSplit/>
          <w:trHeight w:val="255"/>
        </w:trPr>
        <w:tc>
          <w:tcPr>
            <w:tcW w:w="1397" w:type="pct"/>
            <w:noWrap/>
          </w:tcPr>
          <w:p w14:paraId="0DA807F5" w14:textId="2DAC3F09" w:rsidR="000F7D8B" w:rsidRPr="0059067E" w:rsidRDefault="000F7D8B">
            <w:pPr>
              <w:pStyle w:val="TableBody"/>
              <w:rPr>
                <w:lang w:val="en-AU" w:eastAsia="zh-CN"/>
              </w:rPr>
            </w:pPr>
            <w:r>
              <w:rPr>
                <w:lang w:val="en-AU" w:eastAsia="zh-CN"/>
              </w:rPr>
              <w:t xml:space="preserve">Unexplained </w:t>
            </w:r>
            <w:r w:rsidR="00F0658A">
              <w:rPr>
                <w:lang w:val="en-AU" w:eastAsia="zh-CN"/>
              </w:rPr>
              <w:t xml:space="preserve">baseline </w:t>
            </w:r>
            <w:r>
              <w:rPr>
                <w:lang w:val="en-AU" w:eastAsia="zh-CN"/>
              </w:rPr>
              <w:t>increases</w:t>
            </w:r>
          </w:p>
        </w:tc>
        <w:tc>
          <w:tcPr>
            <w:tcW w:w="882" w:type="pct"/>
          </w:tcPr>
          <w:p w14:paraId="0245FAA7" w14:textId="77777777" w:rsidR="000F7D8B" w:rsidRPr="006F188E" w:rsidRDefault="000F7D8B">
            <w:pPr>
              <w:pStyle w:val="TableBody"/>
              <w:rPr>
                <w:lang w:val="en-AU" w:eastAsia="zh-CN"/>
              </w:rPr>
            </w:pPr>
            <w:r w:rsidRPr="006F188E">
              <w:rPr>
                <w:lang w:val="en-AU" w:eastAsia="zh-CN"/>
              </w:rPr>
              <w:t>-2.55</w:t>
            </w:r>
          </w:p>
        </w:tc>
        <w:tc>
          <w:tcPr>
            <w:tcW w:w="680" w:type="pct"/>
            <w:noWrap/>
          </w:tcPr>
          <w:p w14:paraId="51AD986E" w14:textId="77777777" w:rsidR="000F7D8B" w:rsidRPr="006F188E" w:rsidRDefault="000F7D8B">
            <w:pPr>
              <w:pStyle w:val="TableBody"/>
              <w:rPr>
                <w:lang w:val="en-AU" w:eastAsia="zh-CN"/>
              </w:rPr>
            </w:pPr>
            <w:r w:rsidRPr="006F188E">
              <w:t>-2.28</w:t>
            </w:r>
          </w:p>
        </w:tc>
        <w:tc>
          <w:tcPr>
            <w:tcW w:w="680" w:type="pct"/>
            <w:noWrap/>
          </w:tcPr>
          <w:p w14:paraId="0BBDA3E9" w14:textId="77777777" w:rsidR="000F7D8B" w:rsidRPr="006F188E" w:rsidRDefault="000F7D8B">
            <w:pPr>
              <w:pStyle w:val="TableBody"/>
              <w:rPr>
                <w:lang w:val="en-AU" w:eastAsia="zh-CN"/>
              </w:rPr>
            </w:pPr>
            <w:r w:rsidRPr="006F188E">
              <w:t>-2.13</w:t>
            </w:r>
          </w:p>
        </w:tc>
        <w:tc>
          <w:tcPr>
            <w:tcW w:w="680" w:type="pct"/>
            <w:noWrap/>
          </w:tcPr>
          <w:p w14:paraId="0545D400" w14:textId="77777777" w:rsidR="000F7D8B" w:rsidRPr="006F188E" w:rsidRDefault="000F7D8B">
            <w:pPr>
              <w:pStyle w:val="TableBody"/>
              <w:rPr>
                <w:lang w:val="en-AU" w:eastAsia="zh-CN"/>
              </w:rPr>
            </w:pPr>
            <w:r w:rsidRPr="006F188E">
              <w:t>-1.96</w:t>
            </w:r>
          </w:p>
        </w:tc>
        <w:tc>
          <w:tcPr>
            <w:tcW w:w="681" w:type="pct"/>
            <w:noWrap/>
          </w:tcPr>
          <w:p w14:paraId="62E2B9DF" w14:textId="77777777" w:rsidR="000F7D8B" w:rsidRPr="006F188E" w:rsidRDefault="000F7D8B">
            <w:pPr>
              <w:pStyle w:val="TableBody"/>
              <w:rPr>
                <w:lang w:val="en-AU" w:eastAsia="zh-CN"/>
              </w:rPr>
            </w:pPr>
            <w:r w:rsidRPr="006F188E">
              <w:t>-1.96</w:t>
            </w:r>
          </w:p>
        </w:tc>
      </w:tr>
      <w:tr w:rsidR="00166E2E" w:rsidRPr="00FA74BF" w14:paraId="0475D1AF" w14:textId="77777777" w:rsidTr="00D25D1A">
        <w:trPr>
          <w:cnfStyle w:val="000000100000" w:firstRow="0" w:lastRow="0" w:firstColumn="0" w:lastColumn="0" w:oddVBand="0" w:evenVBand="0" w:oddHBand="1" w:evenHBand="0" w:firstRowFirstColumn="0" w:firstRowLastColumn="0" w:lastRowFirstColumn="0" w:lastRowLastColumn="0"/>
          <w:cantSplit/>
          <w:trHeight w:val="255"/>
        </w:trPr>
        <w:tc>
          <w:tcPr>
            <w:tcW w:w="1397" w:type="pct"/>
            <w:noWrap/>
          </w:tcPr>
          <w:p w14:paraId="6A1EEA29" w14:textId="77777777" w:rsidR="000F7D8B" w:rsidRPr="00FA74BF" w:rsidRDefault="000F7D8B">
            <w:pPr>
              <w:pStyle w:val="TableBold"/>
              <w:rPr>
                <w:lang w:val="en-AU" w:eastAsia="zh-CN"/>
              </w:rPr>
            </w:pPr>
            <w:r>
              <w:rPr>
                <w:lang w:eastAsia="zh-CN"/>
              </w:rPr>
              <w:t>Total recommended baseline adjustments</w:t>
            </w:r>
          </w:p>
        </w:tc>
        <w:tc>
          <w:tcPr>
            <w:tcW w:w="882" w:type="pct"/>
          </w:tcPr>
          <w:p w14:paraId="3F0A2779" w14:textId="77777777" w:rsidR="000F7D8B" w:rsidRPr="006F188E" w:rsidRDefault="000F7D8B">
            <w:pPr>
              <w:pStyle w:val="TableBold"/>
              <w:rPr>
                <w:lang w:eastAsia="zh-CN"/>
              </w:rPr>
            </w:pPr>
            <w:r w:rsidRPr="006F188E">
              <w:rPr>
                <w:lang w:eastAsia="zh-CN"/>
              </w:rPr>
              <w:t>-16.86</w:t>
            </w:r>
          </w:p>
        </w:tc>
        <w:tc>
          <w:tcPr>
            <w:tcW w:w="680" w:type="pct"/>
            <w:noWrap/>
          </w:tcPr>
          <w:p w14:paraId="03991B1C" w14:textId="77777777" w:rsidR="000F7D8B" w:rsidRPr="006F188E" w:rsidRDefault="000F7D8B">
            <w:pPr>
              <w:pStyle w:val="TableBold"/>
              <w:rPr>
                <w:lang w:eastAsia="zh-CN"/>
              </w:rPr>
            </w:pPr>
            <w:r w:rsidRPr="006F188E">
              <w:rPr>
                <w:lang w:eastAsia="zh-CN"/>
              </w:rPr>
              <w:t>-15.09</w:t>
            </w:r>
          </w:p>
        </w:tc>
        <w:tc>
          <w:tcPr>
            <w:tcW w:w="680" w:type="pct"/>
            <w:noWrap/>
          </w:tcPr>
          <w:p w14:paraId="23B1C5F5" w14:textId="77777777" w:rsidR="000F7D8B" w:rsidRPr="006F188E" w:rsidRDefault="000F7D8B">
            <w:pPr>
              <w:pStyle w:val="TableBold"/>
              <w:rPr>
                <w:lang w:eastAsia="zh-CN"/>
              </w:rPr>
            </w:pPr>
            <w:r w:rsidRPr="006F188E">
              <w:rPr>
                <w:lang w:eastAsia="zh-CN"/>
              </w:rPr>
              <w:t>-14.07</w:t>
            </w:r>
          </w:p>
        </w:tc>
        <w:tc>
          <w:tcPr>
            <w:tcW w:w="680" w:type="pct"/>
            <w:noWrap/>
          </w:tcPr>
          <w:p w14:paraId="76041819" w14:textId="77777777" w:rsidR="000F7D8B" w:rsidRPr="006F188E" w:rsidRDefault="000F7D8B">
            <w:pPr>
              <w:pStyle w:val="TableBold"/>
              <w:rPr>
                <w:lang w:eastAsia="zh-CN"/>
              </w:rPr>
            </w:pPr>
            <w:r w:rsidRPr="006F188E">
              <w:rPr>
                <w:lang w:eastAsia="zh-CN"/>
              </w:rPr>
              <w:t>-12.95</w:t>
            </w:r>
          </w:p>
        </w:tc>
        <w:tc>
          <w:tcPr>
            <w:tcW w:w="681" w:type="pct"/>
            <w:noWrap/>
          </w:tcPr>
          <w:p w14:paraId="161D7DF5" w14:textId="77777777" w:rsidR="000F7D8B" w:rsidRPr="006F188E" w:rsidRDefault="000F7D8B">
            <w:pPr>
              <w:pStyle w:val="TableBold"/>
              <w:rPr>
                <w:lang w:eastAsia="zh-CN"/>
              </w:rPr>
            </w:pPr>
            <w:r w:rsidRPr="006F188E">
              <w:rPr>
                <w:lang w:eastAsia="zh-CN"/>
              </w:rPr>
              <w:t>-12.98</w:t>
            </w:r>
          </w:p>
        </w:tc>
      </w:tr>
    </w:tbl>
    <w:p w14:paraId="77A8BA77" w14:textId="36218A1A" w:rsidR="00366360" w:rsidRDefault="00366360" w:rsidP="00366360">
      <w:pPr>
        <w:pStyle w:val="Caption"/>
      </w:pPr>
      <w:r w:rsidRPr="006F188E">
        <w:rPr>
          <w:b/>
        </w:rPr>
        <w:t>Note:</w:t>
      </w:r>
      <w:r w:rsidRPr="006F188E">
        <w:t xml:space="preserve"> The difference in value across each year of the regulatory period arises when the compounding annual growth and efficiency rates are applied to the baseline year adjustment for each line item. This calculation uses the adjusted efficiency rate we recommend in Section 4.1.2.2 below.</w:t>
      </w:r>
      <w:r>
        <w:t xml:space="preserve"> </w:t>
      </w:r>
    </w:p>
    <w:p w14:paraId="5D9A6399" w14:textId="36218A1A" w:rsidR="00433A71" w:rsidRPr="006F188E" w:rsidRDefault="00433A71" w:rsidP="00433A71">
      <w:r w:rsidRPr="006F188E">
        <w:t xml:space="preserve">Regarding the remaining $8.6 million of new baseline expenditure proposed by Greater Western Water, our expenditure consultant was able to verify that these additional costs were recurring, and it found Greater Western Water’s substantiation of these costs to be reasonable. Accordingly, it recommended accepting these costs as recurring baseline operating expenditure. </w:t>
      </w:r>
    </w:p>
    <w:p w14:paraId="06EBBDCA" w14:textId="704246D5" w:rsidR="00433A71" w:rsidRPr="006E749F" w:rsidRDefault="006E749F" w:rsidP="00433A71">
      <w:r w:rsidRPr="006F188E">
        <w:t>In</w:t>
      </w:r>
      <w:r w:rsidR="00433A71" w:rsidRPr="006F188E">
        <w:t xml:space="preserve"> its price submission and </w:t>
      </w:r>
      <w:r w:rsidRPr="006F188E">
        <w:t xml:space="preserve">subsequent </w:t>
      </w:r>
      <w:r w:rsidR="00433A71" w:rsidRPr="006F188E">
        <w:t>information provided to our consultant, Greater Western Water identified areas in which it had achieved some cost efficiencies (for example, in energy costs and IT costs). However, these cost savings have been offset by larger cost increases in other business areas (for example, in field maintenance or labour costs).</w:t>
      </w:r>
    </w:p>
    <w:p w14:paraId="1CDC980C" w14:textId="78113B4B" w:rsidR="00433A71" w:rsidRPr="00BD67CF" w:rsidRDefault="00433A71" w:rsidP="00433A71">
      <w:r w:rsidRPr="006F188E">
        <w:t xml:space="preserve">We reviewed Greater Western Water’s proposal and the advice from our expenditure consultant. We agree with our consultant’s advice to remove expenditure from the forecast where it cannot be verified as prudent and efficient, as required by our guidance. We therefore </w:t>
      </w:r>
      <w:r w:rsidR="00961B12" w:rsidRPr="006F188E">
        <w:t>propose</w:t>
      </w:r>
      <w:r w:rsidRPr="006F188E">
        <w:t xml:space="preserve"> to remove $16.86 million from the proposed baseline allowance, </w:t>
      </w:r>
      <w:r w:rsidR="00961B12" w:rsidRPr="006F188E">
        <w:t>for the reasons set out above</w:t>
      </w:r>
      <w:r w:rsidRPr="006F188E">
        <w:t>.</w:t>
      </w:r>
    </w:p>
    <w:p w14:paraId="55C1B789" w14:textId="2754F25A" w:rsidR="00433A71" w:rsidRPr="00AD7992" w:rsidRDefault="00195129" w:rsidP="00433A71">
      <w:r w:rsidRPr="006F188E">
        <w:t>Based on the above, o</w:t>
      </w:r>
      <w:r w:rsidR="00433A71" w:rsidRPr="006F188E">
        <w:t xml:space="preserve">ur draft decision adopts a baseline allowance of $192.8 million, which reflects the baseline expenditure that </w:t>
      </w:r>
      <w:r w:rsidR="00E44997" w:rsidRPr="006F188E">
        <w:t xml:space="preserve">we </w:t>
      </w:r>
      <w:r w:rsidR="00433A71" w:rsidRPr="006F188E">
        <w:t>could verif</w:t>
      </w:r>
      <w:r w:rsidR="00E44997" w:rsidRPr="006F188E">
        <w:t>y</w:t>
      </w:r>
      <w:r w:rsidR="00433A71" w:rsidRPr="006F188E">
        <w:t xml:space="preserve"> as prudent, </w:t>
      </w:r>
      <w:proofErr w:type="gramStart"/>
      <w:r w:rsidR="00433A71" w:rsidRPr="006F188E">
        <w:t>efficient</w:t>
      </w:r>
      <w:proofErr w:type="gramEnd"/>
      <w:r w:rsidR="00433A71" w:rsidRPr="006F188E">
        <w:t xml:space="preserve"> and recurring, to forecast annual controllable operating expenditure</w:t>
      </w:r>
      <w:r w:rsidR="007E0DA9" w:rsidRPr="006F188E">
        <w:t xml:space="preserve"> for the purpose of our draft decision.</w:t>
      </w:r>
    </w:p>
    <w:p w14:paraId="0BE20CE1" w14:textId="61B7451D" w:rsidR="00294F31" w:rsidRPr="00BE6DEA" w:rsidRDefault="00294F31" w:rsidP="009164AE">
      <w:pPr>
        <w:pStyle w:val="Heading4"/>
        <w:rPr>
          <w:b w:val="0"/>
        </w:rPr>
      </w:pPr>
      <w:proofErr w:type="gramStart"/>
      <w:r w:rsidRPr="00BE6DEA">
        <w:lastRenderedPageBreak/>
        <w:t>4.1.</w:t>
      </w:r>
      <w:r w:rsidR="00433A71">
        <w:t>2</w:t>
      </w:r>
      <w:r w:rsidRPr="00BE6DEA">
        <w:t>.2</w:t>
      </w:r>
      <w:r w:rsidR="009D22A7">
        <w:t xml:space="preserve">  </w:t>
      </w:r>
      <w:r w:rsidRPr="00BE6DEA">
        <w:t>Efficiency</w:t>
      </w:r>
      <w:proofErr w:type="gramEnd"/>
      <w:r w:rsidRPr="00BE6DEA">
        <w:t xml:space="preserve"> improvement and growth rate</w:t>
      </w:r>
    </w:p>
    <w:p w14:paraId="3AFA73E4" w14:textId="36218A1A" w:rsidR="0095392F" w:rsidRPr="006F188E" w:rsidRDefault="0095392F" w:rsidP="0095392F">
      <w:r w:rsidRPr="006F188E">
        <w:t>Greater Western Water proposed an average efficiency improvement rate on its controllable operating costs of 3.0 per cent per annum. This is a higher rate than the 2.0 per cent per annum proposed by both City West Water and Western Water in their 2018 and 2020 price submissions, respectively.</w:t>
      </w:r>
    </w:p>
    <w:p w14:paraId="353CC36D" w14:textId="7007C44C" w:rsidR="0095392F" w:rsidRPr="006F188E" w:rsidRDefault="0095392F" w:rsidP="0095392F">
      <w:r w:rsidRPr="006F188E">
        <w:t xml:space="preserve">However, Greater Western Water states this efficiency </w:t>
      </w:r>
      <w:r w:rsidRPr="002A18FA">
        <w:t xml:space="preserve">figure </w:t>
      </w:r>
      <w:r w:rsidR="009C6DEB" w:rsidRPr="002A18FA">
        <w:t xml:space="preserve">also includes </w:t>
      </w:r>
      <w:r w:rsidRPr="002A18FA">
        <w:t>efficiencies</w:t>
      </w:r>
      <w:r w:rsidRPr="006F188E">
        <w:t xml:space="preserve"> it is expecting to realise from its integration and transformation programs (accounting for 1.6 per cent of the average 3.0 per cent) along with unidentified efficiencies it expects to deliver through economies of scale and scope (1.4 per cent of the average 3.0 per cent).</w:t>
      </w:r>
      <w:r w:rsidRPr="006F188E">
        <w:rPr>
          <w:rStyle w:val="FootnoteReference"/>
        </w:rPr>
        <w:footnoteReference w:id="51"/>
      </w:r>
      <w:r w:rsidRPr="006F188E">
        <w:t xml:space="preserve"> In effect, Greater Western Water has included all of its forecast cost reductions within its proposed efficiency improvement rate.</w:t>
      </w:r>
    </w:p>
    <w:p w14:paraId="6E413529" w14:textId="1D1D2326" w:rsidR="0095392F" w:rsidRPr="00EF3313" w:rsidRDefault="0095392F" w:rsidP="0095392F">
      <w:r w:rsidRPr="00EF3313">
        <w:t>Our expenditure consultant assessed the efficiency rate and the underlying forecast cost savings proposed by Greater Western Water.</w:t>
      </w:r>
      <w:r w:rsidRPr="00EF3313">
        <w:rPr>
          <w:rStyle w:val="FootnoteReference"/>
        </w:rPr>
        <w:footnoteReference w:id="52"/>
      </w:r>
      <w:r w:rsidRPr="00EF3313">
        <w:t xml:space="preserve"> Our consultant recommended that the identified cost savings arising from the ‘Platypus’ billing </w:t>
      </w:r>
      <w:r w:rsidRPr="00A415BF">
        <w:t xml:space="preserve">and collection system capital project should be removed from the proposed efficiency rate and reallocated as a downward cost variation (see </w:t>
      </w:r>
      <w:r w:rsidR="00F435A3" w:rsidRPr="00A415BF">
        <w:t>S</w:t>
      </w:r>
      <w:r w:rsidRPr="00A415BF">
        <w:t>ection</w:t>
      </w:r>
      <w:r w:rsidR="00F435A3" w:rsidRPr="00A415BF">
        <w:t> </w:t>
      </w:r>
      <w:r w:rsidRPr="00A415BF">
        <w:t xml:space="preserve">4.1.2.3 below). We agree with our consultant’s recommendation, </w:t>
      </w:r>
      <w:r w:rsidR="00834B5E" w:rsidRPr="00A415BF">
        <w:t>because w</w:t>
      </w:r>
      <w:r w:rsidR="005E0861" w:rsidRPr="00A415BF">
        <w:t>e consider that identified operating expenditure savings derived from significant capital investment would be more appropriately categorised as forecast cost variations, rather than an ‘efficiency gain’, in the same way that new operating costs from new assets are presented as step changes above the baseline.</w:t>
      </w:r>
      <w:r w:rsidR="004E482D" w:rsidRPr="00A415BF">
        <w:t xml:space="preserve"> T</w:t>
      </w:r>
      <w:r w:rsidRPr="00A415BF">
        <w:t>his has no net change to the forecast operating expenditure.</w:t>
      </w:r>
      <w:r w:rsidRPr="00EF3313">
        <w:t xml:space="preserve"> </w:t>
      </w:r>
    </w:p>
    <w:p w14:paraId="56A157B6" w14:textId="7DE65A66" w:rsidR="0095392F" w:rsidRPr="00EF3313" w:rsidRDefault="0095392F" w:rsidP="0095392F">
      <w:r w:rsidRPr="00EF3313">
        <w:t xml:space="preserve">Greater Western Water has also proposed an average annual operating expenditure growth rate of 2.8 per cent per annum based on its forecast water connection growth rate in the next regulatory period. Its average net growth rate (growth rate minus efficiency rate) is -0.2 per cent per annum, however this increases to a net positive figure of 0.3 per cent after removing the Platypus project benefits as described above. In comparison, the other metropolitan Melbourne water retailers put forward average annual net growth rates of </w:t>
      </w:r>
      <w:r w:rsidRPr="00EF3313">
        <w:noBreakHyphen/>
        <w:t xml:space="preserve">0.3 per cent (Yarra Valley Water) and </w:t>
      </w:r>
      <w:r w:rsidRPr="00EF3313">
        <w:noBreakHyphen/>
        <w:t>0.9 per cent (</w:t>
      </w:r>
      <w:proofErr w:type="gramStart"/>
      <w:r w:rsidRPr="00EF3313">
        <w:t>South East</w:t>
      </w:r>
      <w:proofErr w:type="gramEnd"/>
      <w:r w:rsidRPr="00EF3313">
        <w:t xml:space="preserve"> Water) in their 2023 price submissions.</w:t>
      </w:r>
    </w:p>
    <w:p w14:paraId="06AEB7AA" w14:textId="562C695E" w:rsidR="0095392F" w:rsidRPr="00EF3313" w:rsidRDefault="00A434A9" w:rsidP="0095392F">
      <w:r w:rsidRPr="00C62A97">
        <w:t>O</w:t>
      </w:r>
      <w:r w:rsidR="0095392F" w:rsidRPr="00C62A97">
        <w:t xml:space="preserve">ur consultant </w:t>
      </w:r>
      <w:r w:rsidR="00151450" w:rsidRPr="00C62A97">
        <w:t xml:space="preserve">stated in its report that </w:t>
      </w:r>
      <w:r w:rsidR="00A76AF4" w:rsidRPr="00C62A97">
        <w:t xml:space="preserve">Greater Western Water’s </w:t>
      </w:r>
      <w:r w:rsidR="0095392F" w:rsidRPr="00C62A97">
        <w:t xml:space="preserve">net efficiency </w:t>
      </w:r>
      <w:r w:rsidR="00151450" w:rsidRPr="00C62A97">
        <w:t xml:space="preserve">factor </w:t>
      </w:r>
      <w:r w:rsidR="0095392F" w:rsidRPr="00C62A97">
        <w:t xml:space="preserve">of 0.2 per cent </w:t>
      </w:r>
      <w:r w:rsidR="00DA5E86" w:rsidRPr="00C62A97">
        <w:t>would place it in the middle of the table compared with other b</w:t>
      </w:r>
      <w:r w:rsidR="006811D0" w:rsidRPr="00C62A97">
        <w:t xml:space="preserve">usinesses </w:t>
      </w:r>
      <w:r w:rsidR="00D17A86" w:rsidRPr="00C62A97">
        <w:t xml:space="preserve">assessed at our 2023 price </w:t>
      </w:r>
      <w:r w:rsidR="00D17A86" w:rsidRPr="007970C4">
        <w:t xml:space="preserve">review. However, </w:t>
      </w:r>
      <w:r w:rsidR="00921FDC" w:rsidRPr="007970C4">
        <w:t xml:space="preserve">if the efficiencies attributable to its transformation and integration programs </w:t>
      </w:r>
      <w:r w:rsidR="00921FDC" w:rsidRPr="007970C4">
        <w:lastRenderedPageBreak/>
        <w:t>were excluded to provide a more direct comparison with other businesses</w:t>
      </w:r>
      <w:r w:rsidR="00D17A86" w:rsidRPr="007970C4">
        <w:t xml:space="preserve">, </w:t>
      </w:r>
      <w:r w:rsidR="00093A70" w:rsidRPr="007970C4">
        <w:t xml:space="preserve">Greater Western Water would </w:t>
      </w:r>
      <w:r w:rsidR="009E78DD" w:rsidRPr="007970C4">
        <w:t>have the lowest net efficiency</w:t>
      </w:r>
      <w:r w:rsidR="00BF2F7A" w:rsidRPr="007970C4">
        <w:t xml:space="preserve"> </w:t>
      </w:r>
      <w:r w:rsidR="003274AB" w:rsidRPr="007970C4">
        <w:t>factor</w:t>
      </w:r>
      <w:r w:rsidR="009E78DD" w:rsidRPr="007970C4">
        <w:t xml:space="preserve"> </w:t>
      </w:r>
      <w:r w:rsidR="00BE50AA" w:rsidRPr="007970C4">
        <w:t xml:space="preserve">of all </w:t>
      </w:r>
      <w:r w:rsidR="007E5A8A" w:rsidRPr="007970C4">
        <w:t>Victorian businesses</w:t>
      </w:r>
      <w:r w:rsidR="00713582" w:rsidRPr="007970C4">
        <w:t>.</w:t>
      </w:r>
      <w:r w:rsidR="0095392F" w:rsidRPr="007970C4">
        <w:rPr>
          <w:rStyle w:val="FootnoteReference"/>
        </w:rPr>
        <w:footnoteReference w:id="53"/>
      </w:r>
    </w:p>
    <w:p w14:paraId="77C8A05D" w14:textId="2C89D040" w:rsidR="0095392F" w:rsidRDefault="0095392F" w:rsidP="0095392F">
      <w:r w:rsidRPr="00D75E01">
        <w:t xml:space="preserve">We </w:t>
      </w:r>
      <w:r w:rsidR="005726C5" w:rsidRPr="00D75E01">
        <w:t>have considered Greater Western Water’s propos</w:t>
      </w:r>
      <w:r w:rsidR="00046331" w:rsidRPr="00D75E01">
        <w:t>al</w:t>
      </w:r>
      <w:r w:rsidR="005726C5" w:rsidRPr="00D75E01">
        <w:t xml:space="preserve"> and our consultant’s report</w:t>
      </w:r>
      <w:r w:rsidRPr="00D75E01">
        <w:t xml:space="preserve">. </w:t>
      </w:r>
      <w:r w:rsidR="00C57086" w:rsidRPr="00D75E01">
        <w:t xml:space="preserve">As described above, our preliminary view is </w:t>
      </w:r>
      <w:r w:rsidRPr="00D75E01">
        <w:t xml:space="preserve">that </w:t>
      </w:r>
      <w:r w:rsidR="00C57086" w:rsidRPr="00D75E01">
        <w:t>only 1.4</w:t>
      </w:r>
      <w:r w:rsidR="007F46DC" w:rsidRPr="00D75E01">
        <w:t> </w:t>
      </w:r>
      <w:r w:rsidR="00C57086" w:rsidRPr="00D75E01">
        <w:t xml:space="preserve">per cent of </w:t>
      </w:r>
      <w:r w:rsidRPr="00D75E01">
        <w:t xml:space="preserve">the </w:t>
      </w:r>
      <w:r w:rsidR="00C57086" w:rsidRPr="00D75E01">
        <w:t>3.0</w:t>
      </w:r>
      <w:r w:rsidR="007F46DC" w:rsidRPr="00D75E01">
        <w:t> </w:t>
      </w:r>
      <w:r w:rsidR="00C57086" w:rsidRPr="00D75E01">
        <w:t>per cent figure is properly considered efficiencies expected to be delivered through economi</w:t>
      </w:r>
      <w:r w:rsidR="00A217CE" w:rsidRPr="00D75E01">
        <w:t>es</w:t>
      </w:r>
      <w:r w:rsidR="00C57086" w:rsidRPr="00D75E01">
        <w:t xml:space="preserve"> </w:t>
      </w:r>
      <w:r w:rsidR="00A217CE" w:rsidRPr="00D75E01">
        <w:t>of</w:t>
      </w:r>
      <w:r w:rsidR="00C57086" w:rsidRPr="00D75E01">
        <w:t xml:space="preserve"> </w:t>
      </w:r>
      <w:r w:rsidRPr="00D75E01">
        <w:t xml:space="preserve">scale </w:t>
      </w:r>
      <w:r w:rsidR="00C57086" w:rsidRPr="00D75E01">
        <w:t xml:space="preserve">and scope </w:t>
      </w:r>
      <w:r w:rsidR="00D1510B" w:rsidRPr="00D75E01">
        <w:t>(</w:t>
      </w:r>
      <w:r w:rsidR="00C57086" w:rsidRPr="00D75E01">
        <w:t>as compared to the 1.6</w:t>
      </w:r>
      <w:r w:rsidR="00EF4FCC" w:rsidRPr="00D75E01">
        <w:t> </w:t>
      </w:r>
      <w:r w:rsidR="00C57086" w:rsidRPr="00D75E01">
        <w:t>per cent that comprise the integration and transformation efficiencies).</w:t>
      </w:r>
      <w:r w:rsidR="00D1510B" w:rsidRPr="00D75E01">
        <w:t xml:space="preserve"> </w:t>
      </w:r>
      <w:r w:rsidRPr="00D75E01">
        <w:t xml:space="preserve">However, </w:t>
      </w:r>
      <w:r w:rsidR="00972388" w:rsidRPr="00D75E01">
        <w:t>an efficiency i</w:t>
      </w:r>
      <w:r w:rsidR="001E31E3" w:rsidRPr="00D75E01">
        <w:t>mprovement rate</w:t>
      </w:r>
      <w:r w:rsidRPr="00D75E01">
        <w:t xml:space="preserve"> of 1.4 per cent per annum is consistent with a ‘Standard’ PREMO rating, and </w:t>
      </w:r>
      <w:proofErr w:type="gramStart"/>
      <w:r w:rsidRPr="00D75E01">
        <w:t>similar to</w:t>
      </w:r>
      <w:proofErr w:type="gramEnd"/>
      <w:r w:rsidRPr="00D75E01">
        <w:t xml:space="preserve"> other water businesses at our 2023 price review.</w:t>
      </w:r>
    </w:p>
    <w:p w14:paraId="242EB8A1" w14:textId="06480C52" w:rsidR="0061356F" w:rsidRPr="00414E99" w:rsidRDefault="0061356F" w:rsidP="009164AE">
      <w:pPr>
        <w:pStyle w:val="Heading4"/>
        <w:rPr>
          <w:b w:val="0"/>
        </w:rPr>
      </w:pPr>
      <w:proofErr w:type="gramStart"/>
      <w:r w:rsidRPr="00414E99">
        <w:t>4.1.</w:t>
      </w:r>
      <w:r w:rsidR="0095392F">
        <w:t>2</w:t>
      </w:r>
      <w:r w:rsidRPr="00414E99">
        <w:t>.3</w:t>
      </w:r>
      <w:r w:rsidR="009D22A7">
        <w:t xml:space="preserve">  </w:t>
      </w:r>
      <w:r w:rsidRPr="00414E99">
        <w:t>Cost</w:t>
      </w:r>
      <w:proofErr w:type="gramEnd"/>
      <w:r w:rsidRPr="00414E99">
        <w:t xml:space="preserve"> adjustments</w:t>
      </w:r>
    </w:p>
    <w:p w14:paraId="0BA8CDFB" w14:textId="36218A1A" w:rsidR="003139A2" w:rsidRPr="00D75E01" w:rsidRDefault="003139A2" w:rsidP="003139A2">
      <w:bookmarkStart w:id="77" w:name="_Toc122514861"/>
      <w:bookmarkStart w:id="78" w:name="_Toc150515690"/>
      <w:r w:rsidRPr="00D75E01">
        <w:t>Greater Western Water has proposed additional forecast operating expenditure above the annual baseline, including:</w:t>
      </w:r>
    </w:p>
    <w:p w14:paraId="65F2BEA5" w14:textId="701FA60F" w:rsidR="003139A2" w:rsidRPr="00D75E01" w:rsidRDefault="00926B6C" w:rsidP="00ED1290">
      <w:pPr>
        <w:pStyle w:val="ListBullet"/>
      </w:pPr>
      <w:r w:rsidRPr="00D75E01">
        <w:t>O</w:t>
      </w:r>
      <w:r w:rsidR="003139A2" w:rsidRPr="00D75E01">
        <w:t>perating costs related to its new ‘Platypus’ billing and collections system ($15.8 million)</w:t>
      </w:r>
    </w:p>
    <w:p w14:paraId="2C889D14" w14:textId="36218A1A" w:rsidR="003139A2" w:rsidRPr="00D75E01" w:rsidRDefault="003139A2" w:rsidP="00ED1290">
      <w:pPr>
        <w:pStyle w:val="ListBullet"/>
      </w:pPr>
      <w:r w:rsidRPr="00D75E01">
        <w:t>Additional support for vulnerable customers and customers experiencing payment difficulty ($5.2 million)</w:t>
      </w:r>
    </w:p>
    <w:p w14:paraId="0FFED9A4" w14:textId="36218A1A" w:rsidR="003139A2" w:rsidRPr="00D75E01" w:rsidRDefault="003139A2" w:rsidP="00ED1290">
      <w:pPr>
        <w:pStyle w:val="ListBullet"/>
      </w:pPr>
      <w:r w:rsidRPr="00D75E01">
        <w:t>The operation of new or upgraded assets ($5.1 million)</w:t>
      </w:r>
    </w:p>
    <w:p w14:paraId="3EF02618" w14:textId="36218A1A" w:rsidR="003139A2" w:rsidRPr="00D75E01" w:rsidRDefault="003139A2" w:rsidP="003139A2">
      <w:pPr>
        <w:pStyle w:val="ListBullet2"/>
      </w:pPr>
      <w:r w:rsidRPr="00D75E01">
        <w:t>Macedon Ranges Transfer augmentation</w:t>
      </w:r>
    </w:p>
    <w:p w14:paraId="1DF2456E" w14:textId="36218A1A" w:rsidR="003139A2" w:rsidRPr="00D75E01" w:rsidRDefault="003139A2" w:rsidP="003139A2">
      <w:pPr>
        <w:pStyle w:val="ListBullet2"/>
      </w:pPr>
      <w:r w:rsidRPr="00D75E01">
        <w:t>Romsey Recycled Water Plant</w:t>
      </w:r>
    </w:p>
    <w:p w14:paraId="725E5736" w14:textId="36218A1A" w:rsidR="003139A2" w:rsidRPr="00D75E01" w:rsidRDefault="003139A2" w:rsidP="003139A2">
      <w:pPr>
        <w:pStyle w:val="ListBullet2"/>
      </w:pPr>
      <w:r w:rsidRPr="00D75E01">
        <w:t>Romsey Water Filtration Plant</w:t>
      </w:r>
    </w:p>
    <w:p w14:paraId="2844B30C" w14:textId="36218A1A" w:rsidR="003139A2" w:rsidRPr="00D75E01" w:rsidRDefault="003139A2" w:rsidP="003139A2">
      <w:pPr>
        <w:pStyle w:val="ListBullet2"/>
      </w:pPr>
      <w:r w:rsidRPr="00D75E01">
        <w:t>Western Irrigation Network.</w:t>
      </w:r>
    </w:p>
    <w:p w14:paraId="6E9593B8" w14:textId="36218A1A" w:rsidR="003139A2" w:rsidRPr="00D75E01" w:rsidRDefault="003139A2" w:rsidP="00ED1290">
      <w:pPr>
        <w:pStyle w:val="ListBullet"/>
      </w:pPr>
      <w:r w:rsidRPr="00D75E01">
        <w:t>Costs to comply with the Security of Critical Infrastructure Act (2018) and ensure the security of critical infrastructure ($4.5 million)</w:t>
      </w:r>
    </w:p>
    <w:p w14:paraId="7B50FB2B" w14:textId="77777777" w:rsidR="003139A2" w:rsidRPr="00D75E01" w:rsidRDefault="003139A2" w:rsidP="00ED1290">
      <w:pPr>
        <w:pStyle w:val="ListBullet"/>
      </w:pPr>
      <w:r w:rsidRPr="00D75E01">
        <w:t>Traditional owner engagement and partnership program ($4.0 million).</w:t>
      </w:r>
      <w:r w:rsidRPr="00D75E01">
        <w:rPr>
          <w:rStyle w:val="FootnoteReference"/>
        </w:rPr>
        <w:footnoteReference w:id="54"/>
      </w:r>
    </w:p>
    <w:p w14:paraId="6CC08E3D" w14:textId="36218A1A" w:rsidR="003139A2" w:rsidRPr="00D75E01" w:rsidRDefault="003139A2" w:rsidP="003139A2">
      <w:r w:rsidRPr="00D75E01">
        <w:t>The above costs represent an additional $34.5 million over the regulatory period, or an average of $8.6 million per annum.</w:t>
      </w:r>
    </w:p>
    <w:p w14:paraId="321DB079" w14:textId="66184ABF" w:rsidR="003139A2" w:rsidRPr="00607637" w:rsidRDefault="003139A2" w:rsidP="003139A2">
      <w:r w:rsidRPr="00D75E01">
        <w:t xml:space="preserve">Greater Western Water stated in its price submission that it has not proposed $6.35 million in additional superannuation and payroll tax obligations as cost adjustments in the next regulatory period </w:t>
      </w:r>
      <w:r w:rsidR="005452D1" w:rsidRPr="00D75E01">
        <w:t xml:space="preserve">and has indicated that </w:t>
      </w:r>
      <w:r w:rsidRPr="00D75E01">
        <w:t>it will fund these increased costs from its workforce optimisation plan.</w:t>
      </w:r>
      <w:r w:rsidRPr="00D75E01">
        <w:rPr>
          <w:rStyle w:val="FootnoteReference"/>
        </w:rPr>
        <w:footnoteReference w:id="55"/>
      </w:r>
      <w:r w:rsidRPr="00D75E01">
        <w:t xml:space="preserve"> </w:t>
      </w:r>
    </w:p>
    <w:p w14:paraId="3807E49B" w14:textId="36218A1A" w:rsidR="003139A2" w:rsidRPr="00D75E01" w:rsidRDefault="003139A2" w:rsidP="003139A2">
      <w:r w:rsidRPr="00D75E01">
        <w:lastRenderedPageBreak/>
        <w:t>Our expenditure consultant reviewed each of the proposed forecast variations above the baseline and requested further information from Greater Western Water, including proposed operational plans or business plans for accompanying capital expenditure, as well as underlying breakdowns of costs and assumptions underpinning the business’s forecasts.</w:t>
      </w:r>
    </w:p>
    <w:p w14:paraId="21D9CF33" w14:textId="77777777" w:rsidR="003139A2" w:rsidRPr="00D75E01" w:rsidRDefault="003139A2" w:rsidP="003139A2">
      <w:r w:rsidRPr="00D75E01">
        <w:t xml:space="preserve">Our consultant considered the majority of the proposed costs are appropriately tied to the operation of new assets or increasing obligations, not able to be met within existing baseline operating </w:t>
      </w:r>
      <w:proofErr w:type="gramStart"/>
      <w:r w:rsidRPr="00D75E01">
        <w:t>expenditure, and</w:t>
      </w:r>
      <w:proofErr w:type="gramEnd"/>
      <w:r w:rsidRPr="00D75E01">
        <w:t xml:space="preserve"> are mostly prudent and efficient. However, our consultant recommended that an annual contingency amount (an average of $0.8 million, or $3.2 million across the four-year period) be removed from Greater Western Water’s forecast billing and collections system costs on the basis that it is not tied to any specific business activity and that the risk in forecasting the operating costs of the Platypus system should be managed within the business and not passed on to customers.</w:t>
      </w:r>
      <w:r w:rsidRPr="00D75E01">
        <w:rPr>
          <w:rStyle w:val="FootnoteReference"/>
        </w:rPr>
        <w:footnoteReference w:id="56"/>
      </w:r>
      <w:r w:rsidRPr="00D75E01">
        <w:t xml:space="preserve"> </w:t>
      </w:r>
    </w:p>
    <w:p w14:paraId="239CA66F" w14:textId="7899E4BD" w:rsidR="004E1DC7" w:rsidRPr="00D75E01" w:rsidRDefault="004E1DC7" w:rsidP="004E1DC7">
      <w:r w:rsidRPr="00D75E01">
        <w:t>Further, our consultant also recommended that the forecast cost savings to be realised from the rollout of Greater Western Water’s new Platypus billing and collection system be presented as a cost reduction in the forecast, rather than captured within the business’s proposed efficiency rate</w:t>
      </w:r>
      <w:r w:rsidR="00987842" w:rsidRPr="00D75E01">
        <w:t xml:space="preserve">, </w:t>
      </w:r>
      <w:r w:rsidR="000665E8" w:rsidRPr="00D75E01">
        <w:t xml:space="preserve">because </w:t>
      </w:r>
      <w:r w:rsidR="00E5314B" w:rsidRPr="00D75E01">
        <w:t>they are</w:t>
      </w:r>
      <w:r w:rsidR="00134F94" w:rsidRPr="00D75E01">
        <w:t xml:space="preserve"> identified savings </w:t>
      </w:r>
      <w:r w:rsidR="00E5314B" w:rsidRPr="00D75E01">
        <w:t xml:space="preserve">from </w:t>
      </w:r>
      <w:r w:rsidR="00134F94" w:rsidRPr="00D75E01">
        <w:t>a</w:t>
      </w:r>
      <w:r w:rsidR="00A13DB8" w:rsidRPr="00D75E01">
        <w:t xml:space="preserve"> </w:t>
      </w:r>
      <w:r w:rsidR="00E5314B" w:rsidRPr="00D75E01">
        <w:t>major</w:t>
      </w:r>
      <w:r w:rsidR="00A13DB8" w:rsidRPr="00D75E01">
        <w:t xml:space="preserve"> capital investment</w:t>
      </w:r>
      <w:r w:rsidRPr="00D75E01">
        <w:t xml:space="preserve"> (see </w:t>
      </w:r>
      <w:r w:rsidR="00A13DB8" w:rsidRPr="00D75E01">
        <w:t>also</w:t>
      </w:r>
      <w:r w:rsidRPr="00D75E01">
        <w:t xml:space="preserve"> </w:t>
      </w:r>
      <w:r w:rsidR="002F402A" w:rsidRPr="00D75E01">
        <w:t>S</w:t>
      </w:r>
      <w:r w:rsidRPr="00D75E01">
        <w:t>ection</w:t>
      </w:r>
      <w:r w:rsidR="002F402A" w:rsidRPr="00D75E01">
        <w:t> </w:t>
      </w:r>
      <w:r w:rsidRPr="00D75E01">
        <w:t xml:space="preserve">4.1.2.2). This results in a downward adjustment of $12.6 million across the next regulatory period (noting there is no net change to the cost forecast, given it is simply reallocated from Greater Western Water’s proposed efficiency rate). </w:t>
      </w:r>
    </w:p>
    <w:p w14:paraId="4B12231E" w14:textId="3BAC8D5B" w:rsidR="003139A2" w:rsidRPr="006E64A3" w:rsidRDefault="003139A2" w:rsidP="003139A2">
      <w:r w:rsidRPr="00D75E01">
        <w:t>We have reviewed Greater Western Water’s proposal and the advice from our expenditure consultant</w:t>
      </w:r>
      <w:r w:rsidR="00BA5CC1" w:rsidRPr="00D75E01">
        <w:t xml:space="preserve"> and propose </w:t>
      </w:r>
      <w:r w:rsidRPr="00D75E01">
        <w:t xml:space="preserve">to remove the contingency allowance for billing system costs, because we consider it appropriate the business should carry this risk. We also agree that the expected </w:t>
      </w:r>
      <w:r w:rsidR="004C2A24" w:rsidRPr="00D75E01">
        <w:t>$12.6 million</w:t>
      </w:r>
      <w:r w:rsidRPr="00D75E01">
        <w:t xml:space="preserve"> savings from the new Platypus billing system, arising from a major capital investment by Greater Western Water, should be more transparently shown as future cost savings</w:t>
      </w:r>
      <w:r w:rsidR="00A335F2" w:rsidRPr="00D75E01">
        <w:t>, in the same way</w:t>
      </w:r>
      <w:r w:rsidRPr="00D75E01">
        <w:t xml:space="preserve"> the proposed </w:t>
      </w:r>
      <w:r w:rsidR="00346572" w:rsidRPr="00D75E01">
        <w:t xml:space="preserve">$15.8 million </w:t>
      </w:r>
      <w:r w:rsidRPr="00D75E01">
        <w:t>additional operating costs</w:t>
      </w:r>
      <w:r w:rsidR="00825A58" w:rsidRPr="00D75E01">
        <w:t xml:space="preserve"> for that </w:t>
      </w:r>
      <w:r w:rsidR="00E023A2" w:rsidRPr="00D75E01">
        <w:t>system</w:t>
      </w:r>
      <w:r w:rsidR="00436E82" w:rsidRPr="00D75E01">
        <w:t xml:space="preserve"> have been presented</w:t>
      </w:r>
      <w:r w:rsidRPr="00D75E01">
        <w:t xml:space="preserve">, rather than as efficiency gains. </w:t>
      </w:r>
      <w:r w:rsidR="005E398F" w:rsidRPr="00D75E01">
        <w:t xml:space="preserve">Our preliminary view is that </w:t>
      </w:r>
      <w:r w:rsidRPr="00D75E01">
        <w:t>Greater Western Water’s proposed cost adjustments are justified and represent efficient controllable operating expenditure after the following adjustments:</w:t>
      </w:r>
    </w:p>
    <w:p w14:paraId="11DA20D3" w14:textId="36218A1A" w:rsidR="003139A2" w:rsidRPr="00D75E01" w:rsidRDefault="003139A2" w:rsidP="00ED1290">
      <w:pPr>
        <w:pStyle w:val="ListBullet"/>
      </w:pPr>
      <w:r w:rsidRPr="00D75E01">
        <w:t>removal of the $3.2 million contingency allowance in the forecast billings and collections system additional operating costs</w:t>
      </w:r>
    </w:p>
    <w:p w14:paraId="7829F9D8" w14:textId="36218A1A" w:rsidR="003139A2" w:rsidRPr="00D75E01" w:rsidRDefault="003139A2" w:rsidP="00ED1290">
      <w:pPr>
        <w:pStyle w:val="ListBullet"/>
      </w:pPr>
      <w:r w:rsidRPr="00D75E01">
        <w:t>removal of $12.6 million representing the anticipated cost savings from the rollout of the new billing and collections system (noting a corresponding reduction in the proposed efficiency rate will reinstate a corresponding $12.6 million to the growth-adjusted baseline allowance).</w:t>
      </w:r>
    </w:p>
    <w:p w14:paraId="61C9F3E1" w14:textId="36218A1A" w:rsidR="007A1C62" w:rsidRPr="00D75E01" w:rsidRDefault="007A1C62" w:rsidP="009164AE">
      <w:pPr>
        <w:pStyle w:val="Heading4"/>
      </w:pPr>
      <w:r w:rsidRPr="00D75E01">
        <w:lastRenderedPageBreak/>
        <w:t>Draft decision on controllable operating expenditure</w:t>
      </w:r>
    </w:p>
    <w:p w14:paraId="1B9DD67B" w14:textId="330357B5" w:rsidR="007A1C62" w:rsidRPr="002B4FF2" w:rsidRDefault="007A1C62" w:rsidP="007A1C62">
      <w:r w:rsidRPr="00D75E01">
        <w:t xml:space="preserve">Our assessment of forecast controllable operating expenditure hinges on the establishment of an efficient baseline allowance, which our guidance states must reflect efficient recurring controllable costs. Greater Western Water proposed a considerable increase to its baseline year allowance above the efficient benchmarks of </w:t>
      </w:r>
      <w:r w:rsidR="00CB17FD" w:rsidRPr="00D75E01">
        <w:t>City West Water and Western Water</w:t>
      </w:r>
      <w:r w:rsidRPr="00D75E01">
        <w:t xml:space="preserve">. However, its proposal then presents a high efficiency improvement rate which incorporates yet-to-be-realised benefits from the business integration, which indicates the proposed baseline increases are </w:t>
      </w:r>
      <w:r w:rsidRPr="00D75E01">
        <w:rPr>
          <w:u w:val="single"/>
        </w:rPr>
        <w:t>not</w:t>
      </w:r>
      <w:r w:rsidRPr="00D75E01">
        <w:t xml:space="preserve"> recurring and efficient costs. The proposed efficiency rate also included expected cost savings from capital investment in its new billing system, which </w:t>
      </w:r>
      <w:r w:rsidR="00DC138A" w:rsidRPr="00D75E01">
        <w:t>we do not consider to be properly categorised as an ‘efficiency gain’, as described above</w:t>
      </w:r>
      <w:r w:rsidRPr="00D75E01">
        <w:t>.</w:t>
      </w:r>
    </w:p>
    <w:p w14:paraId="01E73CD8" w14:textId="0067AFD7" w:rsidR="00814644" w:rsidRPr="00CF5EB9" w:rsidRDefault="00814644" w:rsidP="00814644">
      <w:r w:rsidRPr="00D75E01">
        <w:t xml:space="preserve">Our consultant engaged extensively with Greater Western Water to obtain the information required to assess its cost forecasts, and this information has enabled our consultant to verify much, but not all, of the proposed </w:t>
      </w:r>
      <w:r w:rsidRPr="00BC1918">
        <w:t xml:space="preserve">expenditure. </w:t>
      </w:r>
      <w:r w:rsidR="006E261B" w:rsidRPr="00BC1918">
        <w:t>Despite ample opportun</w:t>
      </w:r>
      <w:r w:rsidR="00584A3C" w:rsidRPr="00BC1918">
        <w:t>ity to do so, Greater Western Water</w:t>
      </w:r>
      <w:r w:rsidRPr="00BC1918">
        <w:t xml:space="preserve"> was unable to </w:t>
      </w:r>
      <w:r w:rsidR="00FE6516" w:rsidRPr="00BC1918">
        <w:t xml:space="preserve">provide the </w:t>
      </w:r>
      <w:r w:rsidR="001A36C1" w:rsidRPr="00BC1918">
        <w:t xml:space="preserve">information necessary for our consultant to </w:t>
      </w:r>
      <w:r w:rsidRPr="00BC1918">
        <w:t>verify a</w:t>
      </w:r>
      <w:r w:rsidRPr="00D75E01">
        <w:t xml:space="preserve"> significant portion of the proposed increase in the baseline allowance as recurring and efficient costs. </w:t>
      </w:r>
    </w:p>
    <w:p w14:paraId="1F15DA46" w14:textId="33D357FC" w:rsidR="00814644" w:rsidRPr="00A3486F" w:rsidRDefault="00814644" w:rsidP="00814644">
      <w:r w:rsidRPr="00D75E01">
        <w:t>We have reviewed Greater Western Water’s proposal and the advice from our consultant. Based on this, our draft decision is to adopt a maximum verified controllable operating expenditure allowance of $805.3 million.</w:t>
      </w:r>
    </w:p>
    <w:p w14:paraId="745E46C4" w14:textId="1BB765DD" w:rsidR="006500F0" w:rsidRDefault="006500F0" w:rsidP="009D5B4C">
      <w:pPr>
        <w:pStyle w:val="Heading3"/>
      </w:pPr>
      <w:bookmarkStart w:id="79" w:name="_Toc161400987"/>
      <w:r>
        <w:t>4.1.</w:t>
      </w:r>
      <w:r w:rsidR="009164AE">
        <w:t>3</w:t>
      </w:r>
      <w:r>
        <w:t xml:space="preserve"> </w:t>
      </w:r>
      <w:r w:rsidR="009D5B4C">
        <w:tab/>
      </w:r>
      <w:r w:rsidRPr="00D75E01">
        <w:t>Non</w:t>
      </w:r>
      <w:r w:rsidR="006761A1" w:rsidRPr="00D75E01">
        <w:noBreakHyphen/>
      </w:r>
      <w:r w:rsidRPr="00D75E01">
        <w:t>controllable operating expenditure</w:t>
      </w:r>
      <w:bookmarkEnd w:id="77"/>
      <w:bookmarkEnd w:id="78"/>
      <w:bookmarkEnd w:id="79"/>
    </w:p>
    <w:p w14:paraId="71466E87" w14:textId="77777777" w:rsidR="006500F0" w:rsidRDefault="006500F0" w:rsidP="006500F0">
      <w:r>
        <w:t>Our process for establishing non</w:t>
      </w:r>
      <w:r w:rsidR="006761A1">
        <w:noBreakHyphen/>
      </w:r>
      <w:r>
        <w:t>controllable operating expenditure involves:</w:t>
      </w:r>
    </w:p>
    <w:p w14:paraId="360B1D9D" w14:textId="77777777" w:rsidR="006500F0" w:rsidRPr="002B7CF8" w:rsidRDefault="006500F0" w:rsidP="00B36303">
      <w:pPr>
        <w:numPr>
          <w:ilvl w:val="0"/>
          <w:numId w:val="36"/>
        </w:numPr>
        <w:ind w:left="284" w:hanging="284"/>
        <w:contextualSpacing/>
      </w:pPr>
      <w:r w:rsidRPr="002B7CF8">
        <w:t>obtaining the most recent information from the relevant regulatory authorities on their licence fees and the environmental contribution</w:t>
      </w:r>
    </w:p>
    <w:p w14:paraId="637BF184" w14:textId="77777777" w:rsidR="006500F0" w:rsidRPr="00A76F27" w:rsidRDefault="006500F0" w:rsidP="00B36303">
      <w:pPr>
        <w:numPr>
          <w:ilvl w:val="0"/>
          <w:numId w:val="36"/>
        </w:numPr>
        <w:ind w:left="284" w:hanging="284"/>
        <w:contextualSpacing/>
      </w:pPr>
      <w:r w:rsidRPr="00A76F27">
        <w:t xml:space="preserve">adjusting the forecasts proposed by </w:t>
      </w:r>
      <w:r w:rsidR="00AA1D9F">
        <w:t>Greater Western Water</w:t>
      </w:r>
      <w:r w:rsidRPr="00A76F27">
        <w:t xml:space="preserve"> where required. </w:t>
      </w:r>
    </w:p>
    <w:p w14:paraId="24ED3ADC" w14:textId="77777777" w:rsidR="006500F0" w:rsidRDefault="006500F0" w:rsidP="006500F0">
      <w:r>
        <w:t xml:space="preserve">The values we have adopted for our draft decision are set out above in </w:t>
      </w:r>
      <w:r w:rsidRPr="00705DA7">
        <w:t>Table 4.3.</w:t>
      </w:r>
    </w:p>
    <w:p w14:paraId="3BF7BE99" w14:textId="5A565961" w:rsidR="00B36303" w:rsidRPr="0006469C" w:rsidRDefault="00B36303" w:rsidP="00B36303">
      <w:r w:rsidRPr="00D75E01">
        <w:t>Greater Western Water has proposed $1,644.8 million (an average of $411.</w:t>
      </w:r>
      <w:r w:rsidR="004358B8" w:rsidRPr="00D75E01">
        <w:t>2</w:t>
      </w:r>
      <w:r w:rsidRPr="00D75E01">
        <w:t xml:space="preserve"> million per year) in non-controllable operating expenditure over the 2024–28 regulatory period. </w:t>
      </w:r>
      <w:r w:rsidRPr="0006469C">
        <w:t>This is an average annual decrease of $34.</w:t>
      </w:r>
      <w:r w:rsidR="00213AB3" w:rsidRPr="0006469C">
        <w:t>5</w:t>
      </w:r>
      <w:r w:rsidRPr="0006469C">
        <w:t> million compared to the 2018–23 regulatory period ($445.6 million per year on average), due to decreases in external bulk water charges (desalination security payments) and forecast decreases in the real value of the environmental contribution.</w:t>
      </w:r>
    </w:p>
    <w:p w14:paraId="2A57C1A9" w14:textId="77777777" w:rsidR="00B36303" w:rsidRPr="00D75E01" w:rsidRDefault="00B36303" w:rsidP="00B36303">
      <w:r w:rsidRPr="00D75E01">
        <w:t>Our guidance paper sets out our approach for businesses to forecast their non-controllable operating costs. We consider businesses</w:t>
      </w:r>
      <w:r w:rsidRPr="00D75E01" w:rsidDel="00C3082B">
        <w:t xml:space="preserve"> should forecast licence fees for the Department of Health, the Environment Protection Authority </w:t>
      </w:r>
      <w:proofErr w:type="gramStart"/>
      <w:r w:rsidRPr="00D75E01" w:rsidDel="00C3082B">
        <w:t>Victoria</w:t>
      </w:r>
      <w:proofErr w:type="gramEnd"/>
      <w:r w:rsidRPr="00D75E01" w:rsidDel="00C3082B">
        <w:t xml:space="preserve"> and the Essential Services Commission to remain flat in real terms, and for the environmental contribution to remain flat in nominal terms (decline in real terms) across the 202</w:t>
      </w:r>
      <w:r w:rsidRPr="00D75E01">
        <w:t>4</w:t>
      </w:r>
      <w:r w:rsidRPr="00D75E01" w:rsidDel="00C3082B">
        <w:t>–28 regulatory period.</w:t>
      </w:r>
      <w:r w:rsidRPr="00D75E01" w:rsidDel="004B3786">
        <w:t xml:space="preserve"> </w:t>
      </w:r>
      <w:r w:rsidRPr="00D75E01">
        <w:t xml:space="preserve">Greater Western Water has followed this approach in its price submission. </w:t>
      </w:r>
    </w:p>
    <w:p w14:paraId="03AD2E37" w14:textId="5CBCF89C" w:rsidR="00B36303" w:rsidRPr="00D75E01" w:rsidRDefault="007F47D4" w:rsidP="00B36303">
      <w:r w:rsidRPr="00D75E01">
        <w:lastRenderedPageBreak/>
        <w:t>We</w:t>
      </w:r>
      <w:r w:rsidR="00B36303" w:rsidRPr="00D75E01">
        <w:t xml:space="preserve"> have revised our long-term inflation rate from 3.5 per cent per annum, down to 3.0 per cent per annum. This has increased the forecast real value of the environmental contribution by $1.5 million (1.2 per cent) across the next regulatory period.</w:t>
      </w:r>
      <w:r w:rsidR="00B36303" w:rsidRPr="00D75E01">
        <w:rPr>
          <w:vertAlign w:val="superscript"/>
        </w:rPr>
        <w:footnoteReference w:id="57"/>
      </w:r>
      <w:r w:rsidR="00B36303" w:rsidRPr="00D75E01">
        <w:t xml:space="preserve"> We have adopted this updated figure for our draft decision (see </w:t>
      </w:r>
      <w:r w:rsidR="001051EE">
        <w:t>T</w:t>
      </w:r>
      <w:r w:rsidR="00B36303" w:rsidRPr="00D75E01">
        <w:t>able</w:t>
      </w:r>
      <w:r w:rsidR="001051EE">
        <w:t> </w:t>
      </w:r>
      <w:r w:rsidR="00B36303" w:rsidRPr="00D75E01">
        <w:t>4.4).</w:t>
      </w:r>
    </w:p>
    <w:p w14:paraId="61233487" w14:textId="021C0FFA" w:rsidR="00B36303" w:rsidRDefault="00A16D8C" w:rsidP="006500F0">
      <w:r w:rsidRPr="00D75E01">
        <w:t xml:space="preserve">Accordingly, consistent with the reasoning in our guidance paper, our draft decision is to accept </w:t>
      </w:r>
      <w:r w:rsidR="00AA1D9F" w:rsidRPr="00D75E01">
        <w:t>Greater Western Water</w:t>
      </w:r>
      <w:r w:rsidR="002A03FD" w:rsidRPr="00D75E01">
        <w:t>’s</w:t>
      </w:r>
      <w:r w:rsidRPr="00D75E01">
        <w:t xml:space="preserve"> proposed non-controllable operating expenditure</w:t>
      </w:r>
      <w:r w:rsidR="00B36303" w:rsidRPr="00D75E01">
        <w:t xml:space="preserve"> forecast, noting</w:t>
      </w:r>
      <w:r w:rsidR="00047659" w:rsidRPr="00D75E01">
        <w:t xml:space="preserve"> our </w:t>
      </w:r>
      <w:r w:rsidR="00B36303" w:rsidRPr="00D75E01">
        <w:t>inflation adjustment’s impact on Greater Western Water’s forecast environmental contribution.</w:t>
      </w:r>
      <w:r w:rsidR="00047659" w:rsidRPr="00D75E01">
        <w:t xml:space="preserve"> </w:t>
      </w:r>
      <w:r w:rsidRPr="00D75E01">
        <w:t xml:space="preserve">We have verified that </w:t>
      </w:r>
      <w:r w:rsidR="00AA1D9F" w:rsidRPr="00D75E01">
        <w:t>Greater Western Water</w:t>
      </w:r>
      <w:r w:rsidR="002A41B2" w:rsidRPr="00D75E01">
        <w:t>’s</w:t>
      </w:r>
      <w:r w:rsidRPr="00D75E01">
        <w:t xml:space="preserve"> forecast bulk charges are consistent with Melbourne Water’s 2021 price determination and </w:t>
      </w:r>
      <w:r w:rsidR="00B36303" w:rsidRPr="00D75E01">
        <w:t>Southern Rural Water’s 2023 price determination.</w:t>
      </w:r>
      <w:r w:rsidR="00B36303" w:rsidRPr="00B36303">
        <w:t xml:space="preserve"> Prior</w:t>
      </w:r>
      <w:r w:rsidRPr="00473DD3">
        <w:t xml:space="preserve"> to making our final decision, we will update the forecast licence fee and environmental contribution values with the relevant regulatory bodies and adjust where necessary for the latest inflation data.</w:t>
      </w:r>
      <w:r w:rsidR="00B36303" w:rsidRPr="00B36303">
        <w:rPr>
          <w:vertAlign w:val="superscript"/>
        </w:rPr>
        <w:footnoteReference w:id="58"/>
      </w:r>
      <w:r w:rsidR="00B36303" w:rsidRPr="00B36303">
        <w:t xml:space="preserve"> </w:t>
      </w:r>
      <w:r w:rsidR="00F345EB">
        <w:t xml:space="preserve">The benchmark </w:t>
      </w:r>
      <w:r w:rsidR="00940B29">
        <w:t xml:space="preserve">will also need to be updated </w:t>
      </w:r>
      <w:r w:rsidR="00CE266C">
        <w:t xml:space="preserve">prior to our final decision </w:t>
      </w:r>
      <w:r w:rsidR="00940B29">
        <w:t xml:space="preserve">to reflect our approved </w:t>
      </w:r>
      <w:r w:rsidR="00CE266C">
        <w:t>tariffs for Melbourne Water’s bulk charges for 2024-25.</w:t>
      </w:r>
    </w:p>
    <w:p w14:paraId="0FD3EA89" w14:textId="590C56D8" w:rsidR="006500F0" w:rsidRDefault="006500F0" w:rsidP="00D10CF7">
      <w:pPr>
        <w:pStyle w:val="Heading2"/>
      </w:pPr>
      <w:bookmarkStart w:id="80" w:name="_Toc161400988"/>
      <w:r>
        <w:t xml:space="preserve">4.2 </w:t>
      </w:r>
      <w:r w:rsidR="00D10CF7">
        <w:tab/>
      </w:r>
      <w:r>
        <w:t>Capital expenditure</w:t>
      </w:r>
      <w:bookmarkEnd w:id="80"/>
    </w:p>
    <w:p w14:paraId="0DE563A6" w14:textId="42CF2534" w:rsidR="00D54552" w:rsidRPr="00D54552" w:rsidRDefault="00D54552" w:rsidP="004D5D57">
      <w:pPr>
        <w:pStyle w:val="Pull-out"/>
      </w:pPr>
      <w:r w:rsidRPr="00D75E01">
        <w:t>Our draft decision is to adopt a forecast capital expenditure of $1,561.0</w:t>
      </w:r>
      <w:r w:rsidR="00681398" w:rsidRPr="00D75E01">
        <w:t> million</w:t>
      </w:r>
      <w:r w:rsidRPr="00D75E01">
        <w:t>, which is $160.4</w:t>
      </w:r>
      <w:r w:rsidR="00681398" w:rsidRPr="00D75E01">
        <w:t> </w:t>
      </w:r>
      <w:r w:rsidRPr="00D75E01">
        <w:t>million or 9.3</w:t>
      </w:r>
      <w:r w:rsidR="00681398" w:rsidRPr="00D75E01">
        <w:t> </w:t>
      </w:r>
      <w:r w:rsidRPr="00D75E01">
        <w:t>per cent lower than proposed by Greater Western Water.</w:t>
      </w:r>
    </w:p>
    <w:p w14:paraId="342C9E90" w14:textId="37824B03" w:rsidR="00D54552" w:rsidRPr="00D54552" w:rsidRDefault="00D54552" w:rsidP="00D54552">
      <w:r w:rsidRPr="00D54552">
        <w:t xml:space="preserve">Capital expenditure is an input to estimating the regulatory asset base, which is an input to the revenue requirement. </w:t>
      </w:r>
      <w:r w:rsidRPr="00D75E01">
        <w:t xml:space="preserve">Greater Western Water’s forecast capital expenditure and supporting information is provided on pages 56 to 66 and appendices F, </w:t>
      </w:r>
      <w:proofErr w:type="gramStart"/>
      <w:r w:rsidRPr="00D75E01">
        <w:t>G</w:t>
      </w:r>
      <w:proofErr w:type="gramEnd"/>
      <w:r w:rsidRPr="00D75E01">
        <w:t xml:space="preserve"> and I (pages 207 to 222 and 258 to 261) of its price submission. Figure</w:t>
      </w:r>
      <w:r w:rsidR="003D7B3A">
        <w:t> </w:t>
      </w:r>
      <w:r w:rsidRPr="00D75E01">
        <w:t>4.</w:t>
      </w:r>
      <w:r w:rsidR="00EC0F26" w:rsidRPr="00D75E01">
        <w:t>2</w:t>
      </w:r>
      <w:r w:rsidRPr="00D75E01">
        <w:t xml:space="preserve"> shows Greater Western Water’s actual gross capital expenditure for 2017</w:t>
      </w:r>
      <w:r w:rsidRPr="00D75E01">
        <w:noBreakHyphen/>
        <w:t>18 and the original 2018–23 regulatory period (2018</w:t>
      </w:r>
      <w:r w:rsidRPr="00D75E01">
        <w:noBreakHyphen/>
        <w:t>19 to 2022</w:t>
      </w:r>
      <w:r w:rsidRPr="00D75E01">
        <w:noBreakHyphen/>
        <w:t>23) and forecast gross capital expenditure from 2023</w:t>
      </w:r>
      <w:r w:rsidRPr="00D75E01">
        <w:noBreakHyphen/>
        <w:t>24 to 2027</w:t>
      </w:r>
      <w:r w:rsidRPr="00D75E01">
        <w:noBreakHyphen/>
        <w:t>28. The first six years of actual expenditure shown in Figure 4.</w:t>
      </w:r>
      <w:r w:rsidR="00EC0F26" w:rsidRPr="00D75E01">
        <w:t>2</w:t>
      </w:r>
      <w:r w:rsidRPr="00D75E01">
        <w:t xml:space="preserve"> (2017</w:t>
      </w:r>
      <w:r w:rsidRPr="00D75E01">
        <w:noBreakHyphen/>
        <w:t>18 to 2022</w:t>
      </w:r>
      <w:r w:rsidRPr="00D75E01">
        <w:noBreakHyphen/>
        <w:t>23) is relevant to the calculation of the closing regulatory asset base discussed in Section</w:t>
      </w:r>
      <w:r w:rsidR="003D7B3A">
        <w:t> </w:t>
      </w:r>
      <w:r w:rsidRPr="00D75E01">
        <w:t>4.3.1.</w:t>
      </w:r>
      <w:r w:rsidRPr="00D54552">
        <w:t xml:space="preserve"> </w:t>
      </w:r>
    </w:p>
    <w:p w14:paraId="2ECBCA30" w14:textId="39DF4AE0" w:rsidR="00D54552" w:rsidRPr="00D54552" w:rsidRDefault="00D54552" w:rsidP="00BC6C33">
      <w:pPr>
        <w:keepNext/>
        <w:spacing w:before="120" w:after="120" w:line="432" w:lineRule="auto"/>
        <w:ind w:left="851" w:hanging="851"/>
        <w:rPr>
          <w:rFonts w:asciiTheme="majorHAnsi" w:eastAsiaTheme="majorEastAsia" w:hAnsiTheme="majorHAnsi" w:cstheme="majorBidi"/>
          <w:b/>
          <w:color w:val="4986A0" w:themeColor="text2"/>
          <w:szCs w:val="24"/>
          <w:lang w:val="en-US"/>
        </w:rPr>
      </w:pPr>
      <w:r w:rsidRPr="00D75E01">
        <w:rPr>
          <w:rFonts w:asciiTheme="majorHAnsi" w:eastAsiaTheme="majorEastAsia" w:hAnsiTheme="majorHAnsi" w:cstheme="majorBidi"/>
          <w:b/>
          <w:color w:val="4986A0" w:themeColor="text2"/>
          <w:szCs w:val="24"/>
          <w:lang w:val="en-US"/>
        </w:rPr>
        <w:lastRenderedPageBreak/>
        <w:t>Figure 4.2</w:t>
      </w:r>
      <w:r w:rsidRPr="00D54552">
        <w:rPr>
          <w:rFonts w:asciiTheme="majorHAnsi" w:eastAsiaTheme="majorEastAsia" w:hAnsiTheme="majorHAnsi" w:cstheme="majorBidi"/>
          <w:b/>
          <w:color w:val="4986A0" w:themeColor="text2"/>
          <w:szCs w:val="24"/>
          <w:lang w:val="en-US"/>
        </w:rPr>
        <w:tab/>
      </w:r>
      <w:r w:rsidRPr="00D75E01">
        <w:rPr>
          <w:rFonts w:asciiTheme="majorHAnsi" w:eastAsiaTheme="majorEastAsia" w:hAnsiTheme="majorHAnsi" w:cstheme="majorBidi"/>
          <w:b/>
          <w:color w:val="4986A0" w:themeColor="text2"/>
          <w:szCs w:val="24"/>
          <w:lang w:val="en-US"/>
        </w:rPr>
        <w:t>Gross capital expenditure by service category</w:t>
      </w:r>
    </w:p>
    <w:p w14:paraId="5B185F0A" w14:textId="77777777" w:rsidR="00D54552" w:rsidRPr="00D54552" w:rsidRDefault="00D54552" w:rsidP="00BC6C33">
      <w:pPr>
        <w:keepNext/>
        <w:spacing w:before="0" w:after="0" w:line="240" w:lineRule="auto"/>
        <w:ind w:left="1418"/>
        <w:rPr>
          <w:rFonts w:asciiTheme="majorHAnsi" w:eastAsiaTheme="majorEastAsia" w:hAnsiTheme="majorHAnsi" w:cstheme="majorBidi"/>
          <w:color w:val="4986A0" w:themeColor="text2"/>
          <w:szCs w:val="24"/>
          <w:lang w:val="en-US"/>
        </w:rPr>
      </w:pPr>
      <w:r w:rsidRPr="00D54552">
        <w:rPr>
          <w:rFonts w:asciiTheme="majorHAnsi" w:eastAsiaTheme="majorEastAsia" w:hAnsiTheme="majorHAnsi" w:cstheme="majorBidi"/>
          <w:color w:val="4986A0" w:themeColor="text2"/>
          <w:szCs w:val="24"/>
          <w:lang w:val="en-US"/>
        </w:rPr>
        <w:tab/>
      </w:r>
      <w:bookmarkStart w:id="81" w:name="_Hlk158891504"/>
      <w:r w:rsidRPr="00D54552">
        <w:rPr>
          <w:rFonts w:asciiTheme="majorHAnsi" w:eastAsiaTheme="majorEastAsia" w:hAnsiTheme="majorHAnsi" w:cstheme="majorBidi"/>
          <w:color w:val="4986A0" w:themeColor="text2"/>
          <w:szCs w:val="24"/>
          <w:lang w:val="en-US"/>
        </w:rPr>
        <w:t>$ million 2023</w:t>
      </w:r>
      <w:r w:rsidRPr="00D54552">
        <w:rPr>
          <w:rFonts w:asciiTheme="majorHAnsi" w:eastAsiaTheme="majorEastAsia" w:hAnsiTheme="majorHAnsi" w:cstheme="majorBidi"/>
          <w:color w:val="4986A0" w:themeColor="text2"/>
          <w:szCs w:val="24"/>
          <w:lang w:val="en-US"/>
        </w:rPr>
        <w:noBreakHyphen/>
        <w:t>24</w:t>
      </w:r>
      <w:bookmarkEnd w:id="81"/>
    </w:p>
    <w:p w14:paraId="71718940" w14:textId="2821B8B1" w:rsidR="00D54552" w:rsidRPr="00D54552" w:rsidRDefault="003D281D" w:rsidP="00D54552">
      <w:pPr>
        <w:spacing w:before="120"/>
        <w:rPr>
          <w:b/>
          <w:bCs/>
          <w:iCs/>
          <w:color w:val="4986A0" w:themeColor="text2"/>
          <w:sz w:val="18"/>
          <w:szCs w:val="18"/>
        </w:rPr>
      </w:pPr>
      <w:r>
        <w:rPr>
          <w:noProof/>
        </w:rPr>
        <w:drawing>
          <wp:inline distT="0" distB="0" distL="0" distR="0" wp14:anchorId="30B71E97" wp14:editId="2DDB3BD9">
            <wp:extent cx="6164580" cy="3837940"/>
            <wp:effectExtent l="0" t="0" r="7620" b="0"/>
            <wp:docPr id="151321699" name="Chart 1">
              <a:extLst xmlns:a="http://schemas.openxmlformats.org/drawingml/2006/main">
                <a:ext uri="{FF2B5EF4-FFF2-40B4-BE49-F238E27FC236}">
                  <a16:creationId xmlns:a16="http://schemas.microsoft.com/office/drawing/2014/main" id="{00000000-0008-0000-1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7662D64" w14:textId="77777777" w:rsidR="00D54552" w:rsidRPr="00D75E01" w:rsidRDefault="00D54552" w:rsidP="00D54552">
      <w:pPr>
        <w:spacing w:before="120"/>
        <w:rPr>
          <w:color w:val="4986A0" w:themeColor="text2"/>
          <w:sz w:val="18"/>
          <w:szCs w:val="18"/>
        </w:rPr>
      </w:pPr>
      <w:r w:rsidRPr="00D75E01">
        <w:rPr>
          <w:b/>
          <w:color w:val="4986A0" w:themeColor="text2"/>
          <w:sz w:val="18"/>
          <w:szCs w:val="18"/>
        </w:rPr>
        <w:t>Note:</w:t>
      </w:r>
      <w:r w:rsidRPr="00D75E01">
        <w:rPr>
          <w:color w:val="4986A0" w:themeColor="text2"/>
          <w:sz w:val="18"/>
          <w:szCs w:val="18"/>
        </w:rPr>
        <w:t xml:space="preserve"> This graph shows actual figures for 2017</w:t>
      </w:r>
      <w:r w:rsidRPr="00D75E01">
        <w:rPr>
          <w:color w:val="4986A0" w:themeColor="text2"/>
          <w:sz w:val="18"/>
          <w:szCs w:val="18"/>
        </w:rPr>
        <w:noBreakHyphen/>
        <w:t>18 to 2022</w:t>
      </w:r>
      <w:r w:rsidRPr="00D75E01">
        <w:rPr>
          <w:color w:val="4986A0" w:themeColor="text2"/>
          <w:sz w:val="18"/>
          <w:szCs w:val="18"/>
        </w:rPr>
        <w:noBreakHyphen/>
        <w:t>23, and Greater Western Water’s forecasts for 2023</w:t>
      </w:r>
      <w:r w:rsidRPr="00D75E01">
        <w:rPr>
          <w:color w:val="4986A0" w:themeColor="text2"/>
          <w:sz w:val="18"/>
          <w:szCs w:val="18"/>
        </w:rPr>
        <w:noBreakHyphen/>
        <w:t>24 to 2027</w:t>
      </w:r>
      <w:r w:rsidRPr="00D75E01">
        <w:rPr>
          <w:color w:val="4986A0" w:themeColor="text2"/>
          <w:sz w:val="18"/>
          <w:szCs w:val="18"/>
        </w:rPr>
        <w:noBreakHyphen/>
        <w:t>28.</w:t>
      </w:r>
    </w:p>
    <w:p w14:paraId="25E84F77" w14:textId="5A1EB544" w:rsidR="00D54552" w:rsidRPr="005929AF" w:rsidRDefault="00D54552" w:rsidP="00D54552">
      <w:r w:rsidRPr="00D75E01">
        <w:t xml:space="preserve">Our assessment of Greater Western Water’s capital expenditure must consider the implications of the business integration on efficient costs. Our guidance, developed in consultation with Greater Western Water, set out specific requirements to </w:t>
      </w:r>
      <w:r w:rsidR="00097D3A" w:rsidRPr="00D75E01">
        <w:t>enable us to do so</w:t>
      </w:r>
      <w:r w:rsidRPr="00D75E01">
        <w:t>, namely:</w:t>
      </w:r>
      <w:r w:rsidRPr="00D75E01">
        <w:rPr>
          <w:vertAlign w:val="superscript"/>
        </w:rPr>
        <w:footnoteReference w:id="59"/>
      </w:r>
    </w:p>
    <w:p w14:paraId="5C3D3EB4" w14:textId="77777777" w:rsidR="00D54552" w:rsidRPr="00D75E01" w:rsidRDefault="00D54552" w:rsidP="00ED1290">
      <w:pPr>
        <w:pStyle w:val="ListBullet"/>
      </w:pPr>
      <w:r w:rsidRPr="00D75E01">
        <w:t xml:space="preserve">clearly identify movements in its actual and forecast capital investment program arising from the </w:t>
      </w:r>
      <w:proofErr w:type="gramStart"/>
      <w:r w:rsidRPr="00D75E01">
        <w:t>integration</w:t>
      </w:r>
      <w:proofErr w:type="gramEnd"/>
    </w:p>
    <w:p w14:paraId="349B5B41" w14:textId="77777777" w:rsidR="00D54552" w:rsidRPr="00D75E01" w:rsidRDefault="00D54552" w:rsidP="00ED1290">
      <w:pPr>
        <w:pStyle w:val="ListBullet"/>
      </w:pPr>
      <w:r w:rsidRPr="00D75E01">
        <w:t xml:space="preserve">compare these cost variations with the sum of the expenditure benchmarks and forecasts from the 2018 and 2020 price reviews for the former </w:t>
      </w:r>
      <w:proofErr w:type="gramStart"/>
      <w:r w:rsidRPr="00D75E01">
        <w:t>businesses</w:t>
      </w:r>
      <w:proofErr w:type="gramEnd"/>
    </w:p>
    <w:p w14:paraId="47089A9D" w14:textId="77777777" w:rsidR="00D54552" w:rsidRPr="00D75E01" w:rsidRDefault="00D54552" w:rsidP="00ED1290">
      <w:pPr>
        <w:pStyle w:val="ListBullet"/>
      </w:pPr>
      <w:r w:rsidRPr="00D75E01">
        <w:t>include necessary information to support its capital expenditure forecast and assumptions for the extension year, 2023</w:t>
      </w:r>
      <w:r w:rsidRPr="00D75E01">
        <w:noBreakHyphen/>
        <w:t>24 (which has not been previously assessed for prudency and efficiency).</w:t>
      </w:r>
    </w:p>
    <w:p w14:paraId="3020563F" w14:textId="2772E2D3" w:rsidR="00471548" w:rsidRDefault="00471548" w:rsidP="00471548">
      <w:r w:rsidRPr="00D75E01">
        <w:lastRenderedPageBreak/>
        <w:t>We engaged FTI Consulting to provide expert advice to inform our assessment of capital expenditure.</w:t>
      </w:r>
      <w:r w:rsidR="00D54552" w:rsidRPr="00D75E01">
        <w:rPr>
          <w:vertAlign w:val="superscript"/>
        </w:rPr>
        <w:footnoteReference w:id="60"/>
      </w:r>
      <w:r w:rsidRPr="00D75E01">
        <w:t xml:space="preserve"> FTI Consulting’s report on its assessment of </w:t>
      </w:r>
      <w:r w:rsidR="00AA1D9F" w:rsidRPr="00D75E01">
        <w:t>Greater Western Water</w:t>
      </w:r>
      <w:r w:rsidRPr="00D75E01">
        <w:t>’s expenditure forecast is available on our website.</w:t>
      </w:r>
      <w:r w:rsidRPr="00D75E01">
        <w:rPr>
          <w:vertAlign w:val="superscript"/>
        </w:rPr>
        <w:footnoteReference w:id="61"/>
      </w:r>
      <w:r>
        <w:t xml:space="preserve"> </w:t>
      </w:r>
    </w:p>
    <w:p w14:paraId="6399873A" w14:textId="3E27DEC4" w:rsidR="00FE4F22" w:rsidRPr="0012399A" w:rsidRDefault="00FE4F22" w:rsidP="00D54552">
      <w:pPr>
        <w:keepNext/>
        <w:keepLines/>
        <w:spacing w:before="200" w:after="120"/>
        <w:outlineLvl w:val="2"/>
        <w:rPr>
          <w:b/>
        </w:rPr>
      </w:pPr>
      <w:bookmarkStart w:id="82" w:name="_Toc121310447"/>
      <w:bookmarkStart w:id="83" w:name="_Toc121989561"/>
      <w:bookmarkStart w:id="84" w:name="_Toc150515692"/>
      <w:r w:rsidRPr="00D54552">
        <w:rPr>
          <w:rFonts w:ascii="Tahoma" w:eastAsiaTheme="majorEastAsia" w:hAnsi="Tahoma" w:cstheme="majorBidi"/>
          <w:b/>
          <w:color w:val="4986A0" w:themeColor="text2"/>
          <w:szCs w:val="24"/>
        </w:rPr>
        <w:t>4.2.1</w:t>
      </w:r>
      <w:r w:rsidRPr="00D54552">
        <w:rPr>
          <w:rFonts w:ascii="Tahoma" w:eastAsiaTheme="majorEastAsia" w:hAnsi="Tahoma" w:cstheme="majorBidi"/>
          <w:b/>
          <w:color w:val="4986A0" w:themeColor="text2"/>
          <w:szCs w:val="24"/>
        </w:rPr>
        <w:tab/>
        <w:t>Actual capital expenditure</w:t>
      </w:r>
      <w:bookmarkEnd w:id="82"/>
      <w:bookmarkEnd w:id="83"/>
      <w:bookmarkEnd w:id="84"/>
    </w:p>
    <w:p w14:paraId="13E59BD5" w14:textId="78D5093C" w:rsidR="00611B98" w:rsidRDefault="00FE4F22" w:rsidP="006500F0">
      <w:r w:rsidRPr="0012399A">
        <w:t>The PREMO framework involves reviewing a business’s actual performance over the current regulatory period, against its proposals and commitments made to its customers in its previous price submission. This includes a comparison of its actual capital expenditure against the approved expenditure forecasts for the current regulatory period.</w:t>
      </w:r>
    </w:p>
    <w:p w14:paraId="4150AD22" w14:textId="466B3B12" w:rsidR="00DA7162" w:rsidRPr="00575D32" w:rsidRDefault="00D54552" w:rsidP="00D54552">
      <w:r w:rsidRPr="00D75E01">
        <w:t xml:space="preserve">Greater Western Water has incurred $1,616.1 million in actual gross capital expenditure over the six years from 2017-18 to 2022-23. This is $281.1 million (or 21.1 per cent) above the relevant benchmark amounts for </w:t>
      </w:r>
      <w:r w:rsidR="00575D32" w:rsidRPr="00D75E01">
        <w:t>City West Water and Western Water combined</w:t>
      </w:r>
      <w:r w:rsidRPr="00D75E01">
        <w:t xml:space="preserve">. In net terms (that is, once any contributions or disposals are accounted for), it </w:t>
      </w:r>
      <w:r w:rsidR="00BF7861" w:rsidRPr="00D75E01">
        <w:t>has</w:t>
      </w:r>
      <w:r w:rsidRPr="00D75E01">
        <w:t xml:space="preserve"> exceed</w:t>
      </w:r>
      <w:r w:rsidR="00BF7861" w:rsidRPr="00D75E01">
        <w:t>ed</w:t>
      </w:r>
      <w:r w:rsidRPr="00D75E01">
        <w:t xml:space="preserve"> </w:t>
      </w:r>
      <w:r w:rsidR="00BF7861" w:rsidRPr="00D75E01">
        <w:t>the</w:t>
      </w:r>
      <w:r w:rsidRPr="00D75E01">
        <w:t xml:space="preserve"> forecast </w:t>
      </w:r>
      <w:r w:rsidR="00BF7861" w:rsidRPr="00D75E01">
        <w:t xml:space="preserve">used </w:t>
      </w:r>
      <w:r w:rsidRPr="00D75E01">
        <w:t xml:space="preserve">to </w:t>
      </w:r>
      <w:r w:rsidR="00BF7861" w:rsidRPr="00D75E01">
        <w:t>approve maximum prices for the combined businesses of City West Water and Western Water</w:t>
      </w:r>
      <w:r w:rsidRPr="00D75E01">
        <w:t xml:space="preserve"> </w:t>
      </w:r>
      <w:r w:rsidR="00DA7162" w:rsidRPr="00D75E01">
        <w:t xml:space="preserve">by </w:t>
      </w:r>
      <w:r w:rsidR="00BF7861" w:rsidRPr="00D75E01">
        <w:t xml:space="preserve">$128.0 million, or 12.4 per cent. </w:t>
      </w:r>
    </w:p>
    <w:p w14:paraId="6255F32D" w14:textId="30BDF271" w:rsidR="00D54552" w:rsidRPr="00D75E01" w:rsidRDefault="00D54552" w:rsidP="00D54552">
      <w:r w:rsidRPr="00D75E01">
        <w:t>Greater Western Water’s price submission provided several reasons for its increased expenditure (relative to the benchmark) in the current regulatory period</w:t>
      </w:r>
      <w:r w:rsidRPr="00A36DF6">
        <w:t>:</w:t>
      </w:r>
      <w:r w:rsidR="00D146B5" w:rsidRPr="00A36DF6">
        <w:rPr>
          <w:vertAlign w:val="superscript"/>
        </w:rPr>
        <w:t xml:space="preserve"> </w:t>
      </w:r>
      <w:r w:rsidR="00D146B5" w:rsidRPr="00A36DF6">
        <w:rPr>
          <w:vertAlign w:val="superscript"/>
        </w:rPr>
        <w:footnoteReference w:id="62"/>
      </w:r>
    </w:p>
    <w:p w14:paraId="165EF12C" w14:textId="2FC7167E" w:rsidR="00D54552" w:rsidRPr="00D75E01" w:rsidRDefault="00D54552" w:rsidP="00ED1290">
      <w:pPr>
        <w:pStyle w:val="ListBullet"/>
      </w:pPr>
      <w:r w:rsidRPr="00D75E01">
        <w:t xml:space="preserve">higher than forecast customer growth, particularly in the western region, leading to capital projects being brought </w:t>
      </w:r>
      <w:proofErr w:type="gramStart"/>
      <w:r w:rsidRPr="00D75E01">
        <w:t>forward</w:t>
      </w:r>
      <w:proofErr w:type="gramEnd"/>
    </w:p>
    <w:p w14:paraId="5356E712" w14:textId="104138A5" w:rsidR="00D54552" w:rsidRPr="00D75E01" w:rsidRDefault="00D54552" w:rsidP="00ED1290">
      <w:pPr>
        <w:pStyle w:val="ListBullet"/>
      </w:pPr>
      <w:r w:rsidRPr="00D75E01">
        <w:t xml:space="preserve">increases in unit rates, driven by supply chain </w:t>
      </w:r>
      <w:proofErr w:type="gramStart"/>
      <w:r w:rsidRPr="00D75E01">
        <w:t>constraints</w:t>
      </w:r>
      <w:proofErr w:type="gramEnd"/>
    </w:p>
    <w:p w14:paraId="47EB7F52" w14:textId="3B308059" w:rsidR="00D54552" w:rsidRPr="00D75E01" w:rsidRDefault="00D54552" w:rsidP="00ED1290">
      <w:pPr>
        <w:pStyle w:val="ListBullet"/>
      </w:pPr>
      <w:r w:rsidRPr="00D75E01">
        <w:t>aging infrastructure which required significant increased expenditure on renewals</w:t>
      </w:r>
    </w:p>
    <w:p w14:paraId="1BE4AB3A" w14:textId="6B22854C" w:rsidR="007D0AA0" w:rsidRPr="00D75E01" w:rsidRDefault="00D54552" w:rsidP="00ED1290">
      <w:pPr>
        <w:pStyle w:val="ListBullet"/>
      </w:pPr>
      <w:r w:rsidRPr="00D75E01">
        <w:t xml:space="preserve">new systems required to support the business integration, such as its new billing and collections </w:t>
      </w:r>
      <w:proofErr w:type="gramStart"/>
      <w:r w:rsidRPr="00D75E01">
        <w:t>system</w:t>
      </w:r>
      <w:proofErr w:type="gramEnd"/>
      <w:r w:rsidR="001D0DCE" w:rsidRPr="00D75E01">
        <w:t xml:space="preserve"> </w:t>
      </w:r>
    </w:p>
    <w:p w14:paraId="445EBD72" w14:textId="6E660531" w:rsidR="00D54552" w:rsidRPr="00D75E01" w:rsidRDefault="00D54552" w:rsidP="00ED1290">
      <w:pPr>
        <w:pStyle w:val="ListBullet"/>
      </w:pPr>
      <w:r w:rsidRPr="00D75E01">
        <w:t xml:space="preserve">it </w:t>
      </w:r>
      <w:r w:rsidR="009E4681" w:rsidRPr="00D75E01">
        <w:t xml:space="preserve">considers </w:t>
      </w:r>
      <w:r w:rsidRPr="00D75E01">
        <w:t>the capital expenditure forecasts put forward by Western Water in its 2020 price review were underestimated.</w:t>
      </w:r>
    </w:p>
    <w:p w14:paraId="01968DFE" w14:textId="7B3230C2" w:rsidR="00D54552" w:rsidRPr="00AA3B8D" w:rsidRDefault="00D54552" w:rsidP="00D54552">
      <w:r w:rsidRPr="00D75E01">
        <w:t xml:space="preserve">Greater Western Water has also recorded significant variances in its delivery of the major projects that were approved as part of City West Water’s 2018 and Western Water’s 2020 price </w:t>
      </w:r>
      <w:r w:rsidRPr="00082C43">
        <w:t>determinations.</w:t>
      </w:r>
      <w:r w:rsidR="00082C43" w:rsidRPr="00082C43">
        <w:rPr>
          <w:vertAlign w:val="superscript"/>
        </w:rPr>
        <w:footnoteReference w:id="63"/>
      </w:r>
      <w:r w:rsidRPr="00082C43">
        <w:t xml:space="preserve"> Of the</w:t>
      </w:r>
      <w:r w:rsidRPr="00D75E01">
        <w:t xml:space="preserve"> ten City West Water major projects seven have been completed, two have been deferred due to slower than anticipated demand growth and wet weather event impacts on </w:t>
      </w:r>
      <w:r w:rsidRPr="00D75E01">
        <w:lastRenderedPageBreak/>
        <w:t>inflows, while its billing and collection system replacement project (Platypus) has been delayed and rescoped to accommodate the integrated business but is expected to be completed in 2023</w:t>
      </w:r>
      <w:r w:rsidRPr="00D75E01">
        <w:noBreakHyphen/>
        <w:t>24.</w:t>
      </w:r>
    </w:p>
    <w:p w14:paraId="07D1F902" w14:textId="66B95CEF" w:rsidR="00D54552" w:rsidRPr="00AD3876" w:rsidRDefault="00AD3876" w:rsidP="00D54552">
      <w:r w:rsidRPr="00D75E01">
        <w:t>Of</w:t>
      </w:r>
      <w:r w:rsidR="00D54552" w:rsidRPr="00D75E01">
        <w:t xml:space="preserve"> the twelve Western Water major projects: </w:t>
      </w:r>
    </w:p>
    <w:p w14:paraId="1D4A69E4" w14:textId="1445878B" w:rsidR="00D54552" w:rsidRPr="00D75E01" w:rsidRDefault="00D54552" w:rsidP="00ED1290">
      <w:pPr>
        <w:pStyle w:val="ListBullet"/>
      </w:pPr>
      <w:r w:rsidRPr="00D75E01">
        <w:t xml:space="preserve">three have been </w:t>
      </w:r>
      <w:proofErr w:type="gramStart"/>
      <w:r w:rsidRPr="00D75E01">
        <w:t>completed</w:t>
      </w:r>
      <w:proofErr w:type="gramEnd"/>
    </w:p>
    <w:p w14:paraId="4ACD1C98" w14:textId="6A3E9A05" w:rsidR="00D54552" w:rsidRPr="00D75E01" w:rsidRDefault="00D54552" w:rsidP="00ED1290">
      <w:pPr>
        <w:pStyle w:val="ListBullet"/>
      </w:pPr>
      <w:r w:rsidRPr="00D75E01">
        <w:t>five have been delayed due to:</w:t>
      </w:r>
    </w:p>
    <w:p w14:paraId="39CEBD5C" w14:textId="4D8142A4" w:rsidR="00D54552" w:rsidRPr="00D75E01" w:rsidRDefault="00D54552" w:rsidP="004D5D57">
      <w:pPr>
        <w:pStyle w:val="ListBullet2"/>
      </w:pPr>
      <w:r w:rsidRPr="00D75E01">
        <w:t>changes in scope</w:t>
      </w:r>
    </w:p>
    <w:p w14:paraId="4B43552D" w14:textId="0EA6DF31" w:rsidR="00D54552" w:rsidRPr="00D75E01" w:rsidRDefault="00D54552" w:rsidP="004D5D57">
      <w:pPr>
        <w:pStyle w:val="ListBullet2"/>
      </w:pPr>
      <w:r w:rsidRPr="00D75E01">
        <w:t xml:space="preserve">alignment with other construction/upgrades, </w:t>
      </w:r>
    </w:p>
    <w:p w14:paraId="7127889F" w14:textId="01C5F328" w:rsidR="00D54552" w:rsidRPr="00D75E01" w:rsidRDefault="00D54552" w:rsidP="004D5D57">
      <w:pPr>
        <w:pStyle w:val="ListBullet2"/>
      </w:pPr>
      <w:r w:rsidRPr="00D75E01">
        <w:t>engagement requirements</w:t>
      </w:r>
    </w:p>
    <w:p w14:paraId="14B11D79" w14:textId="0BE5E11D" w:rsidR="00D54552" w:rsidRPr="00D75E01" w:rsidRDefault="00D54552" w:rsidP="004D5D57">
      <w:pPr>
        <w:pStyle w:val="ListBullet2"/>
      </w:pPr>
      <w:r w:rsidRPr="00D75E01">
        <w:t>extended procurement periods</w:t>
      </w:r>
    </w:p>
    <w:p w14:paraId="69C45909" w14:textId="657BEB71" w:rsidR="00D54552" w:rsidRPr="00D75E01" w:rsidRDefault="00D54552" w:rsidP="004D5D57">
      <w:pPr>
        <w:pStyle w:val="ListBullet2"/>
      </w:pPr>
      <w:r w:rsidRPr="00D75E01">
        <w:t>environmental approval requirements</w:t>
      </w:r>
    </w:p>
    <w:p w14:paraId="2C98A34F" w14:textId="62B16E05" w:rsidR="00D54552" w:rsidRPr="00D75E01" w:rsidRDefault="00D54552" w:rsidP="00ED1290">
      <w:pPr>
        <w:pStyle w:val="ListBullet"/>
      </w:pPr>
      <w:r w:rsidRPr="00D75E01">
        <w:t xml:space="preserve">one project has been cancelled and rescoped to deliver a larger package of </w:t>
      </w:r>
      <w:proofErr w:type="gramStart"/>
      <w:r w:rsidRPr="00D75E01">
        <w:t>upgrades</w:t>
      </w:r>
      <w:proofErr w:type="gramEnd"/>
    </w:p>
    <w:p w14:paraId="76BDDCE5" w14:textId="0611DB01" w:rsidR="00D54552" w:rsidRPr="00D75E01" w:rsidRDefault="00D54552" w:rsidP="00ED1290">
      <w:pPr>
        <w:pStyle w:val="ListBullet"/>
      </w:pPr>
      <w:r w:rsidRPr="00D75E01">
        <w:t xml:space="preserve">one project has been deferred due to lower than forecasted demand and wet weather impacts on </w:t>
      </w:r>
      <w:proofErr w:type="gramStart"/>
      <w:r w:rsidRPr="00D75E01">
        <w:t>inflows</w:t>
      </w:r>
      <w:proofErr w:type="gramEnd"/>
    </w:p>
    <w:p w14:paraId="6CD03D2B" w14:textId="2C29CFA7" w:rsidR="00D54552" w:rsidRPr="00D75E01" w:rsidRDefault="00D54552" w:rsidP="00ED1290">
      <w:pPr>
        <w:pStyle w:val="ListBullet"/>
      </w:pPr>
      <w:r w:rsidRPr="00D75E01">
        <w:t>one project is scheduled to be completed on time in 2023-24</w:t>
      </w:r>
    </w:p>
    <w:p w14:paraId="0BC77DC1" w14:textId="11A9C0D6" w:rsidR="00D54552" w:rsidRPr="00D75E01" w:rsidRDefault="00D54552" w:rsidP="00ED1290">
      <w:pPr>
        <w:pStyle w:val="ListBullet"/>
      </w:pPr>
      <w:r w:rsidRPr="00D75E01">
        <w:t>one project is an ongoing annual program of works.</w:t>
      </w:r>
    </w:p>
    <w:p w14:paraId="7F301493" w14:textId="36CDEA43" w:rsidR="00D54552" w:rsidRPr="00D75E01" w:rsidRDefault="00D54552" w:rsidP="00D54552">
      <w:r w:rsidRPr="00D75E01">
        <w:t>Our expenditure consultant reviewed the capital expenditure delivered in the current regulatory period and the reasoning for variances put forward by Greater Western Water. Our consultant considered that the increased level of expenditure compared to the benchmark is reasonable based on the information provided by Greater Western Water</w:t>
      </w:r>
      <w:r w:rsidRPr="005117F1">
        <w:t>.</w:t>
      </w:r>
      <w:r w:rsidR="005117F1" w:rsidRPr="005117F1">
        <w:rPr>
          <w:vertAlign w:val="superscript"/>
        </w:rPr>
        <w:footnoteReference w:id="64"/>
      </w:r>
    </w:p>
    <w:p w14:paraId="729245D5" w14:textId="0BBF57A3" w:rsidR="00D54552" w:rsidRPr="00D54552" w:rsidRDefault="00D54552" w:rsidP="00D54552">
      <w:r w:rsidRPr="00D75E01">
        <w:t>We have considered Greater Western Water’s price submission and our expenditure consultant’s view and consider the actual capital expenditure Greater Western Water has incurred from 2017</w:t>
      </w:r>
      <w:r w:rsidRPr="00D75E01">
        <w:noBreakHyphen/>
        <w:t>18 to 2022</w:t>
      </w:r>
      <w:r w:rsidRPr="00D75E01">
        <w:noBreakHyphen/>
        <w:t>23 is appropriate for the purpose of calculating its regulatory asset base (see Section</w:t>
      </w:r>
      <w:r w:rsidR="005117F1">
        <w:t> </w:t>
      </w:r>
      <w:r w:rsidRPr="00D75E01">
        <w:t>4.3.1).</w:t>
      </w:r>
    </w:p>
    <w:p w14:paraId="708DF516" w14:textId="3D974E8C" w:rsidR="00A63E0D" w:rsidRPr="00D54552" w:rsidRDefault="00A63E0D" w:rsidP="00D54552">
      <w:pPr>
        <w:keepNext/>
        <w:keepLines/>
        <w:spacing w:before="200" w:after="120"/>
        <w:outlineLvl w:val="2"/>
        <w:rPr>
          <w:rFonts w:ascii="Tahoma" w:eastAsiaTheme="majorEastAsia" w:hAnsi="Tahoma" w:cstheme="majorBidi"/>
          <w:b/>
          <w:color w:val="4986A0" w:themeColor="text2"/>
          <w:szCs w:val="24"/>
        </w:rPr>
      </w:pPr>
      <w:bookmarkStart w:id="85" w:name="_Toc121310448"/>
      <w:bookmarkStart w:id="86" w:name="_Toc121989562"/>
      <w:bookmarkStart w:id="87" w:name="_Toc150515693"/>
      <w:r w:rsidRPr="00D54552">
        <w:rPr>
          <w:rFonts w:ascii="Tahoma" w:eastAsiaTheme="majorEastAsia" w:hAnsi="Tahoma" w:cstheme="majorBidi"/>
          <w:b/>
          <w:color w:val="4986A0" w:themeColor="text2"/>
          <w:szCs w:val="24"/>
        </w:rPr>
        <w:t>4.2.2</w:t>
      </w:r>
      <w:r w:rsidRPr="00D54552">
        <w:rPr>
          <w:rFonts w:ascii="Tahoma" w:eastAsiaTheme="majorEastAsia" w:hAnsi="Tahoma" w:cstheme="majorBidi"/>
          <w:b/>
          <w:color w:val="4986A0" w:themeColor="text2"/>
          <w:szCs w:val="24"/>
        </w:rPr>
        <w:tab/>
        <w:t xml:space="preserve">Forecast </w:t>
      </w:r>
      <w:bookmarkEnd w:id="85"/>
      <w:bookmarkEnd w:id="86"/>
      <w:bookmarkEnd w:id="87"/>
      <w:r w:rsidR="000A7B95">
        <w:rPr>
          <w:rFonts w:ascii="Tahoma" w:eastAsiaTheme="majorEastAsia" w:hAnsi="Tahoma" w:cstheme="majorBidi"/>
          <w:b/>
          <w:color w:val="4986A0" w:themeColor="text2"/>
          <w:szCs w:val="24"/>
        </w:rPr>
        <w:t>c</w:t>
      </w:r>
      <w:r w:rsidRPr="00D54552">
        <w:rPr>
          <w:rFonts w:ascii="Tahoma" w:eastAsiaTheme="majorEastAsia" w:hAnsi="Tahoma" w:cstheme="majorBidi"/>
          <w:b/>
          <w:color w:val="4986A0" w:themeColor="text2"/>
          <w:szCs w:val="24"/>
        </w:rPr>
        <w:t xml:space="preserve">apital </w:t>
      </w:r>
      <w:r w:rsidR="000A7B95">
        <w:rPr>
          <w:rFonts w:ascii="Tahoma" w:eastAsiaTheme="majorEastAsia" w:hAnsi="Tahoma" w:cstheme="majorBidi"/>
          <w:b/>
          <w:color w:val="4986A0" w:themeColor="text2"/>
          <w:szCs w:val="24"/>
        </w:rPr>
        <w:t>e</w:t>
      </w:r>
      <w:r w:rsidRPr="00D54552">
        <w:rPr>
          <w:rFonts w:ascii="Tahoma" w:eastAsiaTheme="majorEastAsia" w:hAnsi="Tahoma" w:cstheme="majorBidi"/>
          <w:b/>
          <w:color w:val="4986A0" w:themeColor="text2"/>
          <w:szCs w:val="24"/>
        </w:rPr>
        <w:t>xpenditure</w:t>
      </w:r>
    </w:p>
    <w:p w14:paraId="11003ED0" w14:textId="510B12F0" w:rsidR="00D54552" w:rsidRPr="00D75E01" w:rsidRDefault="00D54552" w:rsidP="00D54552">
      <w:r w:rsidRPr="00D75E01">
        <w:t>We have reviewed Greater Western Water’s proposed forecast capital expenditure and our draft decision is to adopt a forecast capital expenditure of $1,561.0</w:t>
      </w:r>
      <w:r w:rsidR="007D433F" w:rsidRPr="00D75E01">
        <w:t> </w:t>
      </w:r>
      <w:r w:rsidRPr="00D75E01">
        <w:t>million, which is $160.4</w:t>
      </w:r>
      <w:r w:rsidR="007D433F" w:rsidRPr="00D75E01">
        <w:t> </w:t>
      </w:r>
      <w:r w:rsidRPr="00D75E01">
        <w:t>million (or 9.3 per cent) lower than that proposed by Greater Western Water.</w:t>
      </w:r>
    </w:p>
    <w:p w14:paraId="517661BE" w14:textId="3E7460A6" w:rsidR="00D54552" w:rsidRPr="00D54552" w:rsidRDefault="00D54552" w:rsidP="00D54552">
      <w:pPr>
        <w:keepNext/>
        <w:spacing w:before="0" w:after="0" w:line="240" w:lineRule="auto"/>
        <w:ind w:left="1440" w:hanging="1440"/>
        <w:rPr>
          <w:rFonts w:asciiTheme="majorHAnsi" w:eastAsiaTheme="majorEastAsia" w:hAnsiTheme="majorHAnsi" w:cstheme="majorBidi"/>
          <w:b/>
          <w:color w:val="4986A0" w:themeColor="text2"/>
          <w:szCs w:val="24"/>
          <w:lang w:val="en-US"/>
        </w:rPr>
      </w:pPr>
      <w:r w:rsidRPr="00D75E01">
        <w:rPr>
          <w:rFonts w:asciiTheme="majorHAnsi" w:eastAsiaTheme="majorEastAsia" w:hAnsiTheme="majorHAnsi" w:cstheme="majorBidi"/>
          <w:b/>
          <w:color w:val="4986A0" w:themeColor="text2"/>
          <w:szCs w:val="24"/>
          <w:lang w:val="en-US"/>
        </w:rPr>
        <w:lastRenderedPageBreak/>
        <w:t>Table 4.</w:t>
      </w:r>
      <w:r w:rsidR="00557FE0" w:rsidRPr="00D75E01">
        <w:rPr>
          <w:rFonts w:asciiTheme="majorHAnsi" w:eastAsiaTheme="majorEastAsia" w:hAnsiTheme="majorHAnsi" w:cstheme="majorBidi"/>
          <w:b/>
          <w:color w:val="4986A0" w:themeColor="text2"/>
          <w:szCs w:val="24"/>
          <w:lang w:val="en-US"/>
        </w:rPr>
        <w:t>7</w:t>
      </w:r>
      <w:r w:rsidRPr="00D54552">
        <w:rPr>
          <w:rFonts w:asciiTheme="majorHAnsi" w:eastAsiaTheme="majorEastAsia" w:hAnsiTheme="majorHAnsi" w:cstheme="majorBidi"/>
          <w:b/>
          <w:color w:val="4986A0" w:themeColor="text2"/>
          <w:szCs w:val="24"/>
          <w:lang w:val="en-US"/>
        </w:rPr>
        <w:t xml:space="preserve"> </w:t>
      </w:r>
      <w:r w:rsidRPr="00D54552">
        <w:rPr>
          <w:rFonts w:asciiTheme="majorHAnsi" w:eastAsiaTheme="majorEastAsia" w:hAnsiTheme="majorHAnsi" w:cstheme="majorBidi"/>
          <w:b/>
          <w:color w:val="4986A0" w:themeColor="text2"/>
          <w:szCs w:val="24"/>
          <w:lang w:val="en-US"/>
        </w:rPr>
        <w:tab/>
        <w:t xml:space="preserve">Our proposed adjustments to Greater Western Water’s proposed total forecast capital </w:t>
      </w:r>
      <w:proofErr w:type="gramStart"/>
      <w:r w:rsidRPr="00D54552">
        <w:rPr>
          <w:rFonts w:asciiTheme="majorHAnsi" w:eastAsiaTheme="majorEastAsia" w:hAnsiTheme="majorHAnsi" w:cstheme="majorBidi"/>
          <w:b/>
          <w:color w:val="4986A0" w:themeColor="text2"/>
          <w:szCs w:val="24"/>
          <w:lang w:val="en-US"/>
        </w:rPr>
        <w:t>expenditure</w:t>
      </w:r>
      <w:proofErr w:type="gramEnd"/>
    </w:p>
    <w:p w14:paraId="54BE1089" w14:textId="080727A9" w:rsidR="00D54552" w:rsidRPr="00D54552" w:rsidRDefault="00D54552" w:rsidP="0062043C">
      <w:pPr>
        <w:keepNext/>
        <w:spacing w:before="0" w:after="120" w:line="240" w:lineRule="auto"/>
        <w:ind w:left="851" w:firstLine="590"/>
        <w:rPr>
          <w:rFonts w:asciiTheme="majorHAnsi" w:eastAsiaTheme="majorEastAsia" w:hAnsiTheme="majorHAnsi" w:cstheme="majorBidi"/>
          <w:color w:val="4986A0" w:themeColor="text2"/>
          <w:szCs w:val="24"/>
          <w:lang w:val="en-US"/>
        </w:rPr>
      </w:pPr>
      <w:r w:rsidRPr="00D54552">
        <w:rPr>
          <w:rFonts w:asciiTheme="majorHAnsi" w:eastAsiaTheme="majorEastAsia" w:hAnsiTheme="majorHAnsi" w:cstheme="majorBidi"/>
          <w:color w:val="4986A0" w:themeColor="text2"/>
          <w:szCs w:val="24"/>
          <w:lang w:val="en-US"/>
        </w:rPr>
        <w:t>$ million 2023-24</w:t>
      </w:r>
    </w:p>
    <w:tbl>
      <w:tblPr>
        <w:tblStyle w:val="TableGrid"/>
        <w:tblW w:w="5000" w:type="pct"/>
        <w:tblLook w:val="04A0" w:firstRow="1" w:lastRow="0" w:firstColumn="1" w:lastColumn="0" w:noHBand="0" w:noVBand="1"/>
      </w:tblPr>
      <w:tblGrid>
        <w:gridCol w:w="3048"/>
        <w:gridCol w:w="1275"/>
        <w:gridCol w:w="1063"/>
        <w:gridCol w:w="1066"/>
        <w:gridCol w:w="1066"/>
        <w:gridCol w:w="1066"/>
        <w:gridCol w:w="1054"/>
      </w:tblGrid>
      <w:tr w:rsidR="00D54552" w:rsidRPr="00D54552" w14:paraId="12843DE0" w14:textId="77777777">
        <w:trPr>
          <w:cnfStyle w:val="100000000000" w:firstRow="1" w:lastRow="0" w:firstColumn="0" w:lastColumn="0" w:oddVBand="0" w:evenVBand="0" w:oddHBand="0" w:evenHBand="0" w:firstRowFirstColumn="0" w:firstRowLastColumn="0" w:lastRowFirstColumn="0" w:lastRowLastColumn="0"/>
        </w:trPr>
        <w:tc>
          <w:tcPr>
            <w:tcW w:w="1600" w:type="pct"/>
          </w:tcPr>
          <w:p w14:paraId="1A8D3BE0" w14:textId="77777777" w:rsidR="00D54552" w:rsidRPr="00D54552" w:rsidRDefault="00D54552" w:rsidP="0062043C">
            <w:pPr>
              <w:keepNext/>
            </w:pPr>
          </w:p>
        </w:tc>
        <w:tc>
          <w:tcPr>
            <w:tcW w:w="680" w:type="pct"/>
          </w:tcPr>
          <w:p w14:paraId="373ECDA0" w14:textId="77777777" w:rsidR="00D54552" w:rsidRPr="00D54552" w:rsidRDefault="00D54552" w:rsidP="0062043C">
            <w:pPr>
              <w:keepNext/>
              <w:ind w:right="113"/>
              <w:jc w:val="right"/>
            </w:pPr>
            <w:r w:rsidRPr="00D54552">
              <w:t>2023</w:t>
            </w:r>
            <w:r w:rsidRPr="00D54552">
              <w:noBreakHyphen/>
              <w:t>24</w:t>
            </w:r>
          </w:p>
        </w:tc>
        <w:tc>
          <w:tcPr>
            <w:tcW w:w="442" w:type="pct"/>
          </w:tcPr>
          <w:p w14:paraId="7F635760" w14:textId="77777777" w:rsidR="00D54552" w:rsidRPr="00D54552" w:rsidRDefault="00D54552" w:rsidP="0062043C">
            <w:pPr>
              <w:keepNext/>
              <w:ind w:right="113"/>
              <w:jc w:val="right"/>
            </w:pPr>
            <w:r w:rsidRPr="00D54552">
              <w:t>2024</w:t>
            </w:r>
            <w:r w:rsidRPr="00D54552">
              <w:noBreakHyphen/>
              <w:t>25</w:t>
            </w:r>
          </w:p>
        </w:tc>
        <w:tc>
          <w:tcPr>
            <w:tcW w:w="571" w:type="pct"/>
          </w:tcPr>
          <w:p w14:paraId="211BFF6E" w14:textId="77777777" w:rsidR="00D54552" w:rsidRPr="00D54552" w:rsidRDefault="00D54552" w:rsidP="0062043C">
            <w:pPr>
              <w:keepNext/>
              <w:ind w:right="113"/>
              <w:jc w:val="right"/>
            </w:pPr>
            <w:r w:rsidRPr="00D54552">
              <w:t>2025</w:t>
            </w:r>
            <w:r w:rsidRPr="00D54552">
              <w:noBreakHyphen/>
              <w:t>26</w:t>
            </w:r>
          </w:p>
        </w:tc>
        <w:tc>
          <w:tcPr>
            <w:tcW w:w="571" w:type="pct"/>
          </w:tcPr>
          <w:p w14:paraId="4A22D4AF" w14:textId="77777777" w:rsidR="00D54552" w:rsidRPr="00D54552" w:rsidRDefault="00D54552" w:rsidP="0062043C">
            <w:pPr>
              <w:keepNext/>
              <w:ind w:right="113"/>
              <w:jc w:val="right"/>
            </w:pPr>
            <w:r w:rsidRPr="00D54552">
              <w:t>2026</w:t>
            </w:r>
            <w:r w:rsidRPr="00D54552">
              <w:noBreakHyphen/>
              <w:t>27</w:t>
            </w:r>
          </w:p>
        </w:tc>
        <w:tc>
          <w:tcPr>
            <w:tcW w:w="571" w:type="pct"/>
          </w:tcPr>
          <w:p w14:paraId="3546207B" w14:textId="77777777" w:rsidR="00D54552" w:rsidRPr="00D54552" w:rsidRDefault="00D54552" w:rsidP="0062043C">
            <w:pPr>
              <w:keepNext/>
              <w:ind w:right="113"/>
              <w:jc w:val="right"/>
            </w:pPr>
            <w:r w:rsidRPr="00D54552">
              <w:t>2027</w:t>
            </w:r>
            <w:r w:rsidRPr="00D54552">
              <w:noBreakHyphen/>
              <w:t>28</w:t>
            </w:r>
          </w:p>
        </w:tc>
        <w:tc>
          <w:tcPr>
            <w:tcW w:w="565" w:type="pct"/>
          </w:tcPr>
          <w:p w14:paraId="5E58DF88" w14:textId="77777777" w:rsidR="00D54552" w:rsidRPr="00D54552" w:rsidRDefault="00D54552" w:rsidP="0062043C">
            <w:pPr>
              <w:keepNext/>
              <w:ind w:right="113"/>
              <w:jc w:val="right"/>
            </w:pPr>
            <w:r w:rsidRPr="00D54552">
              <w:t>Total</w:t>
            </w:r>
          </w:p>
        </w:tc>
      </w:tr>
      <w:tr w:rsidR="00D54552" w:rsidRPr="00D54552" w14:paraId="2D9A30F5" w14:textId="77777777">
        <w:trPr>
          <w:cnfStyle w:val="000000100000" w:firstRow="0" w:lastRow="0" w:firstColumn="0" w:lastColumn="0" w:oddVBand="0" w:evenVBand="0" w:oddHBand="1" w:evenHBand="0" w:firstRowFirstColumn="0" w:firstRowLastColumn="0" w:lastRowFirstColumn="0" w:lastRowLastColumn="0"/>
        </w:trPr>
        <w:tc>
          <w:tcPr>
            <w:tcW w:w="1600" w:type="pct"/>
          </w:tcPr>
          <w:p w14:paraId="76466934" w14:textId="77777777" w:rsidR="00D54552" w:rsidRPr="00D54552" w:rsidRDefault="00D54552" w:rsidP="00D54552">
            <w:pPr>
              <w:spacing w:before="0" w:line="240" w:lineRule="auto"/>
              <w:rPr>
                <w:b/>
                <w:lang w:val="en-US"/>
              </w:rPr>
            </w:pPr>
            <w:r w:rsidRPr="00D54552">
              <w:rPr>
                <w:b/>
                <w:lang w:val="en-US"/>
              </w:rPr>
              <w:t>Greater Western Water’s –</w:t>
            </w:r>
          </w:p>
          <w:p w14:paraId="063EDDE4" w14:textId="77777777" w:rsidR="00D54552" w:rsidRPr="00D54552" w:rsidRDefault="00D54552" w:rsidP="00D54552">
            <w:pPr>
              <w:spacing w:before="0" w:line="240" w:lineRule="auto"/>
              <w:rPr>
                <w:b/>
                <w:lang w:val="en-US"/>
              </w:rPr>
            </w:pPr>
            <w:r w:rsidRPr="00D54552">
              <w:rPr>
                <w:b/>
                <w:lang w:val="en-US"/>
              </w:rPr>
              <w:t xml:space="preserve">proposed </w:t>
            </w:r>
            <w:proofErr w:type="gramStart"/>
            <w:r w:rsidRPr="00D54552">
              <w:rPr>
                <w:b/>
                <w:lang w:val="en-US"/>
              </w:rPr>
              <w:t>total</w:t>
            </w:r>
            <w:proofErr w:type="gramEnd"/>
          </w:p>
          <w:p w14:paraId="34D319D1" w14:textId="77777777" w:rsidR="00D54552" w:rsidRPr="00D54552" w:rsidRDefault="00D54552" w:rsidP="00D54552">
            <w:pPr>
              <w:spacing w:before="0" w:line="240" w:lineRule="auto"/>
              <w:rPr>
                <w:b/>
                <w:lang w:val="en-US"/>
              </w:rPr>
            </w:pPr>
            <w:r w:rsidRPr="00D54552">
              <w:rPr>
                <w:b/>
                <w:lang w:val="en-US"/>
              </w:rPr>
              <w:t xml:space="preserve">forecast </w:t>
            </w:r>
            <w:proofErr w:type="gramStart"/>
            <w:r w:rsidRPr="00D54552">
              <w:rPr>
                <w:b/>
                <w:lang w:val="en-US"/>
              </w:rPr>
              <w:t>capital</w:t>
            </w:r>
            <w:proofErr w:type="gramEnd"/>
          </w:p>
          <w:p w14:paraId="2192444A" w14:textId="77777777" w:rsidR="00D54552" w:rsidRPr="00D54552" w:rsidRDefault="00D54552" w:rsidP="00D54552">
            <w:pPr>
              <w:spacing w:before="0" w:line="240" w:lineRule="auto"/>
              <w:rPr>
                <w:b/>
                <w:lang w:val="en-US"/>
              </w:rPr>
            </w:pPr>
            <w:r w:rsidRPr="00D54552">
              <w:rPr>
                <w:b/>
                <w:lang w:val="en-US"/>
              </w:rPr>
              <w:t>expenditure</w:t>
            </w:r>
          </w:p>
        </w:tc>
        <w:tc>
          <w:tcPr>
            <w:tcW w:w="680" w:type="pct"/>
          </w:tcPr>
          <w:p w14:paraId="03528ACD" w14:textId="77777777" w:rsidR="00D54552" w:rsidRPr="00D75E01" w:rsidRDefault="00D54552" w:rsidP="00D54552">
            <w:pPr>
              <w:spacing w:before="0" w:line="240" w:lineRule="auto"/>
              <w:jc w:val="right"/>
              <w:rPr>
                <w:b/>
                <w:lang w:val="en-US"/>
              </w:rPr>
            </w:pPr>
            <w:r w:rsidRPr="00D75E01">
              <w:rPr>
                <w:b/>
                <w:lang w:val="en-US"/>
              </w:rPr>
              <w:t xml:space="preserve"> 334.35 </w:t>
            </w:r>
          </w:p>
        </w:tc>
        <w:tc>
          <w:tcPr>
            <w:tcW w:w="442" w:type="pct"/>
          </w:tcPr>
          <w:p w14:paraId="10A38BA1" w14:textId="77777777" w:rsidR="00D54552" w:rsidRPr="00D75E01" w:rsidRDefault="00D54552" w:rsidP="00D54552">
            <w:pPr>
              <w:spacing w:before="0" w:line="240" w:lineRule="auto"/>
              <w:jc w:val="right"/>
              <w:rPr>
                <w:b/>
                <w:lang w:val="en-US"/>
              </w:rPr>
            </w:pPr>
            <w:r w:rsidRPr="00D75E01">
              <w:rPr>
                <w:b/>
                <w:lang w:val="en-US"/>
              </w:rPr>
              <w:t xml:space="preserve"> 370.86 </w:t>
            </w:r>
          </w:p>
        </w:tc>
        <w:tc>
          <w:tcPr>
            <w:tcW w:w="571" w:type="pct"/>
          </w:tcPr>
          <w:p w14:paraId="6D3058F5" w14:textId="77777777" w:rsidR="00D54552" w:rsidRPr="00D75E01" w:rsidRDefault="00D54552" w:rsidP="00D54552">
            <w:pPr>
              <w:spacing w:before="0" w:line="240" w:lineRule="auto"/>
              <w:jc w:val="right"/>
              <w:rPr>
                <w:b/>
                <w:lang w:val="en-US"/>
              </w:rPr>
            </w:pPr>
            <w:r w:rsidRPr="00D75E01">
              <w:rPr>
                <w:b/>
                <w:lang w:val="en-US"/>
              </w:rPr>
              <w:t xml:space="preserve"> 348.77 </w:t>
            </w:r>
          </w:p>
        </w:tc>
        <w:tc>
          <w:tcPr>
            <w:tcW w:w="571" w:type="pct"/>
          </w:tcPr>
          <w:p w14:paraId="72D1AC0E" w14:textId="77777777" w:rsidR="00D54552" w:rsidRPr="00D75E01" w:rsidRDefault="00D54552" w:rsidP="00D54552">
            <w:pPr>
              <w:spacing w:before="0" w:line="240" w:lineRule="auto"/>
              <w:jc w:val="right"/>
              <w:rPr>
                <w:b/>
                <w:lang w:val="en-US"/>
              </w:rPr>
            </w:pPr>
            <w:r w:rsidRPr="00D75E01">
              <w:rPr>
                <w:b/>
                <w:lang w:val="en-US"/>
              </w:rPr>
              <w:t xml:space="preserve"> 357.92 </w:t>
            </w:r>
          </w:p>
        </w:tc>
        <w:tc>
          <w:tcPr>
            <w:tcW w:w="571" w:type="pct"/>
          </w:tcPr>
          <w:p w14:paraId="70C29B6E" w14:textId="77777777" w:rsidR="00D54552" w:rsidRPr="00D75E01" w:rsidRDefault="00D54552" w:rsidP="00D54552">
            <w:pPr>
              <w:spacing w:before="0" w:line="240" w:lineRule="auto"/>
              <w:jc w:val="right"/>
              <w:rPr>
                <w:b/>
                <w:lang w:val="en-US"/>
              </w:rPr>
            </w:pPr>
            <w:r w:rsidRPr="00D75E01">
              <w:rPr>
                <w:b/>
                <w:lang w:val="en-US"/>
              </w:rPr>
              <w:t xml:space="preserve"> 309.52 </w:t>
            </w:r>
          </w:p>
        </w:tc>
        <w:tc>
          <w:tcPr>
            <w:tcW w:w="565" w:type="pct"/>
          </w:tcPr>
          <w:p w14:paraId="74D1BF06" w14:textId="77777777" w:rsidR="00D54552" w:rsidRPr="00D75E01" w:rsidRDefault="00D54552" w:rsidP="00D54552">
            <w:pPr>
              <w:spacing w:before="0" w:line="240" w:lineRule="auto"/>
              <w:jc w:val="right"/>
              <w:rPr>
                <w:b/>
                <w:lang w:val="en-US"/>
              </w:rPr>
            </w:pPr>
            <w:r w:rsidRPr="00D75E01">
              <w:rPr>
                <w:b/>
                <w:lang w:val="en-US"/>
              </w:rPr>
              <w:t>1,721.42</w:t>
            </w:r>
          </w:p>
        </w:tc>
      </w:tr>
      <w:tr w:rsidR="00D54552" w:rsidRPr="00D54552" w14:paraId="6FD2A5E3" w14:textId="77777777">
        <w:trPr>
          <w:cnfStyle w:val="000000010000" w:firstRow="0" w:lastRow="0" w:firstColumn="0" w:lastColumn="0" w:oddVBand="0" w:evenVBand="0" w:oddHBand="0" w:evenHBand="1" w:firstRowFirstColumn="0" w:firstRowLastColumn="0" w:lastRowFirstColumn="0" w:lastRowLastColumn="0"/>
        </w:trPr>
        <w:tc>
          <w:tcPr>
            <w:tcW w:w="1600" w:type="pct"/>
          </w:tcPr>
          <w:p w14:paraId="0F54F083" w14:textId="77777777" w:rsidR="00D54552" w:rsidRPr="00D54552" w:rsidRDefault="00D54552" w:rsidP="00D54552">
            <w:pPr>
              <w:spacing w:before="0" w:line="240" w:lineRule="auto"/>
              <w:rPr>
                <w:lang w:val="en-US"/>
              </w:rPr>
            </w:pPr>
            <w:r w:rsidRPr="00D54552">
              <w:rPr>
                <w:lang w:val="en-US"/>
              </w:rPr>
              <w:t>Adjustments – Water Main Renewal Program</w:t>
            </w:r>
          </w:p>
        </w:tc>
        <w:tc>
          <w:tcPr>
            <w:tcW w:w="680" w:type="pct"/>
          </w:tcPr>
          <w:p w14:paraId="489B8C55" w14:textId="77777777" w:rsidR="00D54552" w:rsidRPr="00D75E01" w:rsidRDefault="00D54552" w:rsidP="00D54552">
            <w:pPr>
              <w:spacing w:before="0" w:line="240" w:lineRule="auto"/>
              <w:jc w:val="right"/>
              <w:rPr>
                <w:lang w:val="en-US"/>
              </w:rPr>
            </w:pPr>
            <w:r w:rsidRPr="00D75E01">
              <w:rPr>
                <w:lang w:val="en-US"/>
              </w:rPr>
              <w:t>-15.88</w:t>
            </w:r>
          </w:p>
        </w:tc>
        <w:tc>
          <w:tcPr>
            <w:tcW w:w="442" w:type="pct"/>
          </w:tcPr>
          <w:p w14:paraId="1263824E" w14:textId="77777777" w:rsidR="00D54552" w:rsidRPr="00D75E01" w:rsidRDefault="00D54552" w:rsidP="00D54552">
            <w:pPr>
              <w:spacing w:before="0" w:line="240" w:lineRule="auto"/>
              <w:jc w:val="right"/>
              <w:rPr>
                <w:lang w:val="en-US"/>
              </w:rPr>
            </w:pPr>
            <w:r w:rsidRPr="00D75E01">
              <w:rPr>
                <w:lang w:val="en-US"/>
              </w:rPr>
              <w:t>-15.88</w:t>
            </w:r>
          </w:p>
        </w:tc>
        <w:tc>
          <w:tcPr>
            <w:tcW w:w="571" w:type="pct"/>
          </w:tcPr>
          <w:p w14:paraId="0E8AB39F" w14:textId="77777777" w:rsidR="00D54552" w:rsidRPr="00D75E01" w:rsidRDefault="00D54552" w:rsidP="00D54552">
            <w:pPr>
              <w:spacing w:before="0" w:line="240" w:lineRule="auto"/>
              <w:jc w:val="right"/>
              <w:rPr>
                <w:lang w:val="en-US"/>
              </w:rPr>
            </w:pPr>
            <w:r w:rsidRPr="00D75E01">
              <w:rPr>
                <w:lang w:val="en-US"/>
              </w:rPr>
              <w:t>-15.88</w:t>
            </w:r>
          </w:p>
        </w:tc>
        <w:tc>
          <w:tcPr>
            <w:tcW w:w="571" w:type="pct"/>
          </w:tcPr>
          <w:p w14:paraId="7A198099" w14:textId="77777777" w:rsidR="00D54552" w:rsidRPr="00D75E01" w:rsidRDefault="00D54552" w:rsidP="00D54552">
            <w:pPr>
              <w:spacing w:before="0" w:line="240" w:lineRule="auto"/>
              <w:jc w:val="right"/>
              <w:rPr>
                <w:lang w:val="en-US"/>
              </w:rPr>
            </w:pPr>
            <w:r w:rsidRPr="00D75E01">
              <w:rPr>
                <w:lang w:val="en-US"/>
              </w:rPr>
              <w:t>-15.88</w:t>
            </w:r>
          </w:p>
        </w:tc>
        <w:tc>
          <w:tcPr>
            <w:tcW w:w="571" w:type="pct"/>
          </w:tcPr>
          <w:p w14:paraId="3F67635F" w14:textId="77777777" w:rsidR="00D54552" w:rsidRPr="00D75E01" w:rsidRDefault="00D54552" w:rsidP="00D54552">
            <w:pPr>
              <w:spacing w:before="0" w:line="240" w:lineRule="auto"/>
              <w:jc w:val="right"/>
              <w:rPr>
                <w:lang w:val="en-US"/>
              </w:rPr>
            </w:pPr>
            <w:r w:rsidRPr="00D75E01">
              <w:rPr>
                <w:lang w:val="en-US"/>
              </w:rPr>
              <w:t>-15.91</w:t>
            </w:r>
          </w:p>
        </w:tc>
        <w:tc>
          <w:tcPr>
            <w:tcW w:w="565" w:type="pct"/>
          </w:tcPr>
          <w:p w14:paraId="7C5BFBAA" w14:textId="77777777" w:rsidR="00D54552" w:rsidRPr="00D75E01" w:rsidRDefault="00D54552" w:rsidP="00D54552">
            <w:pPr>
              <w:spacing w:before="0" w:line="240" w:lineRule="auto"/>
              <w:jc w:val="right"/>
              <w:rPr>
                <w:lang w:val="en-US"/>
              </w:rPr>
            </w:pPr>
            <w:r w:rsidRPr="00D75E01">
              <w:rPr>
                <w:lang w:val="en-US"/>
              </w:rPr>
              <w:t>-79.43</w:t>
            </w:r>
          </w:p>
        </w:tc>
      </w:tr>
      <w:tr w:rsidR="00D54552" w:rsidRPr="00D54552" w14:paraId="7A562667" w14:textId="77777777">
        <w:trPr>
          <w:cnfStyle w:val="000000100000" w:firstRow="0" w:lastRow="0" w:firstColumn="0" w:lastColumn="0" w:oddVBand="0" w:evenVBand="0" w:oddHBand="1" w:evenHBand="0" w:firstRowFirstColumn="0" w:firstRowLastColumn="0" w:lastRowFirstColumn="0" w:lastRowLastColumn="0"/>
        </w:trPr>
        <w:tc>
          <w:tcPr>
            <w:tcW w:w="1600" w:type="pct"/>
          </w:tcPr>
          <w:p w14:paraId="7F32DC7D" w14:textId="77777777" w:rsidR="00D54552" w:rsidRPr="00D54552" w:rsidRDefault="00D54552" w:rsidP="00D54552">
            <w:pPr>
              <w:spacing w:before="0" w:line="240" w:lineRule="auto"/>
              <w:rPr>
                <w:lang w:val="en-US"/>
              </w:rPr>
            </w:pPr>
            <w:r w:rsidRPr="00D54552">
              <w:rPr>
                <w:lang w:val="en-US"/>
              </w:rPr>
              <w:t>Adjustments – Storm Water Harvesting Fund</w:t>
            </w:r>
          </w:p>
        </w:tc>
        <w:tc>
          <w:tcPr>
            <w:tcW w:w="680" w:type="pct"/>
          </w:tcPr>
          <w:p w14:paraId="5D419E52" w14:textId="7C94420A" w:rsidR="00D54552" w:rsidRPr="00D75E01" w:rsidRDefault="00D54552" w:rsidP="00D54552">
            <w:pPr>
              <w:spacing w:before="0" w:line="240" w:lineRule="auto"/>
              <w:jc w:val="right"/>
              <w:rPr>
                <w:lang w:val="en-US"/>
              </w:rPr>
            </w:pPr>
            <w:r w:rsidRPr="00D75E01">
              <w:rPr>
                <w:lang w:val="en-US"/>
              </w:rPr>
              <w:t>-0.2</w:t>
            </w:r>
            <w:r w:rsidR="00E77A84" w:rsidRPr="00D75E01">
              <w:rPr>
                <w:lang w:val="en-US"/>
              </w:rPr>
              <w:t>1</w:t>
            </w:r>
          </w:p>
        </w:tc>
        <w:tc>
          <w:tcPr>
            <w:tcW w:w="442" w:type="pct"/>
          </w:tcPr>
          <w:p w14:paraId="396393D2" w14:textId="77777777" w:rsidR="00D54552" w:rsidRPr="00D75E01" w:rsidRDefault="00D54552" w:rsidP="00D54552">
            <w:pPr>
              <w:spacing w:before="0" w:line="240" w:lineRule="auto"/>
              <w:jc w:val="right"/>
              <w:rPr>
                <w:lang w:val="en-US"/>
              </w:rPr>
            </w:pPr>
            <w:r w:rsidRPr="00D75E01">
              <w:rPr>
                <w:lang w:val="en-US"/>
              </w:rPr>
              <w:t>-0.86</w:t>
            </w:r>
          </w:p>
        </w:tc>
        <w:tc>
          <w:tcPr>
            <w:tcW w:w="571" w:type="pct"/>
          </w:tcPr>
          <w:p w14:paraId="3C2AA593" w14:textId="77777777" w:rsidR="00D54552" w:rsidRPr="00D75E01" w:rsidRDefault="00D54552" w:rsidP="00D54552">
            <w:pPr>
              <w:spacing w:before="0" w:line="240" w:lineRule="auto"/>
              <w:jc w:val="right"/>
              <w:rPr>
                <w:lang w:val="en-US"/>
              </w:rPr>
            </w:pPr>
            <w:r w:rsidRPr="00D75E01">
              <w:rPr>
                <w:lang w:val="en-US"/>
              </w:rPr>
              <w:t>-4.28</w:t>
            </w:r>
          </w:p>
        </w:tc>
        <w:tc>
          <w:tcPr>
            <w:tcW w:w="571" w:type="pct"/>
          </w:tcPr>
          <w:p w14:paraId="4B1EBA6A" w14:textId="77777777" w:rsidR="00D54552" w:rsidRPr="00D75E01" w:rsidRDefault="00D54552" w:rsidP="00D54552">
            <w:pPr>
              <w:spacing w:before="0" w:line="240" w:lineRule="auto"/>
              <w:jc w:val="right"/>
              <w:rPr>
                <w:lang w:val="en-US"/>
              </w:rPr>
            </w:pPr>
            <w:r w:rsidRPr="00D75E01">
              <w:rPr>
                <w:lang w:val="en-US"/>
              </w:rPr>
              <w:t>-4.28</w:t>
            </w:r>
          </w:p>
        </w:tc>
        <w:tc>
          <w:tcPr>
            <w:tcW w:w="571" w:type="pct"/>
          </w:tcPr>
          <w:p w14:paraId="74E24F51" w14:textId="77777777" w:rsidR="00D54552" w:rsidRPr="00D75E01" w:rsidRDefault="00D54552" w:rsidP="00D54552">
            <w:pPr>
              <w:spacing w:before="0" w:line="240" w:lineRule="auto"/>
              <w:jc w:val="right"/>
              <w:rPr>
                <w:lang w:val="en-US"/>
              </w:rPr>
            </w:pPr>
            <w:r w:rsidRPr="00D75E01">
              <w:rPr>
                <w:lang w:val="en-US"/>
              </w:rPr>
              <w:t>-3.21</w:t>
            </w:r>
          </w:p>
        </w:tc>
        <w:tc>
          <w:tcPr>
            <w:tcW w:w="565" w:type="pct"/>
          </w:tcPr>
          <w:p w14:paraId="2909DC53" w14:textId="77777777" w:rsidR="00D54552" w:rsidRPr="00D75E01" w:rsidRDefault="00D54552" w:rsidP="00D54552">
            <w:pPr>
              <w:spacing w:before="0" w:line="240" w:lineRule="auto"/>
              <w:jc w:val="right"/>
              <w:rPr>
                <w:lang w:val="en-US"/>
              </w:rPr>
            </w:pPr>
            <w:r w:rsidRPr="00D75E01">
              <w:rPr>
                <w:lang w:val="en-US"/>
              </w:rPr>
              <w:t>-12.84</w:t>
            </w:r>
          </w:p>
        </w:tc>
      </w:tr>
      <w:tr w:rsidR="00D54552" w:rsidRPr="00D54552" w14:paraId="4DCDD387" w14:textId="77777777">
        <w:trPr>
          <w:cnfStyle w:val="000000010000" w:firstRow="0" w:lastRow="0" w:firstColumn="0" w:lastColumn="0" w:oddVBand="0" w:evenVBand="0" w:oddHBand="0" w:evenHBand="1" w:firstRowFirstColumn="0" w:firstRowLastColumn="0" w:lastRowFirstColumn="0" w:lastRowLastColumn="0"/>
        </w:trPr>
        <w:tc>
          <w:tcPr>
            <w:tcW w:w="1600" w:type="pct"/>
          </w:tcPr>
          <w:p w14:paraId="560C3DD8" w14:textId="77777777" w:rsidR="00D54552" w:rsidRPr="00D54552" w:rsidRDefault="00D54552" w:rsidP="00D54552">
            <w:pPr>
              <w:spacing w:before="0" w:line="240" w:lineRule="auto"/>
              <w:rPr>
                <w:lang w:val="en-US"/>
              </w:rPr>
            </w:pPr>
            <w:r w:rsidRPr="00D54552">
              <w:rPr>
                <w:lang w:val="en-US"/>
              </w:rPr>
              <w:t>Adjustments – Asset Ecosystem – Asset Foundations</w:t>
            </w:r>
          </w:p>
        </w:tc>
        <w:tc>
          <w:tcPr>
            <w:tcW w:w="680" w:type="pct"/>
          </w:tcPr>
          <w:p w14:paraId="2EAD6E32" w14:textId="382A7A6C" w:rsidR="00D54552" w:rsidRPr="00D75E01" w:rsidRDefault="00D54552" w:rsidP="00D54552">
            <w:pPr>
              <w:spacing w:before="0" w:line="240" w:lineRule="auto"/>
              <w:jc w:val="right"/>
              <w:rPr>
                <w:lang w:val="en-US"/>
              </w:rPr>
            </w:pPr>
            <w:r w:rsidRPr="00D75E01">
              <w:rPr>
                <w:lang w:val="en-US"/>
              </w:rPr>
              <w:t>-12.1</w:t>
            </w:r>
            <w:r w:rsidR="00D072BF" w:rsidRPr="00D75E01">
              <w:rPr>
                <w:lang w:val="en-US"/>
              </w:rPr>
              <w:t>5</w:t>
            </w:r>
          </w:p>
        </w:tc>
        <w:tc>
          <w:tcPr>
            <w:tcW w:w="442" w:type="pct"/>
          </w:tcPr>
          <w:p w14:paraId="4E694F20" w14:textId="77777777" w:rsidR="00D54552" w:rsidRPr="00D75E01" w:rsidRDefault="00D54552" w:rsidP="00D54552">
            <w:pPr>
              <w:spacing w:before="0" w:line="240" w:lineRule="auto"/>
              <w:jc w:val="right"/>
              <w:rPr>
                <w:lang w:val="en-US"/>
              </w:rPr>
            </w:pPr>
            <w:r w:rsidRPr="00D75E01">
              <w:rPr>
                <w:lang w:val="en-US"/>
              </w:rPr>
              <w:t>-20.41</w:t>
            </w:r>
          </w:p>
        </w:tc>
        <w:tc>
          <w:tcPr>
            <w:tcW w:w="571" w:type="pct"/>
          </w:tcPr>
          <w:p w14:paraId="390D6C19" w14:textId="77777777" w:rsidR="00D54552" w:rsidRPr="00D75E01" w:rsidRDefault="00D54552" w:rsidP="00D54552">
            <w:pPr>
              <w:spacing w:before="0" w:line="240" w:lineRule="auto"/>
              <w:jc w:val="right"/>
              <w:rPr>
                <w:lang w:val="en-US"/>
              </w:rPr>
            </w:pPr>
            <w:r w:rsidRPr="00D75E01">
              <w:rPr>
                <w:lang w:val="en-US"/>
              </w:rPr>
              <w:t>-20.23</w:t>
            </w:r>
          </w:p>
        </w:tc>
        <w:tc>
          <w:tcPr>
            <w:tcW w:w="571" w:type="pct"/>
          </w:tcPr>
          <w:p w14:paraId="52F8BD05" w14:textId="77777777" w:rsidR="00D54552" w:rsidRPr="00D75E01" w:rsidRDefault="00D54552" w:rsidP="00D54552">
            <w:pPr>
              <w:spacing w:before="0" w:line="240" w:lineRule="auto"/>
              <w:jc w:val="right"/>
              <w:rPr>
                <w:lang w:val="en-US"/>
              </w:rPr>
            </w:pPr>
            <w:r w:rsidRPr="00D75E01">
              <w:rPr>
                <w:lang w:val="en-US"/>
              </w:rPr>
              <w:t>-10.59</w:t>
            </w:r>
          </w:p>
        </w:tc>
        <w:tc>
          <w:tcPr>
            <w:tcW w:w="571" w:type="pct"/>
          </w:tcPr>
          <w:p w14:paraId="2B783CAA" w14:textId="77777777" w:rsidR="00D54552" w:rsidRPr="00D75E01" w:rsidRDefault="00D54552" w:rsidP="00D54552">
            <w:pPr>
              <w:spacing w:before="0" w:line="240" w:lineRule="auto"/>
              <w:jc w:val="right"/>
              <w:rPr>
                <w:lang w:val="en-US"/>
              </w:rPr>
            </w:pPr>
            <w:r w:rsidRPr="00D75E01">
              <w:rPr>
                <w:lang w:val="en-US"/>
              </w:rPr>
              <w:t>-4.76</w:t>
            </w:r>
          </w:p>
        </w:tc>
        <w:tc>
          <w:tcPr>
            <w:tcW w:w="565" w:type="pct"/>
          </w:tcPr>
          <w:p w14:paraId="3EBC030D" w14:textId="77777777" w:rsidR="00D54552" w:rsidRPr="00D75E01" w:rsidRDefault="00D54552" w:rsidP="00D54552">
            <w:pPr>
              <w:spacing w:before="0" w:line="240" w:lineRule="auto"/>
              <w:jc w:val="right"/>
              <w:rPr>
                <w:lang w:val="en-US"/>
              </w:rPr>
            </w:pPr>
            <w:r w:rsidRPr="00D75E01">
              <w:rPr>
                <w:lang w:val="en-US"/>
              </w:rPr>
              <w:t>-68.13</w:t>
            </w:r>
          </w:p>
        </w:tc>
      </w:tr>
      <w:tr w:rsidR="00D54552" w:rsidRPr="00D54552" w14:paraId="48BA9682" w14:textId="77777777">
        <w:trPr>
          <w:cnfStyle w:val="000000100000" w:firstRow="0" w:lastRow="0" w:firstColumn="0" w:lastColumn="0" w:oddVBand="0" w:evenVBand="0" w:oddHBand="1" w:evenHBand="0" w:firstRowFirstColumn="0" w:firstRowLastColumn="0" w:lastRowFirstColumn="0" w:lastRowLastColumn="0"/>
        </w:trPr>
        <w:tc>
          <w:tcPr>
            <w:tcW w:w="1600" w:type="pct"/>
          </w:tcPr>
          <w:p w14:paraId="6C38B8A8" w14:textId="77777777" w:rsidR="00D54552" w:rsidRPr="00D54552" w:rsidRDefault="00D54552" w:rsidP="00D54552">
            <w:pPr>
              <w:spacing w:before="0" w:line="240" w:lineRule="auto"/>
              <w:rPr>
                <w:b/>
                <w:lang w:val="en-US"/>
              </w:rPr>
            </w:pPr>
            <w:r w:rsidRPr="00D54552">
              <w:rPr>
                <w:b/>
                <w:lang w:val="en-US"/>
              </w:rPr>
              <w:t>Draft decision – total</w:t>
            </w:r>
          </w:p>
          <w:p w14:paraId="57110455" w14:textId="77777777" w:rsidR="00D54552" w:rsidRPr="00D54552" w:rsidRDefault="00D54552" w:rsidP="00D54552">
            <w:pPr>
              <w:spacing w:before="0" w:line="240" w:lineRule="auto"/>
              <w:rPr>
                <w:b/>
                <w:lang w:val="en-US"/>
              </w:rPr>
            </w:pPr>
            <w:r w:rsidRPr="00D54552">
              <w:rPr>
                <w:b/>
                <w:lang w:val="en-US"/>
              </w:rPr>
              <w:t xml:space="preserve">forecast </w:t>
            </w:r>
            <w:proofErr w:type="gramStart"/>
            <w:r w:rsidRPr="00D54552">
              <w:rPr>
                <w:b/>
                <w:lang w:val="en-US"/>
              </w:rPr>
              <w:t>capital</w:t>
            </w:r>
            <w:proofErr w:type="gramEnd"/>
          </w:p>
          <w:p w14:paraId="42E02218" w14:textId="77777777" w:rsidR="00D54552" w:rsidRPr="00D54552" w:rsidRDefault="00D54552" w:rsidP="00D54552">
            <w:pPr>
              <w:spacing w:before="0" w:line="240" w:lineRule="auto"/>
              <w:rPr>
                <w:b/>
                <w:lang w:val="en-US"/>
              </w:rPr>
            </w:pPr>
            <w:r w:rsidRPr="00D54552">
              <w:rPr>
                <w:b/>
                <w:lang w:val="en-US"/>
              </w:rPr>
              <w:t>expenditure</w:t>
            </w:r>
          </w:p>
        </w:tc>
        <w:tc>
          <w:tcPr>
            <w:tcW w:w="680" w:type="pct"/>
          </w:tcPr>
          <w:p w14:paraId="2B88DE2B" w14:textId="352FF988" w:rsidR="00D54552" w:rsidRPr="00D75E01" w:rsidRDefault="00D54552" w:rsidP="00D54552">
            <w:pPr>
              <w:spacing w:before="0" w:line="240" w:lineRule="auto"/>
              <w:jc w:val="right"/>
              <w:rPr>
                <w:b/>
                <w:lang w:val="en-US"/>
              </w:rPr>
            </w:pPr>
            <w:r w:rsidRPr="00D75E01">
              <w:rPr>
                <w:b/>
                <w:lang w:val="en-US"/>
              </w:rPr>
              <w:t>306.1</w:t>
            </w:r>
            <w:r w:rsidR="007113A0" w:rsidRPr="00D75E01">
              <w:rPr>
                <w:b/>
                <w:lang w:val="en-US"/>
              </w:rPr>
              <w:t>1</w:t>
            </w:r>
          </w:p>
        </w:tc>
        <w:tc>
          <w:tcPr>
            <w:tcW w:w="442" w:type="pct"/>
          </w:tcPr>
          <w:p w14:paraId="3CBFDD3B" w14:textId="6A36D6FB" w:rsidR="00D54552" w:rsidRPr="00D75E01" w:rsidRDefault="00D54552" w:rsidP="00D54552">
            <w:pPr>
              <w:spacing w:before="0" w:line="240" w:lineRule="auto"/>
              <w:jc w:val="right"/>
              <w:rPr>
                <w:b/>
                <w:lang w:val="en-US"/>
              </w:rPr>
            </w:pPr>
            <w:r w:rsidRPr="00D75E01">
              <w:rPr>
                <w:b/>
                <w:lang w:val="en-US"/>
              </w:rPr>
              <w:t>333.7</w:t>
            </w:r>
            <w:r w:rsidR="008B5E51" w:rsidRPr="00D75E01">
              <w:rPr>
                <w:b/>
                <w:lang w:val="en-US"/>
              </w:rPr>
              <w:t>2</w:t>
            </w:r>
          </w:p>
        </w:tc>
        <w:tc>
          <w:tcPr>
            <w:tcW w:w="571" w:type="pct"/>
          </w:tcPr>
          <w:p w14:paraId="2796F075" w14:textId="77C0F377" w:rsidR="00D54552" w:rsidRPr="00D75E01" w:rsidRDefault="00D54552" w:rsidP="00D54552">
            <w:pPr>
              <w:spacing w:before="0" w:line="240" w:lineRule="auto"/>
              <w:jc w:val="right"/>
              <w:rPr>
                <w:b/>
                <w:lang w:val="en-US"/>
              </w:rPr>
            </w:pPr>
            <w:r w:rsidRPr="00D75E01">
              <w:rPr>
                <w:b/>
                <w:lang w:val="en-US"/>
              </w:rPr>
              <w:t>308.3</w:t>
            </w:r>
            <w:r w:rsidR="00A57B97" w:rsidRPr="00D75E01">
              <w:rPr>
                <w:b/>
                <w:lang w:val="en-US"/>
              </w:rPr>
              <w:t>7</w:t>
            </w:r>
          </w:p>
        </w:tc>
        <w:tc>
          <w:tcPr>
            <w:tcW w:w="571" w:type="pct"/>
          </w:tcPr>
          <w:p w14:paraId="6493920B" w14:textId="77777777" w:rsidR="00D54552" w:rsidRPr="00D75E01" w:rsidRDefault="00D54552" w:rsidP="00D54552">
            <w:pPr>
              <w:spacing w:before="0" w:line="240" w:lineRule="auto"/>
              <w:jc w:val="right"/>
              <w:rPr>
                <w:b/>
                <w:lang w:val="en-US"/>
              </w:rPr>
            </w:pPr>
            <w:r w:rsidRPr="00D75E01">
              <w:rPr>
                <w:b/>
                <w:lang w:val="en-US"/>
              </w:rPr>
              <w:t>327.17</w:t>
            </w:r>
          </w:p>
        </w:tc>
        <w:tc>
          <w:tcPr>
            <w:tcW w:w="571" w:type="pct"/>
          </w:tcPr>
          <w:p w14:paraId="0C568C29" w14:textId="77777777" w:rsidR="00D54552" w:rsidRPr="00D75E01" w:rsidRDefault="00D54552" w:rsidP="00D54552">
            <w:pPr>
              <w:spacing w:before="0" w:line="240" w:lineRule="auto"/>
              <w:jc w:val="right"/>
              <w:rPr>
                <w:b/>
                <w:lang w:val="en-US"/>
              </w:rPr>
            </w:pPr>
            <w:r w:rsidRPr="00D75E01">
              <w:rPr>
                <w:b/>
                <w:lang w:val="en-US"/>
              </w:rPr>
              <w:t>285.64</w:t>
            </w:r>
          </w:p>
        </w:tc>
        <w:tc>
          <w:tcPr>
            <w:tcW w:w="565" w:type="pct"/>
          </w:tcPr>
          <w:p w14:paraId="6F4BC467" w14:textId="19041DDC" w:rsidR="00D54552" w:rsidRPr="00D75E01" w:rsidRDefault="00D54552" w:rsidP="00D54552">
            <w:pPr>
              <w:spacing w:before="0" w:line="240" w:lineRule="auto"/>
              <w:jc w:val="right"/>
              <w:rPr>
                <w:b/>
                <w:lang w:val="en-US"/>
              </w:rPr>
            </w:pPr>
            <w:r w:rsidRPr="00D75E01">
              <w:rPr>
                <w:b/>
                <w:lang w:val="en-US"/>
              </w:rPr>
              <w:t>1,561.0</w:t>
            </w:r>
            <w:r w:rsidR="00647DA5" w:rsidRPr="00D75E01">
              <w:rPr>
                <w:b/>
                <w:lang w:val="en-US"/>
              </w:rPr>
              <w:t>1</w:t>
            </w:r>
          </w:p>
        </w:tc>
      </w:tr>
    </w:tbl>
    <w:p w14:paraId="392CD311" w14:textId="77777777" w:rsidR="00D54552" w:rsidRPr="00D54552" w:rsidRDefault="00D54552" w:rsidP="00D54552">
      <w:pPr>
        <w:spacing w:before="120"/>
        <w:rPr>
          <w:iCs/>
          <w:color w:val="4986A0" w:themeColor="text2"/>
          <w:sz w:val="18"/>
          <w:szCs w:val="18"/>
        </w:rPr>
      </w:pPr>
      <w:r w:rsidRPr="00D54552">
        <w:rPr>
          <w:b/>
          <w:bCs/>
          <w:iCs/>
          <w:color w:val="4986A0" w:themeColor="text2"/>
          <w:sz w:val="18"/>
          <w:szCs w:val="18"/>
        </w:rPr>
        <w:t>Note:</w:t>
      </w:r>
      <w:r w:rsidRPr="00D54552">
        <w:rPr>
          <w:iCs/>
          <w:color w:val="4986A0" w:themeColor="text2"/>
          <w:sz w:val="18"/>
          <w:szCs w:val="18"/>
        </w:rPr>
        <w:t xml:space="preserve"> Numbers have been rounded.</w:t>
      </w:r>
    </w:p>
    <w:p w14:paraId="07AA04DA" w14:textId="4193CE50" w:rsidR="00D54552" w:rsidRPr="00D75E01" w:rsidRDefault="00D54552" w:rsidP="00D54552">
      <w:r w:rsidRPr="00D75E01">
        <w:t>For the reasons set out below, our draft decision is to not accept the forecast capital expenditure of $1721.4 million proposed by Greater Western Water, and to adopt a lower forecast of $1,561.0 million for the purpose of calculating its revenue requirement:</w:t>
      </w:r>
    </w:p>
    <w:p w14:paraId="2088D239" w14:textId="74EAFDF0" w:rsidR="00D54552" w:rsidRPr="00D75E01" w:rsidRDefault="00D54552" w:rsidP="00ED1290">
      <w:pPr>
        <w:pStyle w:val="ListBullet"/>
      </w:pPr>
      <w:r w:rsidRPr="00D75E01">
        <w:t xml:space="preserve">Greater Western </w:t>
      </w:r>
      <w:r w:rsidRPr="00BD1E13">
        <w:t>Water’s</w:t>
      </w:r>
      <w:r w:rsidRPr="00D75E01">
        <w:t xml:space="preserve"> price submission provided evidence that </w:t>
      </w:r>
      <w:proofErr w:type="gramStart"/>
      <w:r w:rsidRPr="00D75E01">
        <w:t>a majority of</w:t>
      </w:r>
      <w:proofErr w:type="gramEnd"/>
      <w:r w:rsidRPr="00D75E01">
        <w:t xml:space="preserve"> its forecasts for capital expenditure are prudent and efficient. Its total proposed capital expenditure over the five years is $312.3 million (22.2 per cent) higher than capital expenditure it incurred across the 2018–23 regulatory period. This is mainly driven by growth ($842.8 million, 49 per cent of its capital program) and renewals expenditure ($531.8 million, 30.9 per cent of its capital program). </w:t>
      </w:r>
      <w:proofErr w:type="gramStart"/>
      <w:r w:rsidRPr="00D75E01">
        <w:t>A majority of</w:t>
      </w:r>
      <w:proofErr w:type="gramEnd"/>
      <w:r w:rsidRPr="00D75E01">
        <w:t xml:space="preserve"> Greater Western Water’s forecast capital expenditure is included in programs or projects outside its top ten major projects which account for $379.4 million, or 22 per cent.</w:t>
      </w:r>
    </w:p>
    <w:p w14:paraId="61336A3A" w14:textId="77777777" w:rsidR="00D54552" w:rsidRPr="00D75E01" w:rsidRDefault="00D54552" w:rsidP="00ED1290">
      <w:pPr>
        <w:pStyle w:val="ListBullet"/>
      </w:pPr>
      <w:r w:rsidRPr="00D75E01">
        <w:t>Our expenditure consultant requested selected documents from Greater Western Water as a representative sample to demonstrate its asset management processes and justification for its capital expenditure program.</w:t>
      </w:r>
      <w:r w:rsidRPr="00D75E01">
        <w:rPr>
          <w:vertAlign w:val="superscript"/>
        </w:rPr>
        <w:footnoteReference w:id="65"/>
      </w:r>
      <w:r w:rsidRPr="00D75E01">
        <w:t xml:space="preserve"> Based on the sample of documents reviewed, FTI’s workshop with the business and subsequent meetings and information requests, our expenditure consultant found that for a majority of the overall program, Greater Western Water has a robust approach for developing project scopes, the timing of works and cost estimates.</w:t>
      </w:r>
    </w:p>
    <w:p w14:paraId="4D5A925C" w14:textId="77777777" w:rsidR="00D54552" w:rsidRPr="00D75E01" w:rsidRDefault="00D54552" w:rsidP="00ED1290">
      <w:pPr>
        <w:pStyle w:val="ListBullet"/>
      </w:pPr>
      <w:r w:rsidRPr="00D75E01">
        <w:lastRenderedPageBreak/>
        <w:t>Our expenditure consultant reviewed business cases and supporting information related to all ten of Greater Western Water’s major projects and considered that the information provided supported the prudency and efficiency of the proposed projects.</w:t>
      </w:r>
      <w:r w:rsidRPr="00D75E01">
        <w:rPr>
          <w:vertAlign w:val="superscript"/>
        </w:rPr>
        <w:footnoteReference w:id="66"/>
      </w:r>
      <w:r w:rsidRPr="00D75E01">
        <w:t xml:space="preserve"> Our consultant recommended no adjustments to cost forecasts or timing. We agree with our expenditure consultant’s view because we consider that, for the purposes of our draft decision, the prudency and efficiency of its forecast top ten major projects has been justified</w:t>
      </w:r>
      <w:r w:rsidR="0064156B" w:rsidRPr="00D75E01">
        <w:t>,</w:t>
      </w:r>
      <w:r w:rsidRPr="00D75E01">
        <w:t xml:space="preserve"> consistent with our guidance.</w:t>
      </w:r>
    </w:p>
    <w:p w14:paraId="7D69D7BD" w14:textId="60C70260" w:rsidR="00D54552" w:rsidRPr="00D75E01" w:rsidRDefault="00226918" w:rsidP="00ED1290">
      <w:pPr>
        <w:pStyle w:val="ListBullet"/>
      </w:pPr>
      <w:r w:rsidRPr="00D75E01">
        <w:t>O</w:t>
      </w:r>
      <w:r w:rsidR="004F394A" w:rsidRPr="00D75E01">
        <w:t>ur</w:t>
      </w:r>
      <w:r w:rsidR="00D54552" w:rsidRPr="00D75E01">
        <w:t xml:space="preserve"> expenditure consultant also reviewed several major capital programs and other capital projects. Our consultant considered that the documents provided to support these programs varied in detail and quality, </w:t>
      </w:r>
      <w:r w:rsidR="00211816" w:rsidRPr="00D75E01">
        <w:t>and it required</w:t>
      </w:r>
      <w:r w:rsidR="00D54552" w:rsidRPr="00D75E01">
        <w:t xml:space="preserve"> significant additional supporting information to complete its review.</w:t>
      </w:r>
      <w:r w:rsidR="00D54552" w:rsidRPr="00D75E01">
        <w:rPr>
          <w:vertAlign w:val="superscript"/>
        </w:rPr>
        <w:footnoteReference w:id="67"/>
      </w:r>
      <w:r w:rsidR="00D54552" w:rsidRPr="00D75E01">
        <w:t xml:space="preserve"> Our consultant has recommended the following adjustments to Greater Western Water’s capital program</w:t>
      </w:r>
      <w:r w:rsidR="00FA0B47" w:rsidRPr="00D75E01">
        <w:t>:</w:t>
      </w:r>
    </w:p>
    <w:p w14:paraId="1C7DABFB" w14:textId="77777777" w:rsidR="00D54552" w:rsidRPr="00D75E01" w:rsidRDefault="00D54552" w:rsidP="00FA0B47">
      <w:pPr>
        <w:pStyle w:val="ListBullet2"/>
      </w:pPr>
      <w:r w:rsidRPr="00D75E01">
        <w:t>Water Main Performance Renewals program (forecast $197.7 million). Our expenditure consultant recommended reducing this by $79.4 million across the 2023–28 period, based on information provided by Greater Western Water that indicated a lower level of combined renewals across both the central and western business areas would still deliver a level of water customer interruptions lower than the target of five in a rolling 12-month period, at a lower cost than proposed by the business.</w:t>
      </w:r>
      <w:r w:rsidRPr="00D75E01">
        <w:rPr>
          <w:vertAlign w:val="superscript"/>
        </w:rPr>
        <w:footnoteReference w:id="68"/>
      </w:r>
      <w:r w:rsidRPr="00D75E01">
        <w:t xml:space="preserve"> </w:t>
      </w:r>
    </w:p>
    <w:p w14:paraId="213FBCE1" w14:textId="6FFEA820" w:rsidR="00D54552" w:rsidRPr="00D75E01" w:rsidRDefault="00D54552" w:rsidP="00DC4119">
      <w:pPr>
        <w:pStyle w:val="ListBullet2"/>
      </w:pPr>
      <w:r w:rsidRPr="00D75E01">
        <w:t xml:space="preserve">Asset Ecosystem – Asset Foundations (forecast $68.1 million). Our expenditure consultant recommended removing the full $68.1 million from the 2023–28 capital forecast because the project justification documentation provided by Greater Western Water did not provide sufficient detail to assess the prudency and efficiency of the </w:t>
      </w:r>
      <w:r w:rsidR="0007500D" w:rsidRPr="00D75E01">
        <w:t>projects</w:t>
      </w:r>
      <w:r w:rsidR="00A66477" w:rsidRPr="00D75E01">
        <w:t xml:space="preserve">. </w:t>
      </w:r>
      <w:r w:rsidRPr="00D75E01">
        <w:t xml:space="preserve">Greater Western Water advised that it had not prepared business cases for the </w:t>
      </w:r>
      <w:r w:rsidR="00ED4B19" w:rsidRPr="00D75E01">
        <w:t xml:space="preserve">seven </w:t>
      </w:r>
      <w:r w:rsidRPr="00D75E01">
        <w:t>individual projects</w:t>
      </w:r>
      <w:r w:rsidR="00ED4B19" w:rsidRPr="00D75E01">
        <w:t xml:space="preserve"> that comprise the broader project, nor </w:t>
      </w:r>
      <w:r w:rsidRPr="00D75E01">
        <w:t>quantified the proposed benefits, despite the significant levels of proposed expenditure.</w:t>
      </w:r>
      <w:r w:rsidRPr="00D75E01">
        <w:rPr>
          <w:vertAlign w:val="superscript"/>
        </w:rPr>
        <w:footnoteReference w:id="69"/>
      </w:r>
    </w:p>
    <w:p w14:paraId="253DB9FD" w14:textId="426BE013" w:rsidR="00D54552" w:rsidRPr="00D75E01" w:rsidRDefault="00D54552" w:rsidP="0045745F">
      <w:pPr>
        <w:pStyle w:val="ListBullet2"/>
      </w:pPr>
      <w:r w:rsidRPr="00D75E01">
        <w:t xml:space="preserve">Stormwater Harvesting (forecast $12.8 million). Greater Western Water has included this expenditure to fund potential partner organisations in delivering stormwater harvesting schemes. Our expenditure consultant recommended removing the full $12.8 million from the 2023–28 period, given that Greater Western Water was unable to provide or identify </w:t>
      </w:r>
      <w:r w:rsidRPr="00D75E01">
        <w:lastRenderedPageBreak/>
        <w:t>individual projects or stormwater harvesting business cases for review, meaning that underlying prudency and efficiency cannot be assessed.</w:t>
      </w:r>
      <w:r w:rsidR="00AC3B01" w:rsidRPr="00D75E01">
        <w:rPr>
          <w:vertAlign w:val="superscript"/>
        </w:rPr>
        <w:footnoteReference w:id="70"/>
      </w:r>
    </w:p>
    <w:p w14:paraId="4C14E5DE" w14:textId="2F233D9A" w:rsidR="00D54552" w:rsidRPr="005C7582" w:rsidRDefault="00D54552" w:rsidP="00ED1290">
      <w:pPr>
        <w:pStyle w:val="ListBullet"/>
      </w:pPr>
      <w:r w:rsidRPr="00D75E01">
        <w:t xml:space="preserve">We have reviewed Greater Western Water’s proposal and the advice from our expenditure consultant. We agree with FTI Consulting’s assessment and recommendations for the reasons set out below, and we have made the </w:t>
      </w:r>
      <w:r w:rsidR="005C7582" w:rsidRPr="00D75E01">
        <w:t xml:space="preserve">following </w:t>
      </w:r>
      <w:r w:rsidRPr="00D75E01">
        <w:t>adjustments for our draft decision:</w:t>
      </w:r>
    </w:p>
    <w:p w14:paraId="58C35003" w14:textId="2AEF0AD3" w:rsidR="00D54552" w:rsidRPr="00554687" w:rsidRDefault="00D54552" w:rsidP="004D5D57">
      <w:pPr>
        <w:pStyle w:val="ListBullet2"/>
      </w:pPr>
      <w:r w:rsidRPr="00D75E01">
        <w:t xml:space="preserve">Removed $79.4 million from the forecast for the Water Main Performance Renewals program because </w:t>
      </w:r>
      <w:r w:rsidR="00554687" w:rsidRPr="00D75E01">
        <w:t xml:space="preserve">our preliminary view is that </w:t>
      </w:r>
      <w:r w:rsidRPr="00D75E01">
        <w:t>the stated objective can be achieved more efficiently.</w:t>
      </w:r>
    </w:p>
    <w:p w14:paraId="57E15F2D" w14:textId="047670AB" w:rsidR="00D54552" w:rsidRPr="00360420" w:rsidRDefault="00D54552" w:rsidP="004D5D57">
      <w:pPr>
        <w:pStyle w:val="ListBullet2"/>
      </w:pPr>
      <w:r w:rsidRPr="00D75E01">
        <w:t>Removed the full $68.1 million forecast for the Asset Ecosystem – Asset Foundations program because the constituent projects have not yet been fully scoped and costed, and the prudency and efficiency could not be verified</w:t>
      </w:r>
      <w:r w:rsidR="00F95FDE" w:rsidRPr="00D75E01">
        <w:t xml:space="preserve"> on the information provided by Greater Western Water. In those circumstances, we </w:t>
      </w:r>
      <w:r w:rsidRPr="00D75E01">
        <w:t>do not consider customers should be asked to carry the cost uncertainty for this work.</w:t>
      </w:r>
    </w:p>
    <w:p w14:paraId="7C0D2440" w14:textId="04DB714A" w:rsidR="00D54552" w:rsidRPr="002F572B" w:rsidRDefault="00D54552" w:rsidP="004D5D57">
      <w:pPr>
        <w:pStyle w:val="ListBullet2"/>
      </w:pPr>
      <w:r w:rsidRPr="00D75E01">
        <w:t>Removed the full $12.8 million forecast for the Stormwater Harvesting program – this is essentially a grant scheme to be run by Greater Western Water, and while there was strong customer support for this program, the benefits</w:t>
      </w:r>
      <w:r w:rsidR="002846BD" w:rsidRPr="00D75E01">
        <w:t>,</w:t>
      </w:r>
      <w:r w:rsidRPr="00D75E01">
        <w:t xml:space="preserve"> </w:t>
      </w:r>
      <w:proofErr w:type="gramStart"/>
      <w:r w:rsidRPr="00D75E01">
        <w:t>prudency</w:t>
      </w:r>
      <w:proofErr w:type="gramEnd"/>
      <w:r w:rsidRPr="00D75E01">
        <w:t xml:space="preserve"> and efficiency of the expenditure cannot be established</w:t>
      </w:r>
      <w:r w:rsidR="002846BD" w:rsidRPr="00D75E01">
        <w:t xml:space="preserve"> on the information </w:t>
      </w:r>
      <w:r w:rsidR="002846BD" w:rsidRPr="002F572B">
        <w:t>provided by Greater Western Water.</w:t>
      </w:r>
      <w:r w:rsidR="009C196D" w:rsidRPr="002F572B">
        <w:t xml:space="preserve"> However, </w:t>
      </w:r>
      <w:r w:rsidR="00986769" w:rsidRPr="002F572B">
        <w:t>should Greater Western Water seek to provide more information to justify this expenditure</w:t>
      </w:r>
      <w:r w:rsidR="009C196D" w:rsidRPr="002F572B">
        <w:t xml:space="preserve">, </w:t>
      </w:r>
      <w:r w:rsidR="008154D0" w:rsidRPr="002F572B">
        <w:t xml:space="preserve">we require </w:t>
      </w:r>
      <w:r w:rsidR="00CC25D4" w:rsidRPr="002F572B">
        <w:t>it</w:t>
      </w:r>
      <w:r w:rsidR="008154D0" w:rsidRPr="002F572B">
        <w:t xml:space="preserve"> to </w:t>
      </w:r>
      <w:r w:rsidR="00E75DAB" w:rsidRPr="002F572B">
        <w:t>demonstrate</w:t>
      </w:r>
      <w:r w:rsidR="001E2510" w:rsidRPr="002F572B">
        <w:t xml:space="preserve"> how the delivery of these </w:t>
      </w:r>
      <w:r w:rsidR="00F028D8" w:rsidRPr="002F572B">
        <w:t>works</w:t>
      </w:r>
      <w:r w:rsidR="001E2510" w:rsidRPr="002F572B">
        <w:t xml:space="preserve"> </w:t>
      </w:r>
      <w:r w:rsidR="005B7A92" w:rsidRPr="002F572B">
        <w:t xml:space="preserve">is relevant </w:t>
      </w:r>
      <w:r w:rsidR="0082643F" w:rsidRPr="002F572B">
        <w:t>to the provision</w:t>
      </w:r>
      <w:r w:rsidR="001E2510" w:rsidRPr="002F572B">
        <w:rPr>
          <w:rStyle w:val="ui-provider"/>
        </w:rPr>
        <w:t xml:space="preserve"> of prescribed services </w:t>
      </w:r>
      <w:r w:rsidR="00B55B9A" w:rsidRPr="002F572B">
        <w:rPr>
          <w:rStyle w:val="ui-provider"/>
        </w:rPr>
        <w:t>in</w:t>
      </w:r>
      <w:r w:rsidR="001E2510" w:rsidRPr="002F572B">
        <w:rPr>
          <w:rStyle w:val="ui-provider"/>
        </w:rPr>
        <w:t xml:space="preserve"> the W</w:t>
      </w:r>
      <w:r w:rsidR="00EF4211" w:rsidRPr="002F572B">
        <w:rPr>
          <w:rStyle w:val="ui-provider"/>
        </w:rPr>
        <w:t xml:space="preserve">ater </w:t>
      </w:r>
      <w:r w:rsidR="001E2510" w:rsidRPr="002F572B">
        <w:rPr>
          <w:rStyle w:val="ui-provider"/>
        </w:rPr>
        <w:t>I</w:t>
      </w:r>
      <w:r w:rsidR="00EF4211" w:rsidRPr="002F572B">
        <w:rPr>
          <w:rStyle w:val="ui-provider"/>
        </w:rPr>
        <w:t xml:space="preserve">ndustry </w:t>
      </w:r>
      <w:r w:rsidR="001E2510" w:rsidRPr="002F572B">
        <w:rPr>
          <w:rStyle w:val="ui-provider"/>
        </w:rPr>
        <w:t>R</w:t>
      </w:r>
      <w:r w:rsidR="00EF4211" w:rsidRPr="002F572B">
        <w:rPr>
          <w:rStyle w:val="ui-provider"/>
        </w:rPr>
        <w:t xml:space="preserve">egulatory </w:t>
      </w:r>
      <w:r w:rsidR="001E2510" w:rsidRPr="002F572B">
        <w:rPr>
          <w:rStyle w:val="ui-provider"/>
        </w:rPr>
        <w:t>O</w:t>
      </w:r>
      <w:r w:rsidR="00EF4211" w:rsidRPr="002F572B">
        <w:rPr>
          <w:rStyle w:val="ui-provider"/>
        </w:rPr>
        <w:t>rder 2014</w:t>
      </w:r>
      <w:r w:rsidR="001B1A9A" w:rsidRPr="002F572B">
        <w:rPr>
          <w:rStyle w:val="ui-provider"/>
        </w:rPr>
        <w:t>.</w:t>
      </w:r>
      <w:r w:rsidR="007847FF" w:rsidRPr="002F572B">
        <w:rPr>
          <w:rStyle w:val="ui-provider"/>
        </w:rPr>
        <w:t xml:space="preserve"> Further, Greater Western Water must also explain </w:t>
      </w:r>
      <w:r w:rsidR="00C7441B" w:rsidRPr="002F572B">
        <w:rPr>
          <w:rStyle w:val="ui-provider"/>
        </w:rPr>
        <w:t>its proposed treatment of these costs as operating or capital</w:t>
      </w:r>
      <w:r w:rsidR="00B52B9D" w:rsidRPr="002F572B">
        <w:rPr>
          <w:rStyle w:val="ui-provider"/>
        </w:rPr>
        <w:t xml:space="preserve"> expenditure</w:t>
      </w:r>
      <w:r w:rsidR="00C7441B" w:rsidRPr="002F572B">
        <w:rPr>
          <w:rStyle w:val="ui-provider"/>
        </w:rPr>
        <w:t>.</w:t>
      </w:r>
    </w:p>
    <w:p w14:paraId="1E3EB5DB" w14:textId="03AC5758" w:rsidR="00EC0BB1" w:rsidRDefault="00D54552" w:rsidP="00ED1290">
      <w:pPr>
        <w:pStyle w:val="ListBullet"/>
      </w:pPr>
      <w:r w:rsidRPr="00D75E01">
        <w:t>Greater Western Water also proposed to capitalise a portion of its Asset Delivery Organisation Review (ADOR) program ($5.8 million) in the next regulatory period because it is a large irregular cost which delivers benefits to customers over two or more regulatory periods.</w:t>
      </w:r>
      <w:r w:rsidRPr="00D75E01">
        <w:rPr>
          <w:vertAlign w:val="superscript"/>
        </w:rPr>
        <w:footnoteReference w:id="71"/>
      </w:r>
      <w:r w:rsidRPr="00D75E01">
        <w:t xml:space="preserve"> This project is intended to deliver increased procurement and capital project delivery within the organisation. This is in addition to capitalising project costs related to its Platypus Billing and Collection system project and other discrete Information Technology projects it has capitalised previously. Greater Western Water has stated that it has excluded licensing and operating costs from its capitalisation proposals. We </w:t>
      </w:r>
      <w:r w:rsidR="004F74E1" w:rsidRPr="00D75E01">
        <w:t>propose to</w:t>
      </w:r>
      <w:r w:rsidRPr="00D75E01">
        <w:t xml:space="preserve"> accept this proposal because it meets our requirements for capitalising expense items set out in our guidance, and we consider it appropriate to spread the cost recovery of these items over a longer timeframe.</w:t>
      </w:r>
      <w:r w:rsidRPr="00D75E01">
        <w:rPr>
          <w:vertAlign w:val="superscript"/>
        </w:rPr>
        <w:footnoteReference w:id="72"/>
      </w:r>
      <w:r w:rsidRPr="00D75E01">
        <w:t xml:space="preserve"> </w:t>
      </w:r>
    </w:p>
    <w:p w14:paraId="41496268" w14:textId="11C9E7CE" w:rsidR="00D54552" w:rsidRPr="00040FAC" w:rsidRDefault="00D54552" w:rsidP="00ED1290">
      <w:pPr>
        <w:pStyle w:val="ListBullet"/>
      </w:pPr>
      <w:r w:rsidRPr="00D75E01">
        <w:lastRenderedPageBreak/>
        <w:t xml:space="preserve">We received four submissions from environmental groups </w:t>
      </w:r>
      <w:r w:rsidR="00ED5FA7">
        <w:t>responding to</w:t>
      </w:r>
      <w:r w:rsidRPr="00D75E01">
        <w:t xml:space="preserve"> Greater Western Water’s price submission.</w:t>
      </w:r>
      <w:r w:rsidRPr="00D75E01">
        <w:rPr>
          <w:vertAlign w:val="superscript"/>
        </w:rPr>
        <w:footnoteReference w:id="73"/>
      </w:r>
      <w:r w:rsidRPr="00D75E01">
        <w:t xml:space="preserve"> These groups raised concerns about the condition of Greater Western Water’s water and wastewater treatment plants and their impact on waterways and native wildlife, and the quality of recycled water, including for agricultural purposes. We acknowledge the importance of waterway health, and the environmental obligations Greater Western Water must meet in delivering its water and sewerage services to customers. Greater Western Water must plan its forecast capital program to ensure it complies with all relevant environmental obligations. Greater Western Water has proposed $330.0 million of capital expenditure related to water and sewerage treatment across the 2023–28 period, while three of its top ten major projects are related to upgrades to the Woodend, </w:t>
      </w:r>
      <w:proofErr w:type="gramStart"/>
      <w:r w:rsidRPr="00D75E01">
        <w:t>Gisborne</w:t>
      </w:r>
      <w:proofErr w:type="gramEnd"/>
      <w:r w:rsidRPr="00D75E01">
        <w:t xml:space="preserve"> and Romsey wastewater treatment plants. We have not</w:t>
      </w:r>
      <w:r w:rsidR="00D83B1E" w:rsidRPr="00D75E01">
        <w:t xml:space="preserve"> </w:t>
      </w:r>
      <w:r w:rsidR="00483F1C" w:rsidRPr="00D75E01">
        <w:t>proposed</w:t>
      </w:r>
      <w:r w:rsidRPr="00D75E01">
        <w:t xml:space="preserve"> any adjustments to this expenditure, or any other expenditure related to its treatment assets or allocated to meeting growth and compliance obligations. We expect Greater Western Water will maintain an open dialogue with these interested stakeholder groups, and keep its community informed on the delivery of these major investments.</w:t>
      </w:r>
    </w:p>
    <w:p w14:paraId="37510BF2" w14:textId="5B6CC0DC" w:rsidR="00D54552" w:rsidRPr="00E73958" w:rsidRDefault="00D54552" w:rsidP="00ED1290">
      <w:pPr>
        <w:pStyle w:val="ListBullet"/>
      </w:pPr>
      <w:r w:rsidRPr="00D75E01">
        <w:t>Our preliminary view is that the planned capital expenditure program is achievable given Greater Western Water’s project planning and prioritisation processes, along with its Asset Delivery Organisation Review which is currently underway. Our expenditure consultant also considered that Greater Western Water is capable of delivering its forecast capital program.</w:t>
      </w:r>
      <w:r w:rsidRPr="00D75E01">
        <w:rPr>
          <w:vertAlign w:val="superscript"/>
        </w:rPr>
        <w:footnoteReference w:id="74"/>
      </w:r>
      <w:r w:rsidRPr="00D75E01">
        <w:t xml:space="preserve"> In coming to this view we have also considered Greater Western Water’s past track record in delivering its capital expenditure program (it has completed only ten of </w:t>
      </w:r>
      <w:r w:rsidR="00D64CB1" w:rsidRPr="00D75E01">
        <w:t xml:space="preserve">City West Water and Western Water’s </w:t>
      </w:r>
      <w:r w:rsidR="00BD14C9" w:rsidRPr="00D75E01">
        <w:t>22</w:t>
      </w:r>
      <w:r w:rsidR="00025D3A" w:rsidRPr="00D75E01">
        <w:t> </w:t>
      </w:r>
      <w:r w:rsidRPr="00D75E01">
        <w:t>planned major projects) and its explanation of this material variation from its forecast (see Section 4.2.1 above).</w:t>
      </w:r>
      <w:r w:rsidRPr="00D75E01">
        <w:rPr>
          <w:vertAlign w:val="superscript"/>
        </w:rPr>
        <w:footnoteReference w:id="75"/>
      </w:r>
      <w:r w:rsidRPr="00D75E01">
        <w:t xml:space="preserve"> Overall </w:t>
      </w:r>
      <w:r w:rsidR="00E22F03" w:rsidRPr="00D75E01">
        <w:t xml:space="preserve">, our preliminary view is that </w:t>
      </w:r>
      <w:r w:rsidRPr="00D75E01">
        <w:t xml:space="preserve">Greater Western Water has proposed a capital program which is deliverable, largely prudent and efficient, and necessary given customer growth rates and compliance obligations. </w:t>
      </w:r>
    </w:p>
    <w:p w14:paraId="3B44066D" w14:textId="3C4F4F82" w:rsidR="00D54552" w:rsidRPr="00D75E01" w:rsidRDefault="00D54552" w:rsidP="00ED1290">
      <w:pPr>
        <w:pStyle w:val="ListBullet"/>
      </w:pPr>
      <w:r w:rsidRPr="00D75E01">
        <w:t xml:space="preserve">Greater Western Water has excluded approximately $173 million of speculative projects from its price submission where there is uncertainty in timing, cost, </w:t>
      </w:r>
      <w:proofErr w:type="gramStart"/>
      <w:r w:rsidRPr="00D75E01">
        <w:t>scope</w:t>
      </w:r>
      <w:proofErr w:type="gramEnd"/>
      <w:r w:rsidRPr="00D75E01">
        <w:t xml:space="preserve"> and benefits of capital </w:t>
      </w:r>
      <w:r w:rsidRPr="00D75E01">
        <w:lastRenderedPageBreak/>
        <w:t>expenditure.</w:t>
      </w:r>
      <w:r w:rsidRPr="00D75E01">
        <w:rPr>
          <w:vertAlign w:val="superscript"/>
        </w:rPr>
        <w:footnoteReference w:id="76"/>
      </w:r>
      <w:r w:rsidRPr="00D75E01">
        <w:t xml:space="preserve"> This equates to about 10 per cent of the forecast capital expenditure. </w:t>
      </w:r>
      <w:r w:rsidR="00533732" w:rsidRPr="00D75E01">
        <w:t>The</w:t>
      </w:r>
      <w:r w:rsidRPr="00D75E01">
        <w:t xml:space="preserve"> proposed $68.1 million that we did not allow for the Asset Ecosystem – Asset Foundations program could also be </w:t>
      </w:r>
      <w:r w:rsidR="001973DD" w:rsidRPr="00D75E01">
        <w:t xml:space="preserve">considered as </w:t>
      </w:r>
      <w:r w:rsidR="00AF4084" w:rsidRPr="00D75E01">
        <w:t>uncertain</w:t>
      </w:r>
      <w:r w:rsidR="001973DD" w:rsidRPr="00D75E01">
        <w:t xml:space="preserve"> </w:t>
      </w:r>
      <w:r w:rsidR="003F32D3" w:rsidRPr="00D75E01">
        <w:t>project expenditure</w:t>
      </w:r>
      <w:r w:rsidRPr="00D75E01">
        <w:t>. This approach is consistent with our guidance for managing uncertain expenditure. Our draft decision is to accept Greater Western Water’s proposal for addressing uncertainty, noting the following:</w:t>
      </w:r>
    </w:p>
    <w:p w14:paraId="3BB75053" w14:textId="77777777" w:rsidR="00D54552" w:rsidRPr="00D75E01" w:rsidRDefault="00D54552" w:rsidP="004D5D57">
      <w:pPr>
        <w:pStyle w:val="ListBullet2"/>
      </w:pPr>
      <w:r w:rsidRPr="00D75E01">
        <w:t>Greater Western Water will need to demonstrate the prudency and efficiency of these costs if they are indeed incurred over</w:t>
      </w:r>
      <w:r w:rsidRPr="00D75E01" w:rsidDel="00E60DF7">
        <w:t xml:space="preserve"> </w:t>
      </w:r>
      <w:r w:rsidRPr="00D75E01">
        <w:t>the 2023–28 period if seeking to include them in the regulatory asset base for the 2028–33 price review.</w:t>
      </w:r>
    </w:p>
    <w:p w14:paraId="029159FF" w14:textId="77777777" w:rsidR="006500F0" w:rsidRPr="00D75E01" w:rsidRDefault="003C0157" w:rsidP="000B57E0">
      <w:pPr>
        <w:pStyle w:val="ListBullet2"/>
      </w:pPr>
      <w:r w:rsidRPr="00D75E01">
        <w:t>Deviations from forecasted</w:t>
      </w:r>
      <w:r w:rsidR="006500F0" w:rsidRPr="00D75E01">
        <w:t xml:space="preserve"> capital expenditure during the </w:t>
      </w:r>
      <w:r w:rsidR="00D54552" w:rsidRPr="00D75E01">
        <w:t>2023–28</w:t>
      </w:r>
      <w:r w:rsidR="00E4419C" w:rsidRPr="00D75E01">
        <w:t xml:space="preserve"> </w:t>
      </w:r>
      <w:r w:rsidR="006500F0" w:rsidRPr="00D75E01">
        <w:t>period will form a key part of our assessment of the Performance element of PREMO at the next price review.</w:t>
      </w:r>
    </w:p>
    <w:p w14:paraId="1D3636F3" w14:textId="37F1D0B7" w:rsidR="006500F0" w:rsidRPr="00927B94" w:rsidRDefault="00A21D7C" w:rsidP="006500F0">
      <w:r w:rsidRPr="00D75E01">
        <w:t xml:space="preserve">We have reviewed </w:t>
      </w:r>
      <w:r w:rsidR="00AA1D9F" w:rsidRPr="00D75E01">
        <w:t>Greater Western Water</w:t>
      </w:r>
      <w:r w:rsidRPr="00D75E01">
        <w:t xml:space="preserve">’s proposals and </w:t>
      </w:r>
      <w:r w:rsidR="00927B94" w:rsidRPr="00D75E01">
        <w:t>the</w:t>
      </w:r>
      <w:r w:rsidRPr="00D75E01">
        <w:t xml:space="preserve"> advice from FTI </w:t>
      </w:r>
      <w:r w:rsidR="009D49DC" w:rsidRPr="00D75E01">
        <w:t>C</w:t>
      </w:r>
      <w:r w:rsidRPr="00D75E01">
        <w:t xml:space="preserve">onsulting. </w:t>
      </w:r>
      <w:r w:rsidR="00D54552" w:rsidRPr="00D75E01">
        <w:t>We agree with our consultant’s assessment and consider Greater Western Water’s approach to forecasting its capital expenditure is largely consistent with the requirements of our guidance and the principles in the Water Industry Regulatory Order 2014</w:t>
      </w:r>
      <w:r w:rsidR="00F065B9" w:rsidRPr="00D75E01">
        <w:t xml:space="preserve">, </w:t>
      </w:r>
      <w:r w:rsidR="00E95B68" w:rsidRPr="00D75E01">
        <w:t>except</w:t>
      </w:r>
      <w:r w:rsidR="00F065B9" w:rsidRPr="00D75E01">
        <w:t xml:space="preserve"> as identified above in relation to the adjustments that we have proposed</w:t>
      </w:r>
      <w:r w:rsidR="00D54552" w:rsidRPr="00D75E01">
        <w:t>.</w:t>
      </w:r>
      <w:r w:rsidR="00C11E3C" w:rsidRPr="00D75E01">
        <w:rPr>
          <w:vertAlign w:val="superscript"/>
        </w:rPr>
        <w:footnoteReference w:id="77"/>
      </w:r>
      <w:r w:rsidR="006761A1" w:rsidRPr="00D75E01">
        <w:t xml:space="preserve"> </w:t>
      </w:r>
    </w:p>
    <w:p w14:paraId="43E6BB4E" w14:textId="1A1809DA" w:rsidR="006500F0" w:rsidRDefault="00343F5F" w:rsidP="006500F0">
      <w:r w:rsidRPr="00D75E01">
        <w:t xml:space="preserve">Therefore, </w:t>
      </w:r>
      <w:r w:rsidR="00D54552" w:rsidRPr="00D75E01">
        <w:t>our</w:t>
      </w:r>
      <w:r w:rsidR="006500F0" w:rsidRPr="00D75E01">
        <w:t xml:space="preserve"> draft decision for total gross capital expenditure is to </w:t>
      </w:r>
      <w:r w:rsidR="00D54552" w:rsidRPr="00D75E01">
        <w:t xml:space="preserve">not accept Greater Western Water’s proposed benchmark. Our draft decision adopts a forecast capital expenditure </w:t>
      </w:r>
      <w:r w:rsidR="006500F0" w:rsidRPr="00D75E01">
        <w:t>benchmark</w:t>
      </w:r>
      <w:r w:rsidR="00D54552" w:rsidRPr="00D75E01">
        <w:t xml:space="preserve"> of $1,56</w:t>
      </w:r>
      <w:r w:rsidR="00FC61BC" w:rsidRPr="00D75E01">
        <w:t>1</w:t>
      </w:r>
      <w:r w:rsidR="00D54552" w:rsidRPr="00D75E01">
        <w:t>.0 million over the five-year period 2023–2028 (Tables</w:t>
      </w:r>
      <w:r w:rsidR="008A0D46" w:rsidRPr="00D75E01">
        <w:t> </w:t>
      </w:r>
      <w:r w:rsidR="00D54552" w:rsidRPr="00D75E01">
        <w:t>4.</w:t>
      </w:r>
      <w:r w:rsidR="00A842FA" w:rsidRPr="00D75E01">
        <w:t>7</w:t>
      </w:r>
      <w:r w:rsidR="00D54552" w:rsidRPr="00D75E01">
        <w:t xml:space="preserve"> and 4.</w:t>
      </w:r>
      <w:r w:rsidR="008A0D46" w:rsidRPr="00D75E01">
        <w:t>9</w:t>
      </w:r>
      <w:r w:rsidR="00D54552" w:rsidRPr="00D75E01">
        <w:t>).</w:t>
      </w:r>
      <w:r w:rsidR="006500F0">
        <w:t xml:space="preserve"> </w:t>
      </w:r>
    </w:p>
    <w:p w14:paraId="757C609D" w14:textId="009710D2" w:rsidR="006500F0" w:rsidRDefault="006500F0" w:rsidP="006500F0">
      <w:r>
        <w:t xml:space="preserve">The benchmark that we propose to adopt for </w:t>
      </w:r>
      <w:r w:rsidR="00AA1D9F">
        <w:t>Greater Western Water</w:t>
      </w:r>
      <w:r>
        <w:t xml:space="preserve"> does not represent the amount that </w:t>
      </w:r>
      <w:r w:rsidR="00AA1D9F">
        <w:t>Greater Western Water</w:t>
      </w:r>
      <w:r>
        <w:t xml:space="preserve"> is required to spend or allocate to </w:t>
      </w:r>
      <w:proofErr w:type="gramStart"/>
      <w:r>
        <w:t>particular projects</w:t>
      </w:r>
      <w:proofErr w:type="gramEnd"/>
      <w:r>
        <w:t xml:space="preserve">. Rather, it represents assumptions about the overall level of expenditure (to be recovered through prices) that we consider sufficient to operate the business and to maintain or improve services over the regulatory period. Where we have made an adjustment to exclude a project’s capital expenditure from </w:t>
      </w:r>
      <w:r w:rsidR="00AA1D9F">
        <w:t>Greater Western Water</w:t>
      </w:r>
      <w:r>
        <w:t xml:space="preserve">’s revenue requirement, we are not requiring the corporation to remove that project. </w:t>
      </w:r>
      <w:r w:rsidR="00AA1D9F">
        <w:t>Greater Western Water</w:t>
      </w:r>
      <w:r>
        <w:t xml:space="preserve"> determines how to best manage the allocation of its revenue and priority of its expenditure within a regulatory period.</w:t>
      </w:r>
    </w:p>
    <w:p w14:paraId="3F93642A" w14:textId="2F3561D8" w:rsidR="006500F0" w:rsidRDefault="006500F0" w:rsidP="000E4936">
      <w:pPr>
        <w:pStyle w:val="Heading2"/>
      </w:pPr>
      <w:bookmarkStart w:id="89" w:name="_Toc161400989"/>
      <w:r>
        <w:t>4.3</w:t>
      </w:r>
      <w:r>
        <w:tab/>
        <w:t>Regulatory asset base</w:t>
      </w:r>
      <w:bookmarkEnd w:id="89"/>
    </w:p>
    <w:p w14:paraId="17C7943A" w14:textId="7D6F0DBA" w:rsidR="006500F0" w:rsidRDefault="006500F0" w:rsidP="006500F0">
      <w:r>
        <w:t>A water corporation’s regulatory asset base is the value of the corporation’s assets for regulatory purposes.</w:t>
      </w:r>
      <w:r w:rsidR="00BD1380">
        <w:rPr>
          <w:rStyle w:val="FootnoteReference"/>
        </w:rPr>
        <w:footnoteReference w:id="78"/>
      </w:r>
      <w:r w:rsidR="006761A1">
        <w:t xml:space="preserve"> </w:t>
      </w:r>
      <w:r>
        <w:t xml:space="preserve">The regulatory asset base is used to estimate the return on assets (discussed in </w:t>
      </w:r>
      <w:r>
        <w:lastRenderedPageBreak/>
        <w:t>Section</w:t>
      </w:r>
      <w:r w:rsidR="00B000A1">
        <w:t> </w:t>
      </w:r>
      <w:r>
        <w:t>4.4), and regulatory depreciation (discussed in Section</w:t>
      </w:r>
      <w:r w:rsidR="00B000A1">
        <w:t> </w:t>
      </w:r>
      <w:r>
        <w:t>4.5). Both the return on assets and regulatory depreciation are components of the revenue requirement.</w:t>
      </w:r>
      <w:r w:rsidR="006761A1">
        <w:t xml:space="preserve"> </w:t>
      </w:r>
    </w:p>
    <w:p w14:paraId="5E8E3415" w14:textId="77777777" w:rsidR="006500F0" w:rsidRDefault="006500F0" w:rsidP="006500F0">
      <w:r>
        <w:t xml:space="preserve">Our guidance required </w:t>
      </w:r>
      <w:r w:rsidR="00AA1D9F">
        <w:t>Greater Western Water</w:t>
      </w:r>
      <w:r>
        <w:t xml:space="preserve"> to propose:</w:t>
      </w:r>
    </w:p>
    <w:p w14:paraId="1071009E" w14:textId="4E450845" w:rsidR="006500F0" w:rsidRDefault="006500F0" w:rsidP="00ED1290">
      <w:pPr>
        <w:pStyle w:val="ListBullet"/>
      </w:pPr>
      <w:r>
        <w:t xml:space="preserve">the closing value of its regulatory asset base </w:t>
      </w:r>
      <w:proofErr w:type="gramStart"/>
      <w:r>
        <w:t>at</w:t>
      </w:r>
      <w:proofErr w:type="gramEnd"/>
      <w:r>
        <w:t xml:space="preserve"> 30</w:t>
      </w:r>
      <w:r w:rsidR="00B000A1">
        <w:t> </w:t>
      </w:r>
      <w:r>
        <w:t>June 20</w:t>
      </w:r>
      <w:r w:rsidR="007A6975">
        <w:t>23</w:t>
      </w:r>
      <w:r>
        <w:t xml:space="preserve"> (using actual data) </w:t>
      </w:r>
    </w:p>
    <w:p w14:paraId="5A3171F5" w14:textId="457E5D79" w:rsidR="006500F0" w:rsidRDefault="006500F0" w:rsidP="00ED1290">
      <w:pPr>
        <w:pStyle w:val="ListBullet"/>
      </w:pPr>
      <w:r>
        <w:t xml:space="preserve">the opening value of its regulatory asset base </w:t>
      </w:r>
      <w:proofErr w:type="gramStart"/>
      <w:r>
        <w:t>at</w:t>
      </w:r>
      <w:proofErr w:type="gramEnd"/>
      <w:r>
        <w:t xml:space="preserve"> 1</w:t>
      </w:r>
      <w:r w:rsidR="00B000A1">
        <w:t> </w:t>
      </w:r>
      <w:r>
        <w:t>July 202</w:t>
      </w:r>
      <w:r w:rsidR="007A6975">
        <w:t>4</w:t>
      </w:r>
      <w:r>
        <w:t xml:space="preserve"> (calculated according to the criteria outlined in the guidance) </w:t>
      </w:r>
    </w:p>
    <w:p w14:paraId="35EDA590" w14:textId="7E0A999D" w:rsidR="006500F0" w:rsidRDefault="006500F0" w:rsidP="00ED1290">
      <w:pPr>
        <w:pStyle w:val="ListBullet"/>
      </w:pPr>
      <w:r>
        <w:t>the forecast value of its regulatory asset base for each year of the regulatory period (202</w:t>
      </w:r>
      <w:r w:rsidR="001A70D3">
        <w:t>4</w:t>
      </w:r>
      <w:r w:rsidR="006761A1">
        <w:noBreakHyphen/>
      </w:r>
      <w:r>
        <w:t>2</w:t>
      </w:r>
      <w:r w:rsidR="001A70D3">
        <w:t>5</w:t>
      </w:r>
      <w:r>
        <w:t xml:space="preserve"> to 2027</w:t>
      </w:r>
      <w:r w:rsidR="006761A1">
        <w:noBreakHyphen/>
      </w:r>
      <w:r>
        <w:t>28), in accordance with the prudency criteria outlined in the guidance</w:t>
      </w:r>
      <w:r w:rsidR="006979A0">
        <w:t>.</w:t>
      </w:r>
    </w:p>
    <w:p w14:paraId="3E446CAF" w14:textId="60074C31" w:rsidR="006500F0" w:rsidRDefault="006500F0" w:rsidP="000E4936">
      <w:pPr>
        <w:pStyle w:val="Heading3"/>
      </w:pPr>
      <w:bookmarkStart w:id="90" w:name="_Toc122514864"/>
      <w:bookmarkStart w:id="91" w:name="_Toc150515695"/>
      <w:bookmarkStart w:id="92" w:name="_Toc161400990"/>
      <w:r>
        <w:t xml:space="preserve">4.3.1 </w:t>
      </w:r>
      <w:r w:rsidR="00DE7873">
        <w:tab/>
      </w:r>
      <w:r>
        <w:t xml:space="preserve">Closing regulatory asset </w:t>
      </w:r>
      <w:proofErr w:type="gramStart"/>
      <w:r>
        <w:t>base</w:t>
      </w:r>
      <w:bookmarkEnd w:id="90"/>
      <w:bookmarkEnd w:id="91"/>
      <w:bookmarkEnd w:id="92"/>
      <w:proofErr w:type="gramEnd"/>
    </w:p>
    <w:p w14:paraId="426901AD" w14:textId="77777777" w:rsidR="006500F0" w:rsidRDefault="006500F0" w:rsidP="00822E76">
      <w:pPr>
        <w:pStyle w:val="Pull-out"/>
      </w:pPr>
      <w:r w:rsidRPr="00D75E01">
        <w:t xml:space="preserve">Our draft decision is to accept </w:t>
      </w:r>
      <w:r w:rsidR="00AA1D9F" w:rsidRPr="00D75E01">
        <w:t>Greater Western Water</w:t>
      </w:r>
      <w:r w:rsidRPr="00D75E01">
        <w:t>’s closing regulatory asset base.</w:t>
      </w:r>
    </w:p>
    <w:p w14:paraId="51723059" w14:textId="77777777" w:rsidR="006500F0" w:rsidRDefault="006500F0" w:rsidP="006500F0">
      <w:r>
        <w:t>We update the</w:t>
      </w:r>
      <w:r w:rsidR="002A4EFA">
        <w:t xml:space="preserve"> </w:t>
      </w:r>
      <w:r>
        <w:t xml:space="preserve">regulatory asset base to reflect actual gross capital expenditure, less government and customer contributions, and asset disposals for the period </w:t>
      </w:r>
      <w:r w:rsidR="005D5B8F">
        <w:t xml:space="preserve">from </w:t>
      </w:r>
      <w:r w:rsidR="005D5B8F" w:rsidRPr="00D75E01">
        <w:t>2017-18 to 202</w:t>
      </w:r>
      <w:r w:rsidR="00A84F13" w:rsidRPr="00D75E01">
        <w:t>2</w:t>
      </w:r>
      <w:r w:rsidR="005D5B8F" w:rsidRPr="00D75E01">
        <w:t>-2</w:t>
      </w:r>
      <w:r w:rsidR="00A84F13" w:rsidRPr="00D75E01">
        <w:t>3</w:t>
      </w:r>
      <w:r w:rsidRPr="00D75E01">
        <w:t>.</w:t>
      </w:r>
      <w:r w:rsidR="007A4ED3" w:rsidRPr="00D75E01">
        <w:rPr>
          <w:rStyle w:val="FootnoteReference"/>
        </w:rPr>
        <w:footnoteReference w:id="79"/>
      </w:r>
      <w:r w:rsidR="006761A1">
        <w:t xml:space="preserve"> </w:t>
      </w:r>
      <w:r>
        <w:t>This helps to ensure prices reflect the actual net expenditure of a water corporation.</w:t>
      </w:r>
      <w:r w:rsidR="00AC17B0">
        <w:rPr>
          <w:rStyle w:val="FootnoteReference"/>
        </w:rPr>
        <w:footnoteReference w:id="80"/>
      </w:r>
      <w:r>
        <w:t xml:space="preserve"> </w:t>
      </w:r>
    </w:p>
    <w:p w14:paraId="24B5B2C1" w14:textId="763C5161" w:rsidR="006500F0" w:rsidRDefault="00AA1D9F" w:rsidP="006500F0">
      <w:r w:rsidRPr="00D75E01">
        <w:t>Greater Western Water</w:t>
      </w:r>
      <w:r w:rsidR="006500F0" w:rsidRPr="00D75E01">
        <w:t xml:space="preserve">’s proposed closing asset base </w:t>
      </w:r>
      <w:proofErr w:type="gramStart"/>
      <w:r w:rsidR="006500F0" w:rsidRPr="00D75E01">
        <w:t>at</w:t>
      </w:r>
      <w:proofErr w:type="gramEnd"/>
      <w:r w:rsidR="006500F0" w:rsidRPr="00D75E01">
        <w:t xml:space="preserve"> 30</w:t>
      </w:r>
      <w:r w:rsidR="00B000A1">
        <w:t> </w:t>
      </w:r>
      <w:r w:rsidR="006500F0" w:rsidRPr="00D75E01">
        <w:t>June 202</w:t>
      </w:r>
      <w:r w:rsidR="008A43C9" w:rsidRPr="00D75E01">
        <w:t>3</w:t>
      </w:r>
      <w:r w:rsidR="006500F0" w:rsidRPr="00D75E01">
        <w:t xml:space="preserve"> is provided at page</w:t>
      </w:r>
      <w:r w:rsidR="00B000A1">
        <w:t> </w:t>
      </w:r>
      <w:r w:rsidR="00342660" w:rsidRPr="00D75E01">
        <w:t>122</w:t>
      </w:r>
      <w:r w:rsidR="006500F0" w:rsidRPr="00D75E01">
        <w:t xml:space="preserve"> of its price submission.</w:t>
      </w:r>
      <w:r w:rsidR="00E147BE" w:rsidRPr="00D75E01">
        <w:rPr>
          <w:rStyle w:val="FootnoteReference"/>
        </w:rPr>
        <w:footnoteReference w:id="81"/>
      </w:r>
      <w:r w:rsidR="006500F0" w:rsidRPr="00D75E01">
        <w:t xml:space="preserve"> </w:t>
      </w:r>
    </w:p>
    <w:p w14:paraId="69976995" w14:textId="547DD750" w:rsidR="006500F0" w:rsidRDefault="006500F0" w:rsidP="006500F0">
      <w:r>
        <w:t xml:space="preserve">We compared </w:t>
      </w:r>
      <w:r w:rsidR="00AA1D9F">
        <w:t>Greater Western Water</w:t>
      </w:r>
      <w:r>
        <w:t xml:space="preserve">’s </w:t>
      </w:r>
      <w:r w:rsidRPr="00D75E01">
        <w:t>actual net capital expenditure for 2017</w:t>
      </w:r>
      <w:r w:rsidR="002E1504" w:rsidRPr="00D75E01">
        <w:noBreakHyphen/>
      </w:r>
      <w:r w:rsidRPr="00D75E01">
        <w:t>18 to 202</w:t>
      </w:r>
      <w:r w:rsidR="00223E85" w:rsidRPr="00D75E01">
        <w:t>2</w:t>
      </w:r>
      <w:r w:rsidR="002E1504" w:rsidRPr="00D75E01">
        <w:noBreakHyphen/>
      </w:r>
      <w:r w:rsidRPr="00D75E01">
        <w:t>2</w:t>
      </w:r>
      <w:r w:rsidR="009C3EF1" w:rsidRPr="00D75E01">
        <w:t>3</w:t>
      </w:r>
      <w:r>
        <w:t xml:space="preserve"> with the forecast used to approve maximum prices for the period from 1</w:t>
      </w:r>
      <w:r w:rsidR="00B000A1">
        <w:t> </w:t>
      </w:r>
      <w:r>
        <w:t xml:space="preserve">July 2018. </w:t>
      </w:r>
      <w:r w:rsidR="00EF5F0B">
        <w:t>Typically, i</w:t>
      </w:r>
      <w:r>
        <w:t>f a water corporation’s net capital expenditure was more than 10</w:t>
      </w:r>
      <w:r w:rsidR="006761A1">
        <w:t> per cent</w:t>
      </w:r>
      <w:r>
        <w:t xml:space="preserve"> above the forecast, </w:t>
      </w:r>
      <w:r w:rsidR="00831B1F">
        <w:t xml:space="preserve">we consider the business’s justification for the additional expenditure before including it in the closing regulatory asset base. </w:t>
      </w:r>
      <w:r>
        <w:t>We consider this approach is reasonable given capital expenditure can be ‘lumpy’ in nature.</w:t>
      </w:r>
      <w:r w:rsidR="00361E69">
        <w:t xml:space="preserve"> We </w:t>
      </w:r>
      <w:r w:rsidR="001963B4">
        <w:t xml:space="preserve">also </w:t>
      </w:r>
      <w:r w:rsidR="00361E69">
        <w:t xml:space="preserve">acknowledge that </w:t>
      </w:r>
      <w:r w:rsidR="00C862C4">
        <w:t xml:space="preserve">transitioning to a merged entity </w:t>
      </w:r>
      <w:r w:rsidR="001A1197">
        <w:t xml:space="preserve">may </w:t>
      </w:r>
      <w:r w:rsidR="00C862C4">
        <w:t xml:space="preserve">result in </w:t>
      </w:r>
      <w:r w:rsidR="001A1197">
        <w:t xml:space="preserve">project </w:t>
      </w:r>
      <w:r w:rsidR="00C862C4">
        <w:t>reprioritisation</w:t>
      </w:r>
      <w:r w:rsidR="00024545">
        <w:t>, affecting the profile of capital expenditure</w:t>
      </w:r>
      <w:r w:rsidR="00C862C4">
        <w:t>.</w:t>
      </w:r>
    </w:p>
    <w:p w14:paraId="70BA604D" w14:textId="77777777" w:rsidR="006A4B5D" w:rsidRPr="00D75E01" w:rsidRDefault="001304CA" w:rsidP="006500F0">
      <w:r w:rsidRPr="00D75E01">
        <w:t>Greater Western Water's net capital expenditure over the period from 2017</w:t>
      </w:r>
      <w:r w:rsidRPr="00D75E01">
        <w:noBreakHyphen/>
        <w:t>18 to 2022</w:t>
      </w:r>
      <w:r w:rsidRPr="00D75E01">
        <w:noBreakHyphen/>
        <w:t xml:space="preserve">23 was $1,156.9 million. </w:t>
      </w:r>
      <w:r w:rsidR="00AF235C" w:rsidRPr="00D75E01">
        <w:t>This is $128.0 million or 12.4 </w:t>
      </w:r>
      <w:r w:rsidRPr="00D75E01">
        <w:t xml:space="preserve">per cent higher than the forecast used to approve maximum prices </w:t>
      </w:r>
      <w:r w:rsidR="00D009A5" w:rsidRPr="00D75E01">
        <w:t xml:space="preserve">for the combined </w:t>
      </w:r>
      <w:r w:rsidR="00AE4332" w:rsidRPr="00D75E01">
        <w:t>businesses</w:t>
      </w:r>
      <w:r w:rsidR="00D009A5" w:rsidRPr="00D75E01">
        <w:t xml:space="preserve"> of City West Water and </w:t>
      </w:r>
      <w:r w:rsidR="00441426" w:rsidRPr="00D75E01">
        <w:t>Western Water</w:t>
      </w:r>
      <w:r w:rsidRPr="00D75E01">
        <w:t>.</w:t>
      </w:r>
    </w:p>
    <w:p w14:paraId="66BF0938" w14:textId="5F4CDBDC" w:rsidR="0062014E" w:rsidRPr="00D75E01" w:rsidRDefault="00D75E01" w:rsidP="0062014E">
      <w:r>
        <w:t>As noted in</w:t>
      </w:r>
      <w:r w:rsidR="00B000A1">
        <w:t xml:space="preserve"> S</w:t>
      </w:r>
      <w:r>
        <w:t>ection</w:t>
      </w:r>
      <w:r w:rsidR="00B000A1">
        <w:t> </w:t>
      </w:r>
      <w:r w:rsidR="007C664D">
        <w:t>4.2.1, o</w:t>
      </w:r>
      <w:r w:rsidR="0062014E" w:rsidRPr="00D75E01">
        <w:t xml:space="preserve">ur expenditure consultant reviewed the capital expenditure delivered in the current regulatory period and the reasoning for variances put forward by Greater Western </w:t>
      </w:r>
      <w:r w:rsidR="0062014E" w:rsidRPr="00D75E01">
        <w:lastRenderedPageBreak/>
        <w:t>Water. Our consultant considered that the increased level of expenditure compared to the benchmark is reasonable based on the information provided by Greater Western Water.</w:t>
      </w:r>
      <w:r w:rsidR="0062014E" w:rsidRPr="00D75E01">
        <w:rPr>
          <w:vertAlign w:val="superscript"/>
        </w:rPr>
        <w:footnoteReference w:id="82"/>
      </w:r>
    </w:p>
    <w:p w14:paraId="535E6A21" w14:textId="50D02B09" w:rsidR="006500F0" w:rsidRPr="00D75E01" w:rsidRDefault="0062014E" w:rsidP="006500F0">
      <w:r w:rsidRPr="00D75E01">
        <w:t xml:space="preserve">We have reviewed the recommendations of our expenditure consultant and agree with their view. </w:t>
      </w:r>
      <w:r w:rsidR="00DF7837" w:rsidRPr="00D75E01">
        <w:t>On this basis</w:t>
      </w:r>
      <w:r w:rsidR="006500F0" w:rsidRPr="00D75E01">
        <w:t xml:space="preserve">, our draft decision is to </w:t>
      </w:r>
      <w:r w:rsidR="00E439E7" w:rsidRPr="00D75E01">
        <w:t>accept</w:t>
      </w:r>
      <w:r w:rsidR="006500F0" w:rsidRPr="00D75E01">
        <w:t xml:space="preserve"> </w:t>
      </w:r>
      <w:r w:rsidR="00AA1D9F" w:rsidRPr="00D75E01">
        <w:t>Greater Western Water</w:t>
      </w:r>
      <w:r w:rsidR="006500F0" w:rsidRPr="00D75E01">
        <w:t>’s proposed closing regulatory asset base for 30</w:t>
      </w:r>
      <w:r w:rsidR="00B000A1">
        <w:t> </w:t>
      </w:r>
      <w:r w:rsidR="006500F0" w:rsidRPr="00D75E01">
        <w:t>June 202</w:t>
      </w:r>
      <w:r w:rsidR="00960174" w:rsidRPr="00D75E01">
        <w:t>3</w:t>
      </w:r>
      <w:r w:rsidR="006500F0" w:rsidRPr="00D75E01">
        <w:t xml:space="preserve"> of $</w:t>
      </w:r>
      <w:r w:rsidR="000F3BB0" w:rsidRPr="00D75E01">
        <w:t>3,255.</w:t>
      </w:r>
      <w:r w:rsidR="00B3787C" w:rsidRPr="00D75E01">
        <w:t>5</w:t>
      </w:r>
      <w:r w:rsidR="006761A1" w:rsidRPr="00D75E01">
        <w:t> million</w:t>
      </w:r>
      <w:r w:rsidR="00EE76EB" w:rsidRPr="00D75E01">
        <w:t xml:space="preserve"> as it meets the requirements of our guidance. </w:t>
      </w:r>
    </w:p>
    <w:p w14:paraId="681A5E89" w14:textId="331D7C19" w:rsidR="006500F0" w:rsidRDefault="006500F0" w:rsidP="006500F0">
      <w:r w:rsidRPr="00D75E01">
        <w:t>Table 4.</w:t>
      </w:r>
      <w:r w:rsidR="009F1F92" w:rsidRPr="00D75E01">
        <w:t>8</w:t>
      </w:r>
      <w:r>
        <w:t xml:space="preserve"> sets out our draft decision on </w:t>
      </w:r>
      <w:r w:rsidR="00AA1D9F">
        <w:t>Greater Western Water</w:t>
      </w:r>
      <w:r>
        <w:t xml:space="preserve">’s closing regulatory asset base </w:t>
      </w:r>
      <w:proofErr w:type="gramStart"/>
      <w:r>
        <w:t>at</w:t>
      </w:r>
      <w:proofErr w:type="gramEnd"/>
      <w:r>
        <w:t xml:space="preserve"> 30</w:t>
      </w:r>
      <w:r w:rsidR="00B000A1">
        <w:t> </w:t>
      </w:r>
      <w:r>
        <w:t xml:space="preserve">June </w:t>
      </w:r>
      <w:r w:rsidR="00EA00EE">
        <w:t>2023</w:t>
      </w:r>
      <w:r>
        <w:t>.</w:t>
      </w:r>
    </w:p>
    <w:p w14:paraId="56A992D9" w14:textId="77777777" w:rsidR="006500F0" w:rsidRDefault="006500F0" w:rsidP="00822E76">
      <w:pPr>
        <w:pStyle w:val="Figure-Table-BoxHeading"/>
        <w:spacing w:after="0" w:line="288" w:lineRule="auto"/>
      </w:pPr>
      <w:r w:rsidRPr="00D75E01">
        <w:t>Table 4.</w:t>
      </w:r>
      <w:r w:rsidR="009F1F92" w:rsidRPr="00D75E01">
        <w:t>8</w:t>
      </w:r>
      <w:r>
        <w:tab/>
        <w:t>Draft decision – closing regulatory asset base (RAB)</w:t>
      </w:r>
    </w:p>
    <w:p w14:paraId="427369F2" w14:textId="77777777" w:rsidR="007837E7" w:rsidRDefault="006500F0" w:rsidP="00712A31">
      <w:pPr>
        <w:pStyle w:val="Figure-Table-BoxSubtitle"/>
        <w:spacing w:before="0" w:line="240" w:lineRule="auto"/>
        <w:ind w:left="1418"/>
      </w:pPr>
      <w:r>
        <w:t>$</w:t>
      </w:r>
      <w:r w:rsidR="006761A1">
        <w:t> million</w:t>
      </w:r>
      <w:r>
        <w:t xml:space="preserve"> 202</w:t>
      </w:r>
      <w:r w:rsidR="001A70D3">
        <w:t>3</w:t>
      </w:r>
      <w:r w:rsidR="006761A1">
        <w:noBreakHyphen/>
      </w:r>
      <w:r>
        <w:t>2</w:t>
      </w:r>
      <w:r w:rsidR="001A70D3">
        <w:t>4</w:t>
      </w:r>
    </w:p>
    <w:tbl>
      <w:tblPr>
        <w:tblStyle w:val="TableGrid"/>
        <w:tblW w:w="9781" w:type="dxa"/>
        <w:tblLook w:val="04A0" w:firstRow="1" w:lastRow="0" w:firstColumn="1" w:lastColumn="0" w:noHBand="0" w:noVBand="1"/>
      </w:tblPr>
      <w:tblGrid>
        <w:gridCol w:w="2254"/>
        <w:gridCol w:w="1264"/>
        <w:gridCol w:w="1264"/>
        <w:gridCol w:w="1264"/>
        <w:gridCol w:w="1264"/>
        <w:gridCol w:w="1195"/>
        <w:gridCol w:w="1276"/>
      </w:tblGrid>
      <w:tr w:rsidR="005759A4" w14:paraId="7588D2AD" w14:textId="77777777" w:rsidTr="00E56BF6">
        <w:trPr>
          <w:cnfStyle w:val="100000000000" w:firstRow="1" w:lastRow="0" w:firstColumn="0" w:lastColumn="0" w:oddVBand="0" w:evenVBand="0" w:oddHBand="0" w:evenHBand="0" w:firstRowFirstColumn="0" w:firstRowLastColumn="0" w:lastRowFirstColumn="0" w:lastRowLastColumn="0"/>
        </w:trPr>
        <w:tc>
          <w:tcPr>
            <w:tcW w:w="2254" w:type="dxa"/>
          </w:tcPr>
          <w:p w14:paraId="60B43DF5" w14:textId="77777777" w:rsidR="005759A4" w:rsidRDefault="005759A4" w:rsidP="005759A4">
            <w:pPr>
              <w:pStyle w:val="TableHeading"/>
            </w:pPr>
          </w:p>
        </w:tc>
        <w:tc>
          <w:tcPr>
            <w:tcW w:w="1264" w:type="dxa"/>
          </w:tcPr>
          <w:p w14:paraId="7DB9C00F" w14:textId="77777777" w:rsidR="005759A4" w:rsidRPr="008D638C" w:rsidRDefault="005759A4" w:rsidP="00112473">
            <w:pPr>
              <w:pStyle w:val="TableHeading"/>
              <w:ind w:right="113"/>
              <w:jc w:val="right"/>
            </w:pPr>
            <w:r w:rsidRPr="008D638C">
              <w:t>2017</w:t>
            </w:r>
            <w:r w:rsidR="006761A1" w:rsidRPr="008D638C">
              <w:noBreakHyphen/>
            </w:r>
            <w:r w:rsidRPr="008D638C">
              <w:t>18</w:t>
            </w:r>
          </w:p>
        </w:tc>
        <w:tc>
          <w:tcPr>
            <w:tcW w:w="1264" w:type="dxa"/>
          </w:tcPr>
          <w:p w14:paraId="5A09FA68" w14:textId="77777777" w:rsidR="005759A4" w:rsidRPr="008D638C" w:rsidRDefault="005759A4" w:rsidP="00112473">
            <w:pPr>
              <w:pStyle w:val="TableHeading"/>
              <w:ind w:right="113"/>
              <w:jc w:val="right"/>
            </w:pPr>
            <w:r w:rsidRPr="008D638C">
              <w:t>2018</w:t>
            </w:r>
            <w:r w:rsidR="006761A1" w:rsidRPr="008D638C">
              <w:noBreakHyphen/>
            </w:r>
            <w:r w:rsidRPr="008D638C">
              <w:t>19</w:t>
            </w:r>
          </w:p>
        </w:tc>
        <w:tc>
          <w:tcPr>
            <w:tcW w:w="1264" w:type="dxa"/>
          </w:tcPr>
          <w:p w14:paraId="4BD84478" w14:textId="77777777" w:rsidR="005759A4" w:rsidRPr="008D638C" w:rsidRDefault="005759A4" w:rsidP="00112473">
            <w:pPr>
              <w:pStyle w:val="TableHeading"/>
              <w:ind w:right="113"/>
              <w:jc w:val="right"/>
            </w:pPr>
            <w:r w:rsidRPr="008D638C">
              <w:t>2019</w:t>
            </w:r>
            <w:r w:rsidR="006761A1" w:rsidRPr="008D638C">
              <w:noBreakHyphen/>
            </w:r>
            <w:r w:rsidRPr="008D638C">
              <w:t>20</w:t>
            </w:r>
          </w:p>
        </w:tc>
        <w:tc>
          <w:tcPr>
            <w:tcW w:w="1264" w:type="dxa"/>
          </w:tcPr>
          <w:p w14:paraId="42C77D85" w14:textId="77777777" w:rsidR="005759A4" w:rsidRPr="008D638C" w:rsidRDefault="005759A4" w:rsidP="00112473">
            <w:pPr>
              <w:pStyle w:val="TableHeading"/>
              <w:ind w:right="113"/>
              <w:jc w:val="right"/>
            </w:pPr>
            <w:r w:rsidRPr="008D638C">
              <w:t>2020</w:t>
            </w:r>
            <w:r w:rsidR="006761A1" w:rsidRPr="008D638C">
              <w:noBreakHyphen/>
            </w:r>
            <w:r w:rsidRPr="008D638C">
              <w:t>21</w:t>
            </w:r>
          </w:p>
        </w:tc>
        <w:tc>
          <w:tcPr>
            <w:tcW w:w="1195" w:type="dxa"/>
          </w:tcPr>
          <w:p w14:paraId="7A272D8E" w14:textId="77777777" w:rsidR="008D638C" w:rsidRPr="008D638C" w:rsidRDefault="008D638C" w:rsidP="00112473">
            <w:pPr>
              <w:pStyle w:val="TableHeading"/>
              <w:ind w:right="113"/>
              <w:jc w:val="right"/>
            </w:pPr>
            <w:r w:rsidRPr="008D638C">
              <w:t>2021</w:t>
            </w:r>
            <w:r w:rsidRPr="008D638C">
              <w:noBreakHyphen/>
              <w:t>22</w:t>
            </w:r>
          </w:p>
        </w:tc>
        <w:tc>
          <w:tcPr>
            <w:tcW w:w="1276" w:type="dxa"/>
          </w:tcPr>
          <w:p w14:paraId="4C0BA369" w14:textId="77777777" w:rsidR="005759A4" w:rsidRPr="008D638C" w:rsidRDefault="008D638C" w:rsidP="00112473">
            <w:pPr>
              <w:pStyle w:val="TableHeading"/>
              <w:ind w:right="113"/>
              <w:jc w:val="right"/>
            </w:pPr>
            <w:r w:rsidRPr="008D638C">
              <w:t>202</w:t>
            </w:r>
            <w:r>
              <w:t>2</w:t>
            </w:r>
            <w:r w:rsidRPr="008D638C">
              <w:noBreakHyphen/>
              <w:t>2</w:t>
            </w:r>
            <w:r>
              <w:t>3</w:t>
            </w:r>
          </w:p>
        </w:tc>
      </w:tr>
      <w:tr w:rsidR="00B27E55" w14:paraId="3F64E7B9" w14:textId="77777777" w:rsidTr="00E56BF6">
        <w:trPr>
          <w:cnfStyle w:val="000000100000" w:firstRow="0" w:lastRow="0" w:firstColumn="0" w:lastColumn="0" w:oddVBand="0" w:evenVBand="0" w:oddHBand="1" w:evenHBand="0" w:firstRowFirstColumn="0" w:firstRowLastColumn="0" w:lastRowFirstColumn="0" w:lastRowLastColumn="0"/>
        </w:trPr>
        <w:tc>
          <w:tcPr>
            <w:tcW w:w="2254" w:type="dxa"/>
          </w:tcPr>
          <w:p w14:paraId="1D072764" w14:textId="77777777" w:rsidR="00B27E55" w:rsidRDefault="00B27E55" w:rsidP="00B27E55">
            <w:pPr>
              <w:pStyle w:val="TableBody"/>
            </w:pPr>
            <w:r w:rsidRPr="005A6E10">
              <w:t>Opening RAB 1 July</w:t>
            </w:r>
          </w:p>
        </w:tc>
        <w:tc>
          <w:tcPr>
            <w:tcW w:w="1264" w:type="dxa"/>
            <w:vAlign w:val="center"/>
          </w:tcPr>
          <w:p w14:paraId="367EFA93" w14:textId="77777777" w:rsidR="00B27E55" w:rsidRPr="00D75E01" w:rsidRDefault="00E56BF6" w:rsidP="00112473">
            <w:pPr>
              <w:pStyle w:val="TableBody"/>
              <w:ind w:right="113"/>
              <w:jc w:val="right"/>
            </w:pPr>
            <w:r w:rsidRPr="00D75E01">
              <w:rPr>
                <w:rFonts w:ascii="Arial" w:hAnsi="Arial" w:cs="Arial"/>
                <w:color w:val="000000"/>
              </w:rPr>
              <w:t xml:space="preserve">  2,699.7 </w:t>
            </w:r>
          </w:p>
        </w:tc>
        <w:tc>
          <w:tcPr>
            <w:tcW w:w="1264" w:type="dxa"/>
            <w:vAlign w:val="center"/>
          </w:tcPr>
          <w:p w14:paraId="405FABAD" w14:textId="77777777" w:rsidR="00B27E55" w:rsidRPr="00D75E01" w:rsidRDefault="00E56BF6" w:rsidP="00112473">
            <w:pPr>
              <w:pStyle w:val="TableBody"/>
              <w:ind w:right="113"/>
              <w:jc w:val="right"/>
            </w:pPr>
            <w:r w:rsidRPr="00D75E01">
              <w:rPr>
                <w:rFonts w:ascii="Arial" w:hAnsi="Arial" w:cs="Arial"/>
                <w:color w:val="000000"/>
              </w:rPr>
              <w:t xml:space="preserve">  2,766.9 </w:t>
            </w:r>
          </w:p>
        </w:tc>
        <w:tc>
          <w:tcPr>
            <w:tcW w:w="1264" w:type="dxa"/>
            <w:vAlign w:val="center"/>
          </w:tcPr>
          <w:p w14:paraId="3149D042" w14:textId="77777777" w:rsidR="00B27E55" w:rsidRPr="00D75E01" w:rsidRDefault="00E56BF6" w:rsidP="00112473">
            <w:pPr>
              <w:pStyle w:val="TableBody"/>
              <w:ind w:right="113"/>
              <w:jc w:val="right"/>
            </w:pPr>
            <w:r w:rsidRPr="00D75E01">
              <w:rPr>
                <w:rFonts w:ascii="Arial" w:hAnsi="Arial" w:cs="Arial"/>
                <w:color w:val="000000"/>
              </w:rPr>
              <w:t xml:space="preserve">  2,826.8 </w:t>
            </w:r>
          </w:p>
        </w:tc>
        <w:tc>
          <w:tcPr>
            <w:tcW w:w="1264" w:type="dxa"/>
            <w:vAlign w:val="center"/>
          </w:tcPr>
          <w:p w14:paraId="77C74798" w14:textId="77777777" w:rsidR="00B27E55" w:rsidRPr="00D75E01" w:rsidRDefault="00E56BF6" w:rsidP="00112473">
            <w:pPr>
              <w:pStyle w:val="TableBody"/>
              <w:ind w:right="113"/>
              <w:jc w:val="right"/>
            </w:pPr>
            <w:r w:rsidRPr="00D75E01">
              <w:rPr>
                <w:rFonts w:ascii="Arial" w:hAnsi="Arial" w:cs="Arial"/>
                <w:color w:val="000000"/>
              </w:rPr>
              <w:t xml:space="preserve">  2,914.8 </w:t>
            </w:r>
          </w:p>
        </w:tc>
        <w:tc>
          <w:tcPr>
            <w:tcW w:w="1195" w:type="dxa"/>
            <w:vAlign w:val="center"/>
          </w:tcPr>
          <w:p w14:paraId="33128755" w14:textId="77777777" w:rsidR="00E56BF6" w:rsidRPr="00D75E01" w:rsidRDefault="00E56BF6" w:rsidP="00E56BF6">
            <w:pPr>
              <w:pStyle w:val="TableBody"/>
              <w:ind w:right="113"/>
              <w:jc w:val="right"/>
              <w:rPr>
                <w:rFonts w:ascii="Arial" w:hAnsi="Arial" w:cs="Arial"/>
                <w:color w:val="000000"/>
              </w:rPr>
            </w:pPr>
            <w:r w:rsidRPr="00D75E01">
              <w:rPr>
                <w:rFonts w:ascii="Arial" w:hAnsi="Arial" w:cs="Arial"/>
                <w:color w:val="000000"/>
              </w:rPr>
              <w:t xml:space="preserve">  3,021.1 </w:t>
            </w:r>
          </w:p>
        </w:tc>
        <w:tc>
          <w:tcPr>
            <w:tcW w:w="1276" w:type="dxa"/>
            <w:vAlign w:val="center"/>
          </w:tcPr>
          <w:p w14:paraId="68DE9E1F" w14:textId="77777777" w:rsidR="00B27E55" w:rsidRPr="00D75E01" w:rsidRDefault="00E56BF6" w:rsidP="00112473">
            <w:pPr>
              <w:pStyle w:val="TableBody"/>
              <w:ind w:right="113"/>
              <w:jc w:val="right"/>
            </w:pPr>
            <w:r w:rsidRPr="00D75E01">
              <w:rPr>
                <w:rFonts w:ascii="Arial" w:hAnsi="Arial" w:cs="Arial"/>
                <w:color w:val="000000"/>
              </w:rPr>
              <w:t xml:space="preserve">   3,109.6 </w:t>
            </w:r>
          </w:p>
        </w:tc>
      </w:tr>
      <w:tr w:rsidR="00B27E55" w14:paraId="11FCAD00" w14:textId="77777777" w:rsidTr="00E56BF6">
        <w:trPr>
          <w:cnfStyle w:val="000000010000" w:firstRow="0" w:lastRow="0" w:firstColumn="0" w:lastColumn="0" w:oddVBand="0" w:evenVBand="0" w:oddHBand="0" w:evenHBand="1" w:firstRowFirstColumn="0" w:firstRowLastColumn="0" w:lastRowFirstColumn="0" w:lastRowLastColumn="0"/>
        </w:trPr>
        <w:tc>
          <w:tcPr>
            <w:tcW w:w="2254" w:type="dxa"/>
          </w:tcPr>
          <w:p w14:paraId="1D1A8398" w14:textId="77777777" w:rsidR="00B27E55" w:rsidRDefault="00B27E55" w:rsidP="00B27E55">
            <w:pPr>
              <w:pStyle w:val="TableBody"/>
            </w:pPr>
            <w:proofErr w:type="gramStart"/>
            <w:r w:rsidRPr="005A6E10">
              <w:t>Plus</w:t>
            </w:r>
            <w:proofErr w:type="gramEnd"/>
            <w:r w:rsidRPr="005A6E10">
              <w:t xml:space="preserve"> gross capital expenditure</w:t>
            </w:r>
          </w:p>
        </w:tc>
        <w:tc>
          <w:tcPr>
            <w:tcW w:w="1264" w:type="dxa"/>
            <w:vAlign w:val="center"/>
          </w:tcPr>
          <w:p w14:paraId="1D371A77" w14:textId="77777777" w:rsidR="00B27E55" w:rsidRPr="00D75E01" w:rsidRDefault="00E56BF6" w:rsidP="00112473">
            <w:pPr>
              <w:pStyle w:val="TableBody"/>
              <w:ind w:right="113"/>
              <w:jc w:val="right"/>
            </w:pPr>
            <w:r w:rsidRPr="00D75E01">
              <w:rPr>
                <w:rFonts w:ascii="Arial" w:hAnsi="Arial" w:cs="Arial"/>
                <w:color w:val="000000"/>
              </w:rPr>
              <w:t xml:space="preserve">     207.0 </w:t>
            </w:r>
          </w:p>
        </w:tc>
        <w:tc>
          <w:tcPr>
            <w:tcW w:w="1264" w:type="dxa"/>
            <w:vAlign w:val="center"/>
          </w:tcPr>
          <w:p w14:paraId="65FEFC34" w14:textId="77777777" w:rsidR="00B27E55" w:rsidRPr="00D75E01" w:rsidRDefault="00E56BF6" w:rsidP="00112473">
            <w:pPr>
              <w:pStyle w:val="TableBody"/>
              <w:ind w:right="113"/>
              <w:jc w:val="right"/>
            </w:pPr>
            <w:r w:rsidRPr="00D75E01">
              <w:rPr>
                <w:rFonts w:ascii="Arial" w:hAnsi="Arial" w:cs="Arial"/>
                <w:color w:val="000000"/>
              </w:rPr>
              <w:t xml:space="preserve">     230.1 </w:t>
            </w:r>
          </w:p>
        </w:tc>
        <w:tc>
          <w:tcPr>
            <w:tcW w:w="1264" w:type="dxa"/>
            <w:vAlign w:val="center"/>
          </w:tcPr>
          <w:p w14:paraId="021E40D8" w14:textId="77777777" w:rsidR="00B27E55" w:rsidRPr="00D75E01" w:rsidRDefault="00E56BF6" w:rsidP="00112473">
            <w:pPr>
              <w:pStyle w:val="TableBody"/>
              <w:ind w:right="113"/>
              <w:jc w:val="right"/>
            </w:pPr>
            <w:r w:rsidRPr="00D75E01">
              <w:rPr>
                <w:rFonts w:ascii="Arial" w:hAnsi="Arial" w:cs="Arial"/>
                <w:color w:val="000000"/>
              </w:rPr>
              <w:t xml:space="preserve">     274.5 </w:t>
            </w:r>
          </w:p>
        </w:tc>
        <w:tc>
          <w:tcPr>
            <w:tcW w:w="1264" w:type="dxa"/>
            <w:vAlign w:val="center"/>
          </w:tcPr>
          <w:p w14:paraId="5DAA4BCD" w14:textId="77777777" w:rsidR="00B27E55" w:rsidRPr="00D75E01" w:rsidRDefault="00E56BF6" w:rsidP="00112473">
            <w:pPr>
              <w:pStyle w:val="TableBody"/>
              <w:ind w:right="113"/>
              <w:jc w:val="right"/>
            </w:pPr>
            <w:r w:rsidRPr="00D75E01">
              <w:rPr>
                <w:rFonts w:ascii="Arial" w:hAnsi="Arial" w:cs="Arial"/>
                <w:color w:val="000000"/>
              </w:rPr>
              <w:t xml:space="preserve">     286.8 </w:t>
            </w:r>
          </w:p>
        </w:tc>
        <w:tc>
          <w:tcPr>
            <w:tcW w:w="1195" w:type="dxa"/>
            <w:vAlign w:val="center"/>
          </w:tcPr>
          <w:p w14:paraId="692ACD31" w14:textId="77777777" w:rsidR="00E56BF6" w:rsidRPr="00D75E01" w:rsidRDefault="00E56BF6" w:rsidP="00E56BF6">
            <w:pPr>
              <w:pStyle w:val="TableBody"/>
              <w:ind w:right="113"/>
              <w:jc w:val="right"/>
              <w:rPr>
                <w:rFonts w:ascii="Arial" w:hAnsi="Arial" w:cs="Arial"/>
                <w:color w:val="000000"/>
              </w:rPr>
            </w:pPr>
            <w:r w:rsidRPr="00D75E01">
              <w:rPr>
                <w:rFonts w:ascii="Arial" w:hAnsi="Arial" w:cs="Arial"/>
                <w:color w:val="000000"/>
              </w:rPr>
              <w:t xml:space="preserve">     281.4 </w:t>
            </w:r>
          </w:p>
        </w:tc>
        <w:tc>
          <w:tcPr>
            <w:tcW w:w="1276" w:type="dxa"/>
            <w:vAlign w:val="center"/>
          </w:tcPr>
          <w:p w14:paraId="2A0EB9DA" w14:textId="77777777" w:rsidR="00B27E55" w:rsidRPr="00D75E01" w:rsidRDefault="00E56BF6" w:rsidP="00112473">
            <w:pPr>
              <w:pStyle w:val="TableBody"/>
              <w:ind w:right="113"/>
              <w:jc w:val="right"/>
            </w:pPr>
            <w:r w:rsidRPr="00D75E01">
              <w:rPr>
                <w:rFonts w:ascii="Arial" w:hAnsi="Arial" w:cs="Arial"/>
                <w:color w:val="000000"/>
              </w:rPr>
              <w:t xml:space="preserve">      336.4 </w:t>
            </w:r>
          </w:p>
        </w:tc>
      </w:tr>
      <w:tr w:rsidR="00B27E55" w14:paraId="2FF02B6A" w14:textId="77777777" w:rsidTr="00E56BF6">
        <w:trPr>
          <w:cnfStyle w:val="000000100000" w:firstRow="0" w:lastRow="0" w:firstColumn="0" w:lastColumn="0" w:oddVBand="0" w:evenVBand="0" w:oddHBand="1" w:evenHBand="0" w:firstRowFirstColumn="0" w:firstRowLastColumn="0" w:lastRowFirstColumn="0" w:lastRowLastColumn="0"/>
        </w:trPr>
        <w:tc>
          <w:tcPr>
            <w:tcW w:w="2254" w:type="dxa"/>
          </w:tcPr>
          <w:p w14:paraId="25859372" w14:textId="77777777" w:rsidR="00B27E55" w:rsidRDefault="00B27E55" w:rsidP="00B27E55">
            <w:pPr>
              <w:pStyle w:val="TableBody"/>
            </w:pPr>
            <w:r w:rsidRPr="005A6E10">
              <w:t>Less government contributions</w:t>
            </w:r>
          </w:p>
        </w:tc>
        <w:tc>
          <w:tcPr>
            <w:tcW w:w="1264" w:type="dxa"/>
            <w:vAlign w:val="center"/>
          </w:tcPr>
          <w:p w14:paraId="107649F8" w14:textId="77777777" w:rsidR="00B27E55" w:rsidRPr="00D75E01" w:rsidRDefault="00E56BF6" w:rsidP="00112473">
            <w:pPr>
              <w:pStyle w:val="TableBody"/>
              <w:ind w:right="113"/>
              <w:jc w:val="right"/>
            </w:pPr>
            <w:r w:rsidRPr="00D75E01">
              <w:rPr>
                <w:rFonts w:ascii="Arial" w:hAnsi="Arial" w:cs="Arial"/>
                <w:color w:val="000000"/>
              </w:rPr>
              <w:t xml:space="preserve">          -   </w:t>
            </w:r>
          </w:p>
        </w:tc>
        <w:tc>
          <w:tcPr>
            <w:tcW w:w="1264" w:type="dxa"/>
            <w:vAlign w:val="center"/>
          </w:tcPr>
          <w:p w14:paraId="2500627F" w14:textId="77777777" w:rsidR="00B27E55" w:rsidRPr="00D75E01" w:rsidRDefault="00E56BF6" w:rsidP="00112473">
            <w:pPr>
              <w:pStyle w:val="TableBody"/>
              <w:ind w:right="113"/>
              <w:jc w:val="right"/>
            </w:pPr>
            <w:r w:rsidRPr="00D75E01">
              <w:rPr>
                <w:rFonts w:ascii="Arial" w:hAnsi="Arial" w:cs="Arial"/>
                <w:color w:val="000000"/>
              </w:rPr>
              <w:t xml:space="preserve">          -   </w:t>
            </w:r>
          </w:p>
        </w:tc>
        <w:tc>
          <w:tcPr>
            <w:tcW w:w="1264" w:type="dxa"/>
            <w:vAlign w:val="center"/>
          </w:tcPr>
          <w:p w14:paraId="1ACF6CD8" w14:textId="77777777" w:rsidR="00B27E55" w:rsidRPr="00D75E01" w:rsidRDefault="00E56BF6" w:rsidP="00112473">
            <w:pPr>
              <w:pStyle w:val="TableBody"/>
              <w:ind w:right="113"/>
              <w:jc w:val="right"/>
            </w:pPr>
            <w:r w:rsidRPr="00D75E01">
              <w:rPr>
                <w:rFonts w:ascii="Arial" w:hAnsi="Arial" w:cs="Arial"/>
                <w:color w:val="000000"/>
              </w:rPr>
              <w:t xml:space="preserve">          -   </w:t>
            </w:r>
          </w:p>
        </w:tc>
        <w:tc>
          <w:tcPr>
            <w:tcW w:w="1264" w:type="dxa"/>
            <w:vAlign w:val="center"/>
          </w:tcPr>
          <w:p w14:paraId="228F519E" w14:textId="77777777" w:rsidR="00B27E55" w:rsidRPr="00D75E01" w:rsidRDefault="00E56BF6" w:rsidP="00112473">
            <w:pPr>
              <w:pStyle w:val="TableBody"/>
              <w:ind w:right="113"/>
              <w:jc w:val="right"/>
            </w:pPr>
            <w:r w:rsidRPr="00D75E01">
              <w:rPr>
                <w:rFonts w:ascii="Arial" w:hAnsi="Arial" w:cs="Arial"/>
                <w:color w:val="000000"/>
              </w:rPr>
              <w:t xml:space="preserve">          -   </w:t>
            </w:r>
          </w:p>
        </w:tc>
        <w:tc>
          <w:tcPr>
            <w:tcW w:w="1195" w:type="dxa"/>
            <w:vAlign w:val="center"/>
          </w:tcPr>
          <w:p w14:paraId="6F3AE83F" w14:textId="77777777" w:rsidR="00E56BF6" w:rsidRPr="00D75E01" w:rsidRDefault="00E56BF6" w:rsidP="00E56BF6">
            <w:pPr>
              <w:pStyle w:val="TableBody"/>
              <w:ind w:right="113"/>
              <w:jc w:val="right"/>
              <w:rPr>
                <w:rFonts w:ascii="Arial" w:hAnsi="Arial" w:cs="Arial"/>
                <w:color w:val="000000"/>
              </w:rPr>
            </w:pPr>
            <w:r w:rsidRPr="00D75E01">
              <w:rPr>
                <w:rFonts w:ascii="Arial" w:hAnsi="Arial" w:cs="Arial"/>
                <w:color w:val="000000"/>
              </w:rPr>
              <w:t xml:space="preserve">       12.1 </w:t>
            </w:r>
          </w:p>
        </w:tc>
        <w:tc>
          <w:tcPr>
            <w:tcW w:w="1276" w:type="dxa"/>
            <w:vAlign w:val="center"/>
          </w:tcPr>
          <w:p w14:paraId="41ECAE86" w14:textId="77777777" w:rsidR="00B27E55" w:rsidRPr="00D75E01" w:rsidRDefault="00E56BF6" w:rsidP="00112473">
            <w:pPr>
              <w:pStyle w:val="TableBody"/>
              <w:ind w:right="113"/>
              <w:jc w:val="right"/>
            </w:pPr>
            <w:r w:rsidRPr="00D75E01">
              <w:rPr>
                <w:rFonts w:ascii="Arial" w:hAnsi="Arial" w:cs="Arial"/>
                <w:color w:val="000000"/>
              </w:rPr>
              <w:t xml:space="preserve">          5.7 </w:t>
            </w:r>
          </w:p>
        </w:tc>
      </w:tr>
      <w:tr w:rsidR="00B27E55" w14:paraId="41818978" w14:textId="77777777" w:rsidTr="00E56BF6">
        <w:trPr>
          <w:cnfStyle w:val="000000010000" w:firstRow="0" w:lastRow="0" w:firstColumn="0" w:lastColumn="0" w:oddVBand="0" w:evenVBand="0" w:oddHBand="0" w:evenHBand="1" w:firstRowFirstColumn="0" w:firstRowLastColumn="0" w:lastRowFirstColumn="0" w:lastRowLastColumn="0"/>
        </w:trPr>
        <w:tc>
          <w:tcPr>
            <w:tcW w:w="2254" w:type="dxa"/>
          </w:tcPr>
          <w:p w14:paraId="2BBE4818" w14:textId="77777777" w:rsidR="00B27E55" w:rsidRDefault="00B27E55" w:rsidP="00B27E55">
            <w:pPr>
              <w:pStyle w:val="TableBody"/>
            </w:pPr>
            <w:r w:rsidRPr="005A6E10">
              <w:t>Less customer contributions</w:t>
            </w:r>
          </w:p>
        </w:tc>
        <w:tc>
          <w:tcPr>
            <w:tcW w:w="1264" w:type="dxa"/>
            <w:vAlign w:val="center"/>
          </w:tcPr>
          <w:p w14:paraId="3DE0783E" w14:textId="77777777" w:rsidR="00B27E55" w:rsidRPr="00D75E01" w:rsidRDefault="00E56BF6" w:rsidP="00112473">
            <w:pPr>
              <w:pStyle w:val="TableBody"/>
              <w:ind w:right="113"/>
              <w:jc w:val="right"/>
            </w:pPr>
            <w:r w:rsidRPr="00D75E01">
              <w:rPr>
                <w:rFonts w:ascii="Arial" w:hAnsi="Arial" w:cs="Arial"/>
                <w:color w:val="000000"/>
              </w:rPr>
              <w:t xml:space="preserve">       58.7 </w:t>
            </w:r>
          </w:p>
        </w:tc>
        <w:tc>
          <w:tcPr>
            <w:tcW w:w="1264" w:type="dxa"/>
            <w:vAlign w:val="center"/>
          </w:tcPr>
          <w:p w14:paraId="6771ACDA" w14:textId="77777777" w:rsidR="00B27E55" w:rsidRPr="00D75E01" w:rsidRDefault="00E56BF6" w:rsidP="00112473">
            <w:pPr>
              <w:pStyle w:val="TableBody"/>
              <w:ind w:right="113"/>
              <w:jc w:val="right"/>
            </w:pPr>
            <w:r w:rsidRPr="00D75E01">
              <w:rPr>
                <w:rFonts w:ascii="Arial" w:hAnsi="Arial" w:cs="Arial"/>
                <w:color w:val="000000"/>
              </w:rPr>
              <w:t xml:space="preserve">       68.8 </w:t>
            </w:r>
          </w:p>
        </w:tc>
        <w:tc>
          <w:tcPr>
            <w:tcW w:w="1264" w:type="dxa"/>
            <w:vAlign w:val="center"/>
          </w:tcPr>
          <w:p w14:paraId="0F01083B" w14:textId="77777777" w:rsidR="00B27E55" w:rsidRPr="00D75E01" w:rsidRDefault="00E56BF6" w:rsidP="00112473">
            <w:pPr>
              <w:pStyle w:val="TableBody"/>
              <w:ind w:right="113"/>
              <w:jc w:val="right"/>
            </w:pPr>
            <w:r w:rsidRPr="00D75E01">
              <w:rPr>
                <w:rFonts w:ascii="Arial" w:hAnsi="Arial" w:cs="Arial"/>
                <w:color w:val="000000"/>
              </w:rPr>
              <w:t xml:space="preserve">       85.3 </w:t>
            </w:r>
          </w:p>
        </w:tc>
        <w:tc>
          <w:tcPr>
            <w:tcW w:w="1264" w:type="dxa"/>
            <w:vAlign w:val="center"/>
          </w:tcPr>
          <w:p w14:paraId="35A57B87" w14:textId="77777777" w:rsidR="00B27E55" w:rsidRPr="00D75E01" w:rsidRDefault="00E56BF6" w:rsidP="00112473">
            <w:pPr>
              <w:pStyle w:val="TableBody"/>
              <w:ind w:right="113"/>
              <w:jc w:val="right"/>
            </w:pPr>
            <w:r w:rsidRPr="00D75E01">
              <w:rPr>
                <w:rFonts w:ascii="Arial" w:hAnsi="Arial" w:cs="Arial"/>
                <w:color w:val="000000"/>
              </w:rPr>
              <w:t xml:space="preserve">       72.9 </w:t>
            </w:r>
          </w:p>
        </w:tc>
        <w:tc>
          <w:tcPr>
            <w:tcW w:w="1195" w:type="dxa"/>
            <w:vAlign w:val="center"/>
          </w:tcPr>
          <w:p w14:paraId="2880B772" w14:textId="77777777" w:rsidR="00E56BF6" w:rsidRPr="00D75E01" w:rsidRDefault="00E56BF6" w:rsidP="00E56BF6">
            <w:pPr>
              <w:pStyle w:val="TableBody"/>
              <w:ind w:right="113"/>
              <w:jc w:val="right"/>
              <w:rPr>
                <w:rFonts w:ascii="Arial" w:hAnsi="Arial" w:cs="Arial"/>
                <w:color w:val="000000"/>
              </w:rPr>
            </w:pPr>
            <w:r w:rsidRPr="00D75E01">
              <w:rPr>
                <w:rFonts w:ascii="Arial" w:hAnsi="Arial" w:cs="Arial"/>
                <w:color w:val="000000"/>
              </w:rPr>
              <w:t xml:space="preserve">       67.7 </w:t>
            </w:r>
          </w:p>
        </w:tc>
        <w:tc>
          <w:tcPr>
            <w:tcW w:w="1276" w:type="dxa"/>
            <w:vAlign w:val="center"/>
          </w:tcPr>
          <w:p w14:paraId="6D0A5C3D" w14:textId="77777777" w:rsidR="00B27E55" w:rsidRPr="00D75E01" w:rsidRDefault="00E56BF6" w:rsidP="00112473">
            <w:pPr>
              <w:pStyle w:val="TableBody"/>
              <w:ind w:right="113"/>
              <w:jc w:val="right"/>
            </w:pPr>
            <w:r w:rsidRPr="00D75E01">
              <w:rPr>
                <w:rFonts w:ascii="Arial" w:hAnsi="Arial" w:cs="Arial"/>
                <w:color w:val="000000"/>
              </w:rPr>
              <w:t xml:space="preserve">        88.1 </w:t>
            </w:r>
          </w:p>
        </w:tc>
      </w:tr>
      <w:tr w:rsidR="00B27E55" w14:paraId="6F571E6F" w14:textId="77777777" w:rsidTr="00E56BF6">
        <w:trPr>
          <w:cnfStyle w:val="000000100000" w:firstRow="0" w:lastRow="0" w:firstColumn="0" w:lastColumn="0" w:oddVBand="0" w:evenVBand="0" w:oddHBand="1" w:evenHBand="0" w:firstRowFirstColumn="0" w:firstRowLastColumn="0" w:lastRowFirstColumn="0" w:lastRowLastColumn="0"/>
        </w:trPr>
        <w:tc>
          <w:tcPr>
            <w:tcW w:w="2254" w:type="dxa"/>
          </w:tcPr>
          <w:p w14:paraId="21839D6F" w14:textId="77777777" w:rsidR="00B27E55" w:rsidRDefault="00B27E55" w:rsidP="00B27E55">
            <w:pPr>
              <w:pStyle w:val="TableBody"/>
            </w:pPr>
            <w:r w:rsidRPr="005A6E10">
              <w:t>Less proceeds from disposals</w:t>
            </w:r>
          </w:p>
        </w:tc>
        <w:tc>
          <w:tcPr>
            <w:tcW w:w="1264" w:type="dxa"/>
            <w:vAlign w:val="center"/>
          </w:tcPr>
          <w:p w14:paraId="513B60D3" w14:textId="77777777" w:rsidR="00B27E55" w:rsidRPr="00D75E01" w:rsidRDefault="00E56BF6" w:rsidP="00112473">
            <w:pPr>
              <w:pStyle w:val="TableBody"/>
              <w:ind w:right="113"/>
              <w:jc w:val="right"/>
            </w:pPr>
            <w:r w:rsidRPr="00D75E01">
              <w:rPr>
                <w:rFonts w:ascii="Arial" w:hAnsi="Arial" w:cs="Arial"/>
                <w:color w:val="000000"/>
              </w:rPr>
              <w:t xml:space="preserve">         1.0 </w:t>
            </w:r>
          </w:p>
        </w:tc>
        <w:tc>
          <w:tcPr>
            <w:tcW w:w="1264" w:type="dxa"/>
            <w:vAlign w:val="center"/>
          </w:tcPr>
          <w:p w14:paraId="6DFE4CA6" w14:textId="77777777" w:rsidR="00B27E55" w:rsidRPr="00D75E01" w:rsidRDefault="00E56BF6" w:rsidP="00112473">
            <w:pPr>
              <w:pStyle w:val="TableBody"/>
              <w:ind w:right="113"/>
              <w:jc w:val="right"/>
            </w:pPr>
            <w:r w:rsidRPr="00D75E01">
              <w:rPr>
                <w:rFonts w:ascii="Arial" w:hAnsi="Arial" w:cs="Arial"/>
                <w:color w:val="000000"/>
              </w:rPr>
              <w:t xml:space="preserve">         1.3 </w:t>
            </w:r>
          </w:p>
        </w:tc>
        <w:tc>
          <w:tcPr>
            <w:tcW w:w="1264" w:type="dxa"/>
            <w:vAlign w:val="center"/>
          </w:tcPr>
          <w:p w14:paraId="4FCF7FE1" w14:textId="77777777" w:rsidR="00B27E55" w:rsidRPr="00D75E01" w:rsidRDefault="00E56BF6" w:rsidP="00112473">
            <w:pPr>
              <w:pStyle w:val="TableBody"/>
              <w:ind w:right="113"/>
              <w:jc w:val="right"/>
            </w:pPr>
            <w:r w:rsidRPr="00D75E01">
              <w:rPr>
                <w:rFonts w:ascii="Arial" w:hAnsi="Arial" w:cs="Arial"/>
                <w:color w:val="000000"/>
              </w:rPr>
              <w:t xml:space="preserve">         0.8 </w:t>
            </w:r>
          </w:p>
        </w:tc>
        <w:tc>
          <w:tcPr>
            <w:tcW w:w="1264" w:type="dxa"/>
            <w:vAlign w:val="center"/>
          </w:tcPr>
          <w:p w14:paraId="6669B314" w14:textId="77777777" w:rsidR="00B27E55" w:rsidRPr="00D75E01" w:rsidRDefault="00E56BF6" w:rsidP="00112473">
            <w:pPr>
              <w:pStyle w:val="TableBody"/>
              <w:ind w:right="113"/>
              <w:jc w:val="right"/>
            </w:pPr>
            <w:r w:rsidRPr="00D75E01">
              <w:rPr>
                <w:rFonts w:ascii="Arial" w:hAnsi="Arial" w:cs="Arial"/>
                <w:color w:val="000000"/>
              </w:rPr>
              <w:t xml:space="preserve">         1.0 </w:t>
            </w:r>
          </w:p>
        </w:tc>
        <w:tc>
          <w:tcPr>
            <w:tcW w:w="1195" w:type="dxa"/>
            <w:vAlign w:val="center"/>
          </w:tcPr>
          <w:p w14:paraId="0007E607" w14:textId="77777777" w:rsidR="00E56BF6" w:rsidRPr="00D75E01" w:rsidRDefault="00E56BF6" w:rsidP="00E56BF6">
            <w:pPr>
              <w:pStyle w:val="TableBody"/>
              <w:ind w:right="113"/>
              <w:jc w:val="right"/>
              <w:rPr>
                <w:rFonts w:ascii="Arial" w:hAnsi="Arial" w:cs="Arial"/>
                <w:color w:val="000000"/>
              </w:rPr>
            </w:pPr>
            <w:r w:rsidRPr="00D75E01">
              <w:rPr>
                <w:rFonts w:ascii="Arial" w:hAnsi="Arial" w:cs="Arial"/>
                <w:color w:val="000000"/>
              </w:rPr>
              <w:t xml:space="preserve">         3.0 </w:t>
            </w:r>
          </w:p>
        </w:tc>
        <w:tc>
          <w:tcPr>
            <w:tcW w:w="1276" w:type="dxa"/>
            <w:vAlign w:val="center"/>
          </w:tcPr>
          <w:p w14:paraId="4A105343" w14:textId="77777777" w:rsidR="00B27E55" w:rsidRPr="00D75E01" w:rsidRDefault="00E56BF6" w:rsidP="00112473">
            <w:pPr>
              <w:pStyle w:val="TableBody"/>
              <w:ind w:right="113"/>
              <w:jc w:val="right"/>
            </w:pPr>
            <w:r w:rsidRPr="00D75E01">
              <w:rPr>
                <w:rFonts w:ascii="Arial" w:hAnsi="Arial" w:cs="Arial"/>
                <w:color w:val="000000"/>
              </w:rPr>
              <w:t xml:space="preserve">          1.0 </w:t>
            </w:r>
          </w:p>
        </w:tc>
      </w:tr>
      <w:tr w:rsidR="00B27E55" w14:paraId="76BBF8B3" w14:textId="77777777" w:rsidTr="00E56BF6">
        <w:trPr>
          <w:cnfStyle w:val="000000010000" w:firstRow="0" w:lastRow="0" w:firstColumn="0" w:lastColumn="0" w:oddVBand="0" w:evenVBand="0" w:oddHBand="0" w:evenHBand="1" w:firstRowFirstColumn="0" w:firstRowLastColumn="0" w:lastRowFirstColumn="0" w:lastRowLastColumn="0"/>
        </w:trPr>
        <w:tc>
          <w:tcPr>
            <w:tcW w:w="2254" w:type="dxa"/>
          </w:tcPr>
          <w:p w14:paraId="7C3781C8" w14:textId="77777777" w:rsidR="00B27E55" w:rsidRDefault="00B27E55" w:rsidP="00B27E55">
            <w:pPr>
              <w:pStyle w:val="TableBody"/>
            </w:pPr>
            <w:r w:rsidRPr="005A6E10">
              <w:t>Less regulatory depreciation</w:t>
            </w:r>
          </w:p>
        </w:tc>
        <w:tc>
          <w:tcPr>
            <w:tcW w:w="1264" w:type="dxa"/>
            <w:vAlign w:val="center"/>
          </w:tcPr>
          <w:p w14:paraId="787AC06D" w14:textId="77777777" w:rsidR="00B27E55" w:rsidRPr="00D75E01" w:rsidRDefault="00E56BF6" w:rsidP="00112473">
            <w:pPr>
              <w:pStyle w:val="TableBody"/>
              <w:ind w:right="113"/>
              <w:jc w:val="right"/>
            </w:pPr>
            <w:r w:rsidRPr="00D75E01">
              <w:rPr>
                <w:rFonts w:ascii="Arial" w:hAnsi="Arial" w:cs="Arial"/>
                <w:color w:val="000000"/>
              </w:rPr>
              <w:t xml:space="preserve">       80.2 </w:t>
            </w:r>
          </w:p>
        </w:tc>
        <w:tc>
          <w:tcPr>
            <w:tcW w:w="1264" w:type="dxa"/>
            <w:vAlign w:val="center"/>
          </w:tcPr>
          <w:p w14:paraId="18350FA9" w14:textId="77777777" w:rsidR="00B27E55" w:rsidRPr="00D75E01" w:rsidRDefault="00E56BF6" w:rsidP="00112473">
            <w:pPr>
              <w:pStyle w:val="TableBody"/>
              <w:ind w:right="113"/>
              <w:jc w:val="right"/>
            </w:pPr>
            <w:r w:rsidRPr="00D75E01">
              <w:rPr>
                <w:rFonts w:ascii="Arial" w:hAnsi="Arial" w:cs="Arial"/>
                <w:color w:val="000000"/>
              </w:rPr>
              <w:t xml:space="preserve">     100.0 </w:t>
            </w:r>
          </w:p>
        </w:tc>
        <w:tc>
          <w:tcPr>
            <w:tcW w:w="1264" w:type="dxa"/>
            <w:vAlign w:val="center"/>
          </w:tcPr>
          <w:p w14:paraId="46A675D3" w14:textId="77777777" w:rsidR="00B27E55" w:rsidRPr="00D75E01" w:rsidRDefault="00E56BF6" w:rsidP="00112473">
            <w:pPr>
              <w:pStyle w:val="TableBody"/>
              <w:ind w:right="113"/>
              <w:jc w:val="right"/>
            </w:pPr>
            <w:r w:rsidRPr="00D75E01">
              <w:rPr>
                <w:rFonts w:ascii="Arial" w:hAnsi="Arial" w:cs="Arial"/>
                <w:color w:val="000000"/>
              </w:rPr>
              <w:t xml:space="preserve">     100.4 </w:t>
            </w:r>
          </w:p>
        </w:tc>
        <w:tc>
          <w:tcPr>
            <w:tcW w:w="1264" w:type="dxa"/>
            <w:vAlign w:val="center"/>
          </w:tcPr>
          <w:p w14:paraId="7B02F8AA" w14:textId="77777777" w:rsidR="00B27E55" w:rsidRPr="00D75E01" w:rsidRDefault="00E56BF6" w:rsidP="00112473">
            <w:pPr>
              <w:pStyle w:val="TableBody"/>
              <w:ind w:right="113"/>
              <w:jc w:val="right"/>
            </w:pPr>
            <w:r w:rsidRPr="00D75E01">
              <w:rPr>
                <w:rFonts w:ascii="Arial" w:hAnsi="Arial" w:cs="Arial"/>
                <w:color w:val="000000"/>
              </w:rPr>
              <w:t xml:space="preserve">     106.6 </w:t>
            </w:r>
          </w:p>
        </w:tc>
        <w:tc>
          <w:tcPr>
            <w:tcW w:w="1195" w:type="dxa"/>
            <w:vAlign w:val="center"/>
          </w:tcPr>
          <w:p w14:paraId="3C0A89DE" w14:textId="77777777" w:rsidR="00E56BF6" w:rsidRPr="00D75E01" w:rsidRDefault="00E56BF6" w:rsidP="00E56BF6">
            <w:pPr>
              <w:pStyle w:val="TableBody"/>
              <w:ind w:right="113"/>
              <w:jc w:val="right"/>
              <w:rPr>
                <w:rFonts w:ascii="Arial" w:hAnsi="Arial" w:cs="Arial"/>
                <w:color w:val="000000"/>
              </w:rPr>
            </w:pPr>
            <w:r w:rsidRPr="00D75E01">
              <w:rPr>
                <w:rFonts w:ascii="Arial" w:hAnsi="Arial" w:cs="Arial"/>
                <w:color w:val="000000"/>
              </w:rPr>
              <w:t xml:space="preserve">     110.0 </w:t>
            </w:r>
          </w:p>
        </w:tc>
        <w:tc>
          <w:tcPr>
            <w:tcW w:w="1276" w:type="dxa"/>
            <w:vAlign w:val="center"/>
          </w:tcPr>
          <w:p w14:paraId="7B57EA14" w14:textId="77777777" w:rsidR="00B27E55" w:rsidRPr="00D75E01" w:rsidRDefault="00E56BF6" w:rsidP="00112473">
            <w:pPr>
              <w:pStyle w:val="TableBody"/>
              <w:ind w:right="113"/>
              <w:jc w:val="right"/>
            </w:pPr>
            <w:r w:rsidRPr="00D75E01">
              <w:rPr>
                <w:rFonts w:ascii="Arial" w:hAnsi="Arial" w:cs="Arial"/>
                <w:color w:val="000000"/>
              </w:rPr>
              <w:t xml:space="preserve">        95.8 </w:t>
            </w:r>
          </w:p>
        </w:tc>
      </w:tr>
      <w:tr w:rsidR="00B27E55" w14:paraId="34FC048C" w14:textId="77777777" w:rsidTr="00E56BF6">
        <w:trPr>
          <w:cnfStyle w:val="000000100000" w:firstRow="0" w:lastRow="0" w:firstColumn="0" w:lastColumn="0" w:oddVBand="0" w:evenVBand="0" w:oddHBand="1" w:evenHBand="0" w:firstRowFirstColumn="0" w:firstRowLastColumn="0" w:lastRowFirstColumn="0" w:lastRowLastColumn="0"/>
        </w:trPr>
        <w:tc>
          <w:tcPr>
            <w:tcW w:w="2254" w:type="dxa"/>
          </w:tcPr>
          <w:p w14:paraId="2440D98C" w14:textId="77777777" w:rsidR="00B27E55" w:rsidRPr="00040B8E" w:rsidRDefault="00B27E55" w:rsidP="00B27E55">
            <w:pPr>
              <w:pStyle w:val="TableBody"/>
              <w:rPr>
                <w:b/>
                <w:bCs/>
              </w:rPr>
            </w:pPr>
            <w:r w:rsidRPr="00040B8E">
              <w:rPr>
                <w:b/>
                <w:bCs/>
              </w:rPr>
              <w:t>Closing RAB 30 June</w:t>
            </w:r>
          </w:p>
        </w:tc>
        <w:tc>
          <w:tcPr>
            <w:tcW w:w="1264" w:type="dxa"/>
            <w:vAlign w:val="center"/>
          </w:tcPr>
          <w:p w14:paraId="66E6A6B3" w14:textId="77777777" w:rsidR="00B27E55" w:rsidRPr="00D75E01" w:rsidRDefault="00E56BF6" w:rsidP="00112473">
            <w:pPr>
              <w:pStyle w:val="TableBody"/>
              <w:ind w:right="113"/>
              <w:jc w:val="right"/>
              <w:rPr>
                <w:b/>
              </w:rPr>
            </w:pPr>
            <w:r w:rsidRPr="00D75E01">
              <w:rPr>
                <w:rFonts w:ascii="Arial" w:hAnsi="Arial" w:cs="Arial"/>
                <w:color w:val="000000"/>
              </w:rPr>
              <w:t xml:space="preserve">  2,766.9 </w:t>
            </w:r>
          </w:p>
        </w:tc>
        <w:tc>
          <w:tcPr>
            <w:tcW w:w="1264" w:type="dxa"/>
            <w:vAlign w:val="center"/>
          </w:tcPr>
          <w:p w14:paraId="39960EDF" w14:textId="77777777" w:rsidR="00B27E55" w:rsidRPr="00D75E01" w:rsidRDefault="00E56BF6" w:rsidP="00112473">
            <w:pPr>
              <w:pStyle w:val="TableBody"/>
              <w:ind w:right="113"/>
              <w:jc w:val="right"/>
              <w:rPr>
                <w:b/>
              </w:rPr>
            </w:pPr>
            <w:r w:rsidRPr="00D75E01">
              <w:rPr>
                <w:rFonts w:ascii="Arial" w:hAnsi="Arial" w:cs="Arial"/>
                <w:color w:val="000000"/>
              </w:rPr>
              <w:t xml:space="preserve">  2,826.8 </w:t>
            </w:r>
          </w:p>
        </w:tc>
        <w:tc>
          <w:tcPr>
            <w:tcW w:w="1264" w:type="dxa"/>
            <w:vAlign w:val="center"/>
          </w:tcPr>
          <w:p w14:paraId="4CC565CA" w14:textId="77777777" w:rsidR="00B27E55" w:rsidRPr="00D75E01" w:rsidRDefault="00E56BF6" w:rsidP="00112473">
            <w:pPr>
              <w:pStyle w:val="TableBody"/>
              <w:ind w:right="113"/>
              <w:jc w:val="right"/>
              <w:rPr>
                <w:b/>
              </w:rPr>
            </w:pPr>
            <w:r w:rsidRPr="00D75E01">
              <w:rPr>
                <w:rFonts w:ascii="Arial" w:hAnsi="Arial" w:cs="Arial"/>
                <w:color w:val="000000"/>
              </w:rPr>
              <w:t xml:space="preserve">  2,914.8 </w:t>
            </w:r>
          </w:p>
        </w:tc>
        <w:tc>
          <w:tcPr>
            <w:tcW w:w="1264" w:type="dxa"/>
            <w:vAlign w:val="center"/>
          </w:tcPr>
          <w:p w14:paraId="4BDEDBFC" w14:textId="77777777" w:rsidR="00B27E55" w:rsidRPr="00D75E01" w:rsidRDefault="00E56BF6" w:rsidP="00112473">
            <w:pPr>
              <w:pStyle w:val="TableBody"/>
              <w:ind w:right="113"/>
              <w:jc w:val="right"/>
              <w:rPr>
                <w:b/>
              </w:rPr>
            </w:pPr>
            <w:r w:rsidRPr="00D75E01">
              <w:rPr>
                <w:rFonts w:ascii="Arial" w:hAnsi="Arial" w:cs="Arial"/>
                <w:color w:val="000000"/>
              </w:rPr>
              <w:t xml:space="preserve">  3,021.1 </w:t>
            </w:r>
          </w:p>
        </w:tc>
        <w:tc>
          <w:tcPr>
            <w:tcW w:w="1195" w:type="dxa"/>
            <w:vAlign w:val="center"/>
          </w:tcPr>
          <w:p w14:paraId="3FAA3813" w14:textId="77777777" w:rsidR="00E56BF6" w:rsidRPr="00D75E01" w:rsidRDefault="00E56BF6" w:rsidP="00E56BF6">
            <w:pPr>
              <w:pStyle w:val="TableBody"/>
              <w:ind w:right="113"/>
              <w:jc w:val="right"/>
              <w:rPr>
                <w:rFonts w:ascii="Arial" w:hAnsi="Arial" w:cs="Arial"/>
                <w:color w:val="000000"/>
              </w:rPr>
            </w:pPr>
            <w:r w:rsidRPr="00D75E01">
              <w:rPr>
                <w:rFonts w:ascii="Arial" w:hAnsi="Arial" w:cs="Arial"/>
                <w:color w:val="000000"/>
              </w:rPr>
              <w:t xml:space="preserve">  3,109.6 </w:t>
            </w:r>
          </w:p>
        </w:tc>
        <w:tc>
          <w:tcPr>
            <w:tcW w:w="1276" w:type="dxa"/>
            <w:vAlign w:val="center"/>
          </w:tcPr>
          <w:p w14:paraId="00360F77" w14:textId="77777777" w:rsidR="00B27E55" w:rsidRPr="00D75E01" w:rsidRDefault="00E56BF6" w:rsidP="00112473">
            <w:pPr>
              <w:pStyle w:val="TableBody"/>
              <w:ind w:right="113"/>
              <w:jc w:val="right"/>
              <w:rPr>
                <w:b/>
              </w:rPr>
            </w:pPr>
            <w:r w:rsidRPr="00D75E01">
              <w:rPr>
                <w:rFonts w:ascii="Arial" w:hAnsi="Arial" w:cs="Arial"/>
                <w:color w:val="000000"/>
              </w:rPr>
              <w:t xml:space="preserve">   3,255.5 </w:t>
            </w:r>
          </w:p>
        </w:tc>
      </w:tr>
    </w:tbl>
    <w:p w14:paraId="4347512B" w14:textId="77777777" w:rsidR="00EE5C2B" w:rsidRDefault="00EE5C2B" w:rsidP="00EE5C2B">
      <w:pPr>
        <w:pStyle w:val="Source"/>
        <w:jc w:val="left"/>
      </w:pPr>
      <w:r w:rsidRPr="00BD3293">
        <w:rPr>
          <w:b/>
          <w:bCs/>
        </w:rPr>
        <w:t>Note:</w:t>
      </w:r>
      <w:r>
        <w:t xml:space="preserve"> Numbers have been rounded</w:t>
      </w:r>
      <w:r w:rsidR="00887156">
        <w:t>.</w:t>
      </w:r>
    </w:p>
    <w:p w14:paraId="2201AC79" w14:textId="00375868" w:rsidR="00EE5C2B" w:rsidRDefault="00EE5C2B" w:rsidP="00BC6EAD">
      <w:pPr>
        <w:pStyle w:val="Heading3"/>
      </w:pPr>
      <w:bookmarkStart w:id="93" w:name="_Toc122514865"/>
      <w:bookmarkStart w:id="94" w:name="_Toc150515696"/>
      <w:bookmarkStart w:id="95" w:name="_Toc161400991"/>
      <w:r>
        <w:t xml:space="preserve">4.3.2 </w:t>
      </w:r>
      <w:r w:rsidR="00BC6EAD">
        <w:tab/>
      </w:r>
      <w:r>
        <w:t xml:space="preserve">Forecast regulatory asset </w:t>
      </w:r>
      <w:proofErr w:type="gramStart"/>
      <w:r>
        <w:t>base</w:t>
      </w:r>
      <w:bookmarkEnd w:id="93"/>
      <w:bookmarkEnd w:id="94"/>
      <w:bookmarkEnd w:id="95"/>
      <w:proofErr w:type="gramEnd"/>
    </w:p>
    <w:p w14:paraId="35426D3B" w14:textId="77777777" w:rsidR="00EE5C2B" w:rsidRDefault="00EE5C2B" w:rsidP="00AF230E">
      <w:pPr>
        <w:pStyle w:val="Pull-out"/>
      </w:pPr>
      <w:r w:rsidRPr="00D75E01">
        <w:t xml:space="preserve">Our draft decision is to not accept </w:t>
      </w:r>
      <w:r w:rsidR="00AA1D9F" w:rsidRPr="00D75E01">
        <w:t>Greater Western Water</w:t>
      </w:r>
      <w:r w:rsidRPr="00D75E01">
        <w:t>’s proposed forecast regulatory asset base.</w:t>
      </w:r>
    </w:p>
    <w:p w14:paraId="50655104" w14:textId="77777777" w:rsidR="00EE5C2B" w:rsidRDefault="00EE5C2B" w:rsidP="00EE5C2B">
      <w:r>
        <w:t xml:space="preserve">The forecast regulatory asset base is calculated having regard to the closing regulatory asset base, and forecasts for capital expenditure, government and customer contributions, and asset disposals. </w:t>
      </w:r>
    </w:p>
    <w:p w14:paraId="59E1E576" w14:textId="78F4013F" w:rsidR="0070683F" w:rsidRPr="00D75E01" w:rsidRDefault="00A00995" w:rsidP="00D72FD9">
      <w:r w:rsidRPr="00D75E01">
        <w:lastRenderedPageBreak/>
        <w:t xml:space="preserve">Our draft decision </w:t>
      </w:r>
      <w:r w:rsidR="0062488A" w:rsidRPr="00D75E01">
        <w:t>is to</w:t>
      </w:r>
      <w:r w:rsidRPr="00D75E01">
        <w:t xml:space="preserve"> not accept </w:t>
      </w:r>
      <w:r w:rsidR="00517E5F" w:rsidRPr="00D75E01">
        <w:t>Greater Western</w:t>
      </w:r>
      <w:r w:rsidRPr="00D75E01">
        <w:t xml:space="preserve"> Water’s forecast regulatory asset base for the period from 1 July 2023 based on our proposed adjustments to </w:t>
      </w:r>
      <w:r w:rsidR="00517E5F" w:rsidRPr="00D75E01">
        <w:t>Greater Western</w:t>
      </w:r>
      <w:r w:rsidRPr="00D75E01">
        <w:t xml:space="preserve"> Water’s forecast capital expenditure. </w:t>
      </w:r>
      <w:r w:rsidR="00AF235C" w:rsidRPr="00D75E01">
        <w:t>As described above</w:t>
      </w:r>
      <w:r w:rsidR="00603CCD" w:rsidRPr="00D75E01">
        <w:t xml:space="preserve"> in Section 4.2</w:t>
      </w:r>
      <w:r w:rsidR="00AF235C" w:rsidRPr="00D75E01">
        <w:t>, our</w:t>
      </w:r>
      <w:r w:rsidR="00420E76" w:rsidRPr="00D75E01">
        <w:t xml:space="preserve"> preliminary</w:t>
      </w:r>
      <w:r w:rsidR="008C7078" w:rsidRPr="00D75E01">
        <w:t xml:space="preserve"> position is </w:t>
      </w:r>
      <w:r w:rsidR="001E5921" w:rsidRPr="00D75E01">
        <w:t xml:space="preserve">that </w:t>
      </w:r>
      <w:r w:rsidR="00DF5145" w:rsidRPr="00D75E01">
        <w:t>Greater Western Water has not met the prudency and efficiency requirements of our guidance</w:t>
      </w:r>
      <w:r w:rsidR="00376A30" w:rsidRPr="00D75E01">
        <w:t xml:space="preserve"> </w:t>
      </w:r>
      <w:r w:rsidR="00010F5D" w:rsidRPr="00D75E01">
        <w:t xml:space="preserve">for </w:t>
      </w:r>
      <w:proofErr w:type="gramStart"/>
      <w:r w:rsidR="00010F5D" w:rsidRPr="00D75E01">
        <w:t>all of</w:t>
      </w:r>
      <w:proofErr w:type="gramEnd"/>
      <w:r w:rsidR="00010F5D" w:rsidRPr="00D75E01">
        <w:t xml:space="preserve"> its</w:t>
      </w:r>
      <w:r w:rsidR="00376A30" w:rsidRPr="00D75E01">
        <w:t xml:space="preserve"> </w:t>
      </w:r>
      <w:r w:rsidR="001E4EAD" w:rsidRPr="00D75E01">
        <w:t xml:space="preserve">proposed forecast </w:t>
      </w:r>
      <w:r w:rsidR="007C33D3" w:rsidRPr="00D75E01">
        <w:t xml:space="preserve">capital expenditure. </w:t>
      </w:r>
    </w:p>
    <w:p w14:paraId="4A2CC5FF" w14:textId="2D593EA8" w:rsidR="00EE5C2B" w:rsidRPr="0092444E" w:rsidRDefault="00EE5C2B" w:rsidP="00EE5C2B">
      <w:r w:rsidRPr="0092444E">
        <w:t>Table</w:t>
      </w:r>
      <w:r w:rsidR="004772A9">
        <w:t> </w:t>
      </w:r>
      <w:r w:rsidRPr="0092444E">
        <w:t>4.</w:t>
      </w:r>
      <w:r w:rsidR="000776F4">
        <w:t>9</w:t>
      </w:r>
      <w:r w:rsidRPr="0092444E">
        <w:t xml:space="preserve"> sets out our draft decision on </w:t>
      </w:r>
      <w:r w:rsidR="00AA1D9F" w:rsidRPr="0092444E">
        <w:t>Greater Western Water</w:t>
      </w:r>
      <w:r w:rsidRPr="0092444E">
        <w:t>’s forecast regulatory asset base from 1</w:t>
      </w:r>
      <w:r w:rsidR="007E4F21" w:rsidRPr="0092444E">
        <w:t> </w:t>
      </w:r>
      <w:r w:rsidRPr="0092444E">
        <w:t>July</w:t>
      </w:r>
      <w:r w:rsidR="004772A9">
        <w:t xml:space="preserve"> </w:t>
      </w:r>
      <w:r w:rsidRPr="0092444E">
        <w:t>202</w:t>
      </w:r>
      <w:r w:rsidR="00062711" w:rsidRPr="0092444E">
        <w:t>4</w:t>
      </w:r>
      <w:r w:rsidRPr="0092444E">
        <w:t>.</w:t>
      </w:r>
      <w:r w:rsidR="00243D02" w:rsidRPr="0092444E">
        <w:rPr>
          <w:rStyle w:val="FootnoteReference"/>
        </w:rPr>
        <w:footnoteReference w:id="83"/>
      </w:r>
      <w:r w:rsidR="006761A1" w:rsidRPr="0092444E">
        <w:t xml:space="preserve"> </w:t>
      </w:r>
      <w:r w:rsidRPr="0092444E">
        <w:t xml:space="preserve">Our assessments of the components of the forecast regulatory asset base are outlined in different sections of this </w:t>
      </w:r>
      <w:r w:rsidR="00EA02DC" w:rsidRPr="0092444E">
        <w:t xml:space="preserve">draft </w:t>
      </w:r>
      <w:r w:rsidRPr="0092444E">
        <w:t>decision paper as follows:</w:t>
      </w:r>
    </w:p>
    <w:p w14:paraId="32B49138" w14:textId="77777777" w:rsidR="00EE5C2B" w:rsidRPr="0092444E" w:rsidRDefault="00EE5C2B" w:rsidP="00ED1290">
      <w:pPr>
        <w:pStyle w:val="ListBullet"/>
      </w:pPr>
      <w:r w:rsidRPr="0092444E">
        <w:t>Section 4.2 (capital expenditure)</w:t>
      </w:r>
    </w:p>
    <w:p w14:paraId="5433D30E" w14:textId="77777777" w:rsidR="00EE5C2B" w:rsidRPr="0092444E" w:rsidRDefault="00EE5C2B" w:rsidP="00ED1290">
      <w:pPr>
        <w:pStyle w:val="ListBullet"/>
      </w:pPr>
      <w:r w:rsidRPr="0092444E">
        <w:t>Section 4.3.2.1 (customer contributions)</w:t>
      </w:r>
    </w:p>
    <w:p w14:paraId="6334A563" w14:textId="77777777" w:rsidR="00EE5C2B" w:rsidRPr="0092444E" w:rsidRDefault="00EE5C2B" w:rsidP="00ED1290">
      <w:pPr>
        <w:pStyle w:val="ListBullet"/>
      </w:pPr>
      <w:r w:rsidRPr="0092444E">
        <w:t xml:space="preserve">Section 4.5 (regulatory depreciation). </w:t>
      </w:r>
    </w:p>
    <w:p w14:paraId="75B9B6FB" w14:textId="77777777" w:rsidR="00EE5C2B" w:rsidRPr="0092444E" w:rsidRDefault="00EE5C2B" w:rsidP="007758DD">
      <w:pPr>
        <w:pStyle w:val="Figure-Table-BoxHeading"/>
        <w:keepNext/>
        <w:spacing w:after="0" w:line="288" w:lineRule="auto"/>
      </w:pPr>
      <w:r w:rsidRPr="0092444E">
        <w:t>Table 4.</w:t>
      </w:r>
      <w:r w:rsidR="000776F4">
        <w:t>9</w:t>
      </w:r>
      <w:r w:rsidRPr="0092444E">
        <w:tab/>
        <w:t>Draft decision – forecast regulatory asset base (RAB)</w:t>
      </w:r>
    </w:p>
    <w:p w14:paraId="70ADAA3A" w14:textId="77777777" w:rsidR="00CB0093" w:rsidRDefault="00EE5C2B" w:rsidP="00736DEC">
      <w:pPr>
        <w:pStyle w:val="Figure-Table-BoxSubtitle"/>
        <w:keepNext/>
        <w:spacing w:before="0" w:line="240" w:lineRule="auto"/>
        <w:ind w:left="1418"/>
      </w:pPr>
      <w:r w:rsidRPr="0092444E">
        <w:t>$</w:t>
      </w:r>
      <w:r w:rsidR="006761A1" w:rsidRPr="0092444E">
        <w:t> million</w:t>
      </w:r>
      <w:r w:rsidRPr="0092444E">
        <w:t xml:space="preserve"> </w:t>
      </w:r>
      <w:r w:rsidR="00C51BEB" w:rsidRPr="0092444E">
        <w:t>2023</w:t>
      </w:r>
      <w:r w:rsidR="006761A1" w:rsidRPr="0092444E">
        <w:noBreakHyphen/>
      </w:r>
      <w:r w:rsidR="00C51BEB" w:rsidRPr="0092444E">
        <w:t>24</w:t>
      </w:r>
    </w:p>
    <w:tbl>
      <w:tblPr>
        <w:tblStyle w:val="TableGrid"/>
        <w:tblW w:w="0" w:type="auto"/>
        <w:tblLook w:val="04A0" w:firstRow="1" w:lastRow="0" w:firstColumn="1" w:lastColumn="0" w:noHBand="0" w:noVBand="1"/>
      </w:tblPr>
      <w:tblGrid>
        <w:gridCol w:w="2825"/>
        <w:gridCol w:w="1136"/>
        <w:gridCol w:w="1135"/>
        <w:gridCol w:w="1136"/>
        <w:gridCol w:w="1135"/>
        <w:gridCol w:w="1280"/>
      </w:tblGrid>
      <w:tr w:rsidR="00CB0366" w14:paraId="5B0E2D5A" w14:textId="77777777" w:rsidTr="00090C46">
        <w:trPr>
          <w:cnfStyle w:val="100000000000" w:firstRow="1" w:lastRow="0" w:firstColumn="0" w:lastColumn="0" w:oddVBand="0" w:evenVBand="0" w:oddHBand="0" w:evenHBand="0" w:firstRowFirstColumn="0" w:firstRowLastColumn="0" w:lastRowFirstColumn="0" w:lastRowLastColumn="0"/>
        </w:trPr>
        <w:tc>
          <w:tcPr>
            <w:tcW w:w="2825" w:type="dxa"/>
          </w:tcPr>
          <w:p w14:paraId="51685467" w14:textId="77777777" w:rsidR="00CB0366" w:rsidRDefault="00CB0366" w:rsidP="00D70CC9">
            <w:pPr>
              <w:keepNext/>
            </w:pPr>
          </w:p>
        </w:tc>
        <w:tc>
          <w:tcPr>
            <w:tcW w:w="1136" w:type="dxa"/>
          </w:tcPr>
          <w:p w14:paraId="2A7ACB76" w14:textId="77777777" w:rsidR="00CB0366" w:rsidRDefault="00CB0366" w:rsidP="00D70CC9">
            <w:pPr>
              <w:keepNext/>
              <w:ind w:right="113"/>
              <w:jc w:val="right"/>
            </w:pPr>
            <w:r w:rsidRPr="00E522AE">
              <w:t>2023</w:t>
            </w:r>
            <w:r w:rsidR="006761A1">
              <w:noBreakHyphen/>
            </w:r>
            <w:r w:rsidRPr="00E522AE">
              <w:t>24</w:t>
            </w:r>
          </w:p>
        </w:tc>
        <w:tc>
          <w:tcPr>
            <w:tcW w:w="1135" w:type="dxa"/>
          </w:tcPr>
          <w:p w14:paraId="43DC31C1" w14:textId="77777777" w:rsidR="00CB0366" w:rsidRDefault="00CB0366" w:rsidP="00D70CC9">
            <w:pPr>
              <w:keepNext/>
              <w:ind w:right="113"/>
              <w:jc w:val="right"/>
            </w:pPr>
            <w:r w:rsidRPr="00E522AE">
              <w:t>2024</w:t>
            </w:r>
            <w:r w:rsidR="006761A1">
              <w:noBreakHyphen/>
            </w:r>
            <w:r w:rsidRPr="00E522AE">
              <w:t>25</w:t>
            </w:r>
          </w:p>
        </w:tc>
        <w:tc>
          <w:tcPr>
            <w:tcW w:w="1136" w:type="dxa"/>
          </w:tcPr>
          <w:p w14:paraId="716D8251" w14:textId="77777777" w:rsidR="00CB0366" w:rsidRDefault="00CB0366" w:rsidP="00D70CC9">
            <w:pPr>
              <w:keepNext/>
              <w:ind w:right="113"/>
              <w:jc w:val="right"/>
            </w:pPr>
            <w:r w:rsidRPr="00E522AE">
              <w:t>2025</w:t>
            </w:r>
            <w:r w:rsidR="006761A1">
              <w:noBreakHyphen/>
            </w:r>
            <w:r w:rsidRPr="00E522AE">
              <w:t>26</w:t>
            </w:r>
          </w:p>
        </w:tc>
        <w:tc>
          <w:tcPr>
            <w:tcW w:w="1135" w:type="dxa"/>
          </w:tcPr>
          <w:p w14:paraId="112D4907" w14:textId="77777777" w:rsidR="00CB0366" w:rsidRDefault="00CB0366" w:rsidP="00D70CC9">
            <w:pPr>
              <w:keepNext/>
              <w:ind w:right="113"/>
              <w:jc w:val="right"/>
            </w:pPr>
            <w:r w:rsidRPr="00E522AE">
              <w:t>2026</w:t>
            </w:r>
            <w:r w:rsidR="006761A1">
              <w:noBreakHyphen/>
            </w:r>
            <w:r w:rsidRPr="00E522AE">
              <w:t>27</w:t>
            </w:r>
          </w:p>
        </w:tc>
        <w:tc>
          <w:tcPr>
            <w:tcW w:w="1280" w:type="dxa"/>
          </w:tcPr>
          <w:p w14:paraId="11573EBA" w14:textId="77777777" w:rsidR="00CB0366" w:rsidRDefault="00CB0366" w:rsidP="00D70CC9">
            <w:pPr>
              <w:keepNext/>
              <w:ind w:right="113"/>
              <w:jc w:val="right"/>
            </w:pPr>
            <w:r w:rsidRPr="00E522AE">
              <w:t>2027</w:t>
            </w:r>
            <w:r w:rsidR="006761A1">
              <w:noBreakHyphen/>
            </w:r>
            <w:r w:rsidRPr="00E522AE">
              <w:t>28</w:t>
            </w:r>
          </w:p>
        </w:tc>
      </w:tr>
      <w:tr w:rsidR="008A5150" w:rsidRPr="00FB598F" w14:paraId="136DDD6D" w14:textId="77777777" w:rsidTr="00090C46">
        <w:trPr>
          <w:cnfStyle w:val="000000100000" w:firstRow="0" w:lastRow="0" w:firstColumn="0" w:lastColumn="0" w:oddVBand="0" w:evenVBand="0" w:oddHBand="1" w:evenHBand="0" w:firstRowFirstColumn="0" w:firstRowLastColumn="0" w:lastRowFirstColumn="0" w:lastRowLastColumn="0"/>
        </w:trPr>
        <w:tc>
          <w:tcPr>
            <w:tcW w:w="2825" w:type="dxa"/>
          </w:tcPr>
          <w:p w14:paraId="49EEAFFC" w14:textId="77777777" w:rsidR="008A5150" w:rsidRPr="00FB598F" w:rsidRDefault="008A5150" w:rsidP="00D70CC9">
            <w:pPr>
              <w:pStyle w:val="TableBody"/>
              <w:keepNext/>
              <w:rPr>
                <w:b/>
                <w:bCs/>
              </w:rPr>
            </w:pPr>
            <w:r w:rsidRPr="00FB598F">
              <w:rPr>
                <w:b/>
                <w:bCs/>
              </w:rPr>
              <w:t>Opening RAB 1 July</w:t>
            </w:r>
          </w:p>
        </w:tc>
        <w:tc>
          <w:tcPr>
            <w:tcW w:w="1136" w:type="dxa"/>
            <w:vAlign w:val="center"/>
          </w:tcPr>
          <w:p w14:paraId="64E22BAA" w14:textId="77777777" w:rsidR="008A5150" w:rsidRPr="007C664D" w:rsidRDefault="00090C46" w:rsidP="00D70CC9">
            <w:pPr>
              <w:pStyle w:val="TableBody"/>
              <w:keepNext/>
              <w:ind w:right="113"/>
              <w:jc w:val="right"/>
              <w:rPr>
                <w:b/>
              </w:rPr>
            </w:pPr>
            <w:r w:rsidRPr="007C664D">
              <w:rPr>
                <w:rFonts w:ascii="Arial" w:hAnsi="Arial" w:cs="Arial"/>
                <w:color w:val="000000"/>
              </w:rPr>
              <w:t xml:space="preserve">  3,255.5 </w:t>
            </w:r>
          </w:p>
        </w:tc>
        <w:tc>
          <w:tcPr>
            <w:tcW w:w="1135" w:type="dxa"/>
            <w:vAlign w:val="center"/>
          </w:tcPr>
          <w:p w14:paraId="53B1FFC9" w14:textId="77777777" w:rsidR="008A5150" w:rsidRPr="007C664D" w:rsidRDefault="00090C46" w:rsidP="00D70CC9">
            <w:pPr>
              <w:pStyle w:val="TableBody"/>
              <w:keepNext/>
              <w:ind w:right="113"/>
              <w:jc w:val="right"/>
              <w:rPr>
                <w:b/>
              </w:rPr>
            </w:pPr>
            <w:r w:rsidRPr="007C664D">
              <w:rPr>
                <w:rFonts w:ascii="Arial" w:hAnsi="Arial" w:cs="Arial"/>
                <w:color w:val="000000"/>
              </w:rPr>
              <w:t xml:space="preserve">  3,374.4 </w:t>
            </w:r>
          </w:p>
        </w:tc>
        <w:tc>
          <w:tcPr>
            <w:tcW w:w="1136" w:type="dxa"/>
            <w:vAlign w:val="center"/>
          </w:tcPr>
          <w:p w14:paraId="6EAE927D" w14:textId="77777777" w:rsidR="008A5150" w:rsidRPr="007C664D" w:rsidRDefault="00090C46" w:rsidP="00D70CC9">
            <w:pPr>
              <w:pStyle w:val="TableBody"/>
              <w:keepNext/>
              <w:ind w:right="113"/>
              <w:jc w:val="right"/>
              <w:rPr>
                <w:b/>
              </w:rPr>
            </w:pPr>
            <w:r w:rsidRPr="007C664D">
              <w:rPr>
                <w:rFonts w:ascii="Arial" w:hAnsi="Arial" w:cs="Arial"/>
                <w:color w:val="000000"/>
              </w:rPr>
              <w:t xml:space="preserve">  3,512.6 </w:t>
            </w:r>
          </w:p>
        </w:tc>
        <w:tc>
          <w:tcPr>
            <w:tcW w:w="1135" w:type="dxa"/>
            <w:vAlign w:val="center"/>
          </w:tcPr>
          <w:p w14:paraId="3A36C8C3" w14:textId="77777777" w:rsidR="008A5150" w:rsidRPr="007C664D" w:rsidRDefault="00090C46" w:rsidP="00D70CC9">
            <w:pPr>
              <w:pStyle w:val="TableBody"/>
              <w:keepNext/>
              <w:ind w:right="113"/>
              <w:jc w:val="right"/>
              <w:rPr>
                <w:b/>
              </w:rPr>
            </w:pPr>
            <w:r w:rsidRPr="007C664D">
              <w:rPr>
                <w:rFonts w:ascii="Arial" w:hAnsi="Arial" w:cs="Arial"/>
                <w:color w:val="000000"/>
              </w:rPr>
              <w:t xml:space="preserve">  3,630.4 </w:t>
            </w:r>
          </w:p>
        </w:tc>
        <w:tc>
          <w:tcPr>
            <w:tcW w:w="1280" w:type="dxa"/>
            <w:vAlign w:val="center"/>
          </w:tcPr>
          <w:p w14:paraId="62C0A459" w14:textId="77777777" w:rsidR="008A5150" w:rsidRPr="007C664D" w:rsidRDefault="00090C46" w:rsidP="00D70CC9">
            <w:pPr>
              <w:pStyle w:val="TableBody"/>
              <w:keepNext/>
              <w:ind w:right="113"/>
              <w:jc w:val="right"/>
              <w:rPr>
                <w:b/>
              </w:rPr>
            </w:pPr>
            <w:r w:rsidRPr="007C664D">
              <w:rPr>
                <w:rFonts w:ascii="Arial" w:hAnsi="Arial" w:cs="Arial"/>
                <w:color w:val="000000"/>
              </w:rPr>
              <w:t xml:space="preserve">   3,770.7 </w:t>
            </w:r>
          </w:p>
        </w:tc>
      </w:tr>
      <w:tr w:rsidR="008A5150" w:rsidRPr="00B93C20" w14:paraId="505F2AD7" w14:textId="77777777" w:rsidTr="00090C46">
        <w:trPr>
          <w:cnfStyle w:val="000000010000" w:firstRow="0" w:lastRow="0" w:firstColumn="0" w:lastColumn="0" w:oddVBand="0" w:evenVBand="0" w:oddHBand="0" w:evenHBand="1" w:firstRowFirstColumn="0" w:firstRowLastColumn="0" w:lastRowFirstColumn="0" w:lastRowLastColumn="0"/>
        </w:trPr>
        <w:tc>
          <w:tcPr>
            <w:tcW w:w="2825" w:type="dxa"/>
          </w:tcPr>
          <w:p w14:paraId="78D45212" w14:textId="77777777" w:rsidR="008A5150" w:rsidRDefault="008A5150" w:rsidP="00D70CC9">
            <w:pPr>
              <w:pStyle w:val="TableBody"/>
              <w:keepNext/>
            </w:pPr>
            <w:proofErr w:type="gramStart"/>
            <w:r w:rsidRPr="001C2F7B">
              <w:t>Plus</w:t>
            </w:r>
            <w:proofErr w:type="gramEnd"/>
            <w:r w:rsidRPr="001C2F7B">
              <w:t xml:space="preserve"> gross capital expenditure</w:t>
            </w:r>
          </w:p>
        </w:tc>
        <w:tc>
          <w:tcPr>
            <w:tcW w:w="1136" w:type="dxa"/>
            <w:vAlign w:val="center"/>
          </w:tcPr>
          <w:p w14:paraId="045D7494" w14:textId="77777777" w:rsidR="008A5150" w:rsidRPr="007C664D" w:rsidRDefault="00090C46" w:rsidP="00D70CC9">
            <w:pPr>
              <w:pStyle w:val="TableBody"/>
              <w:keepNext/>
              <w:ind w:right="113"/>
              <w:jc w:val="right"/>
            </w:pPr>
            <w:r w:rsidRPr="007C664D">
              <w:rPr>
                <w:rFonts w:ascii="Arial" w:hAnsi="Arial" w:cs="Arial"/>
                <w:color w:val="000000"/>
              </w:rPr>
              <w:t xml:space="preserve">     306.1 </w:t>
            </w:r>
          </w:p>
        </w:tc>
        <w:tc>
          <w:tcPr>
            <w:tcW w:w="1135" w:type="dxa"/>
            <w:vAlign w:val="center"/>
          </w:tcPr>
          <w:p w14:paraId="104E04F2" w14:textId="77777777" w:rsidR="008A5150" w:rsidRPr="007C664D" w:rsidRDefault="00090C46" w:rsidP="00D70CC9">
            <w:pPr>
              <w:pStyle w:val="TableBody"/>
              <w:keepNext/>
              <w:ind w:right="113"/>
              <w:jc w:val="right"/>
            </w:pPr>
            <w:r w:rsidRPr="007C664D">
              <w:rPr>
                <w:rFonts w:ascii="Arial" w:hAnsi="Arial" w:cs="Arial"/>
                <w:color w:val="000000"/>
              </w:rPr>
              <w:t xml:space="preserve">     333.7 </w:t>
            </w:r>
          </w:p>
        </w:tc>
        <w:tc>
          <w:tcPr>
            <w:tcW w:w="1136" w:type="dxa"/>
            <w:vAlign w:val="center"/>
          </w:tcPr>
          <w:p w14:paraId="1C206DB7" w14:textId="77777777" w:rsidR="008A5150" w:rsidRPr="007C664D" w:rsidRDefault="00090C46" w:rsidP="00D70CC9">
            <w:pPr>
              <w:pStyle w:val="TableBody"/>
              <w:keepNext/>
              <w:ind w:right="113"/>
              <w:jc w:val="right"/>
            </w:pPr>
            <w:r w:rsidRPr="007C664D">
              <w:rPr>
                <w:rFonts w:ascii="Arial" w:hAnsi="Arial" w:cs="Arial"/>
                <w:color w:val="000000"/>
              </w:rPr>
              <w:t xml:space="preserve">     308.4 </w:t>
            </w:r>
          </w:p>
        </w:tc>
        <w:tc>
          <w:tcPr>
            <w:tcW w:w="1135" w:type="dxa"/>
            <w:vAlign w:val="center"/>
          </w:tcPr>
          <w:p w14:paraId="231DC8FE" w14:textId="77777777" w:rsidR="008A5150" w:rsidRPr="007C664D" w:rsidRDefault="00090C46" w:rsidP="00D70CC9">
            <w:pPr>
              <w:pStyle w:val="TableBody"/>
              <w:keepNext/>
              <w:ind w:right="113"/>
              <w:jc w:val="right"/>
            </w:pPr>
            <w:r w:rsidRPr="007C664D">
              <w:rPr>
                <w:rFonts w:ascii="Arial" w:hAnsi="Arial" w:cs="Arial"/>
                <w:color w:val="000000"/>
              </w:rPr>
              <w:t xml:space="preserve">     327.2 </w:t>
            </w:r>
          </w:p>
        </w:tc>
        <w:tc>
          <w:tcPr>
            <w:tcW w:w="1280" w:type="dxa"/>
            <w:vAlign w:val="center"/>
          </w:tcPr>
          <w:p w14:paraId="48B48500" w14:textId="77777777" w:rsidR="008A5150" w:rsidRPr="007C664D" w:rsidRDefault="00090C46" w:rsidP="00D70CC9">
            <w:pPr>
              <w:pStyle w:val="TableBody"/>
              <w:keepNext/>
              <w:ind w:right="113"/>
              <w:jc w:val="right"/>
            </w:pPr>
            <w:r w:rsidRPr="007C664D">
              <w:rPr>
                <w:rFonts w:ascii="Arial" w:hAnsi="Arial" w:cs="Arial"/>
                <w:color w:val="000000"/>
              </w:rPr>
              <w:t xml:space="preserve">      285.6 </w:t>
            </w:r>
          </w:p>
        </w:tc>
      </w:tr>
      <w:tr w:rsidR="008A5150" w14:paraId="311AC149" w14:textId="77777777" w:rsidTr="00736DEC">
        <w:trPr>
          <w:cnfStyle w:val="000000100000" w:firstRow="0" w:lastRow="0" w:firstColumn="0" w:lastColumn="0" w:oddVBand="0" w:evenVBand="0" w:oddHBand="1" w:evenHBand="0" w:firstRowFirstColumn="0" w:firstRowLastColumn="0" w:lastRowFirstColumn="0" w:lastRowLastColumn="0"/>
          <w:trHeight w:val="464"/>
        </w:trPr>
        <w:tc>
          <w:tcPr>
            <w:tcW w:w="2825" w:type="dxa"/>
          </w:tcPr>
          <w:p w14:paraId="6DFB4BC6" w14:textId="77777777" w:rsidR="008A5150" w:rsidRDefault="008A5150" w:rsidP="00D70CC9">
            <w:pPr>
              <w:pStyle w:val="TableBody"/>
              <w:keepNext/>
            </w:pPr>
            <w:r w:rsidRPr="001C2F7B">
              <w:t>Less government contributions</w:t>
            </w:r>
          </w:p>
        </w:tc>
        <w:tc>
          <w:tcPr>
            <w:tcW w:w="1136" w:type="dxa"/>
            <w:vAlign w:val="center"/>
          </w:tcPr>
          <w:p w14:paraId="5C96EAAE" w14:textId="77777777" w:rsidR="008A5150" w:rsidRPr="007C664D" w:rsidRDefault="00090C46" w:rsidP="00D70CC9">
            <w:pPr>
              <w:pStyle w:val="TableBody"/>
              <w:keepNext/>
              <w:ind w:right="113"/>
              <w:jc w:val="right"/>
            </w:pPr>
            <w:r w:rsidRPr="007C664D">
              <w:rPr>
                <w:rFonts w:ascii="Arial" w:hAnsi="Arial" w:cs="Arial"/>
                <w:color w:val="000000"/>
              </w:rPr>
              <w:t xml:space="preserve">       15.6 </w:t>
            </w:r>
          </w:p>
        </w:tc>
        <w:tc>
          <w:tcPr>
            <w:tcW w:w="1135" w:type="dxa"/>
            <w:vAlign w:val="center"/>
          </w:tcPr>
          <w:p w14:paraId="24B609E0" w14:textId="77777777" w:rsidR="008A5150" w:rsidRPr="007C664D" w:rsidRDefault="00090C46" w:rsidP="00D70CC9">
            <w:pPr>
              <w:pStyle w:val="TableBody"/>
              <w:keepNext/>
              <w:ind w:right="113"/>
              <w:jc w:val="right"/>
            </w:pPr>
            <w:r w:rsidRPr="007C664D">
              <w:rPr>
                <w:rFonts w:ascii="Arial" w:hAnsi="Arial" w:cs="Arial"/>
                <w:color w:val="000000"/>
              </w:rPr>
              <w:t xml:space="preserve">       18.2 </w:t>
            </w:r>
          </w:p>
        </w:tc>
        <w:tc>
          <w:tcPr>
            <w:tcW w:w="1136" w:type="dxa"/>
            <w:vAlign w:val="center"/>
          </w:tcPr>
          <w:p w14:paraId="76A5A918" w14:textId="77777777" w:rsidR="008A5150" w:rsidRPr="007C664D" w:rsidRDefault="00090C46" w:rsidP="00D70CC9">
            <w:pPr>
              <w:pStyle w:val="TableBody"/>
              <w:keepNext/>
              <w:ind w:right="113"/>
              <w:jc w:val="right"/>
            </w:pPr>
            <w:r w:rsidRPr="007C664D">
              <w:rPr>
                <w:rFonts w:ascii="Arial" w:hAnsi="Arial" w:cs="Arial"/>
                <w:color w:val="000000"/>
              </w:rPr>
              <w:t xml:space="preserve">         0.2 </w:t>
            </w:r>
          </w:p>
        </w:tc>
        <w:tc>
          <w:tcPr>
            <w:tcW w:w="1135" w:type="dxa"/>
            <w:vAlign w:val="center"/>
          </w:tcPr>
          <w:p w14:paraId="4C54EBF0" w14:textId="77777777" w:rsidR="008A5150" w:rsidRPr="007C664D" w:rsidRDefault="00090C46" w:rsidP="00D70CC9">
            <w:pPr>
              <w:pStyle w:val="TableBody"/>
              <w:keepNext/>
              <w:ind w:right="113"/>
              <w:jc w:val="right"/>
            </w:pPr>
            <w:r w:rsidRPr="007C664D">
              <w:rPr>
                <w:rFonts w:ascii="Arial" w:hAnsi="Arial" w:cs="Arial"/>
                <w:color w:val="000000"/>
              </w:rPr>
              <w:t xml:space="preserve">          -   </w:t>
            </w:r>
          </w:p>
        </w:tc>
        <w:tc>
          <w:tcPr>
            <w:tcW w:w="1280" w:type="dxa"/>
            <w:vAlign w:val="center"/>
          </w:tcPr>
          <w:p w14:paraId="70EC3784" w14:textId="77777777" w:rsidR="008A5150" w:rsidRPr="007C664D" w:rsidRDefault="00090C46" w:rsidP="00D70CC9">
            <w:pPr>
              <w:pStyle w:val="TableBody"/>
              <w:keepNext/>
              <w:ind w:right="113"/>
              <w:jc w:val="right"/>
            </w:pPr>
            <w:r w:rsidRPr="007C664D">
              <w:rPr>
                <w:rFonts w:ascii="Arial" w:hAnsi="Arial" w:cs="Arial"/>
                <w:color w:val="000000"/>
              </w:rPr>
              <w:t xml:space="preserve">            -   </w:t>
            </w:r>
          </w:p>
        </w:tc>
      </w:tr>
      <w:tr w:rsidR="008A5150" w14:paraId="40FD24EB" w14:textId="77777777" w:rsidTr="00090C46">
        <w:trPr>
          <w:cnfStyle w:val="000000010000" w:firstRow="0" w:lastRow="0" w:firstColumn="0" w:lastColumn="0" w:oddVBand="0" w:evenVBand="0" w:oddHBand="0" w:evenHBand="1" w:firstRowFirstColumn="0" w:firstRowLastColumn="0" w:lastRowFirstColumn="0" w:lastRowLastColumn="0"/>
        </w:trPr>
        <w:tc>
          <w:tcPr>
            <w:tcW w:w="2825" w:type="dxa"/>
          </w:tcPr>
          <w:p w14:paraId="6A75CA95" w14:textId="77777777" w:rsidR="008A5150" w:rsidRDefault="008A5150" w:rsidP="004D44D6">
            <w:pPr>
              <w:pStyle w:val="TableBody"/>
            </w:pPr>
            <w:r w:rsidRPr="001C2F7B">
              <w:t>Less customer contributions</w:t>
            </w:r>
          </w:p>
        </w:tc>
        <w:tc>
          <w:tcPr>
            <w:tcW w:w="1136" w:type="dxa"/>
            <w:vAlign w:val="center"/>
          </w:tcPr>
          <w:p w14:paraId="43E9B7C1" w14:textId="77777777" w:rsidR="008A5150" w:rsidRPr="007C664D" w:rsidRDefault="00090C46" w:rsidP="004D44D6">
            <w:pPr>
              <w:pStyle w:val="TableBody"/>
              <w:ind w:right="113"/>
              <w:jc w:val="right"/>
            </w:pPr>
            <w:r w:rsidRPr="007C664D">
              <w:rPr>
                <w:rFonts w:ascii="Arial" w:hAnsi="Arial" w:cs="Arial"/>
                <w:color w:val="000000"/>
              </w:rPr>
              <w:t xml:space="preserve">       75.5 </w:t>
            </w:r>
          </w:p>
        </w:tc>
        <w:tc>
          <w:tcPr>
            <w:tcW w:w="1135" w:type="dxa"/>
            <w:vAlign w:val="center"/>
          </w:tcPr>
          <w:p w14:paraId="783B4A17" w14:textId="77777777" w:rsidR="008A5150" w:rsidRPr="007C664D" w:rsidRDefault="00090C46" w:rsidP="004D44D6">
            <w:pPr>
              <w:pStyle w:val="TableBody"/>
              <w:ind w:right="113"/>
              <w:jc w:val="right"/>
            </w:pPr>
            <w:r w:rsidRPr="007C664D">
              <w:rPr>
                <w:rFonts w:ascii="Arial" w:hAnsi="Arial" w:cs="Arial"/>
                <w:color w:val="000000"/>
              </w:rPr>
              <w:t xml:space="preserve">       76.1 </w:t>
            </w:r>
          </w:p>
        </w:tc>
        <w:tc>
          <w:tcPr>
            <w:tcW w:w="1136" w:type="dxa"/>
            <w:vAlign w:val="center"/>
          </w:tcPr>
          <w:p w14:paraId="1596528A" w14:textId="77777777" w:rsidR="008A5150" w:rsidRPr="007C664D" w:rsidRDefault="00090C46" w:rsidP="004D44D6">
            <w:pPr>
              <w:pStyle w:val="TableBody"/>
              <w:ind w:right="113"/>
              <w:jc w:val="right"/>
            </w:pPr>
            <w:r w:rsidRPr="007C664D">
              <w:rPr>
                <w:rFonts w:ascii="Arial" w:hAnsi="Arial" w:cs="Arial"/>
                <w:color w:val="000000"/>
              </w:rPr>
              <w:t xml:space="preserve">       84.9 </w:t>
            </w:r>
          </w:p>
        </w:tc>
        <w:tc>
          <w:tcPr>
            <w:tcW w:w="1135" w:type="dxa"/>
            <w:vAlign w:val="center"/>
          </w:tcPr>
          <w:p w14:paraId="42E9271D" w14:textId="77777777" w:rsidR="008A5150" w:rsidRPr="007C664D" w:rsidRDefault="00090C46" w:rsidP="004D44D6">
            <w:pPr>
              <w:pStyle w:val="TableBody"/>
              <w:ind w:right="113"/>
              <w:jc w:val="right"/>
            </w:pPr>
            <w:r w:rsidRPr="007C664D">
              <w:rPr>
                <w:rFonts w:ascii="Arial" w:hAnsi="Arial" w:cs="Arial"/>
                <w:color w:val="000000"/>
              </w:rPr>
              <w:t xml:space="preserve">       76.6 </w:t>
            </w:r>
          </w:p>
        </w:tc>
        <w:tc>
          <w:tcPr>
            <w:tcW w:w="1280" w:type="dxa"/>
            <w:vAlign w:val="center"/>
          </w:tcPr>
          <w:p w14:paraId="058E591B" w14:textId="77777777" w:rsidR="008A5150" w:rsidRPr="007C664D" w:rsidRDefault="00090C46" w:rsidP="004D44D6">
            <w:pPr>
              <w:pStyle w:val="TableBody"/>
              <w:ind w:right="113"/>
              <w:jc w:val="right"/>
            </w:pPr>
            <w:r w:rsidRPr="007C664D">
              <w:rPr>
                <w:rFonts w:ascii="Arial" w:hAnsi="Arial" w:cs="Arial"/>
                <w:color w:val="000000"/>
              </w:rPr>
              <w:t xml:space="preserve">        81.4 </w:t>
            </w:r>
          </w:p>
        </w:tc>
      </w:tr>
      <w:tr w:rsidR="008A5150" w14:paraId="350D5366" w14:textId="77777777" w:rsidTr="00090C46">
        <w:trPr>
          <w:cnfStyle w:val="000000100000" w:firstRow="0" w:lastRow="0" w:firstColumn="0" w:lastColumn="0" w:oddVBand="0" w:evenVBand="0" w:oddHBand="1" w:evenHBand="0" w:firstRowFirstColumn="0" w:firstRowLastColumn="0" w:lastRowFirstColumn="0" w:lastRowLastColumn="0"/>
        </w:trPr>
        <w:tc>
          <w:tcPr>
            <w:tcW w:w="2825" w:type="dxa"/>
          </w:tcPr>
          <w:p w14:paraId="4A7E297B" w14:textId="77777777" w:rsidR="008A5150" w:rsidRDefault="008A5150" w:rsidP="004D44D6">
            <w:pPr>
              <w:pStyle w:val="TableBody"/>
            </w:pPr>
            <w:r w:rsidRPr="001C2F7B">
              <w:t>Less proceeds from disposals</w:t>
            </w:r>
          </w:p>
        </w:tc>
        <w:tc>
          <w:tcPr>
            <w:tcW w:w="1136" w:type="dxa"/>
            <w:vAlign w:val="center"/>
          </w:tcPr>
          <w:p w14:paraId="650A32EA" w14:textId="77777777" w:rsidR="008A5150" w:rsidRPr="007C664D" w:rsidRDefault="00090C46" w:rsidP="004D44D6">
            <w:pPr>
              <w:pStyle w:val="TableBody"/>
              <w:ind w:right="113"/>
              <w:jc w:val="right"/>
            </w:pPr>
            <w:r w:rsidRPr="007C664D">
              <w:rPr>
                <w:rFonts w:ascii="Arial" w:hAnsi="Arial" w:cs="Arial"/>
                <w:color w:val="000000"/>
              </w:rPr>
              <w:t xml:space="preserve">         0.8 </w:t>
            </w:r>
          </w:p>
        </w:tc>
        <w:tc>
          <w:tcPr>
            <w:tcW w:w="1135" w:type="dxa"/>
            <w:vAlign w:val="center"/>
          </w:tcPr>
          <w:p w14:paraId="5350360A" w14:textId="77777777" w:rsidR="008A5150" w:rsidRPr="007C664D" w:rsidRDefault="00090C46" w:rsidP="004D44D6">
            <w:pPr>
              <w:pStyle w:val="TableBody"/>
              <w:ind w:right="113"/>
              <w:jc w:val="right"/>
            </w:pPr>
            <w:r w:rsidRPr="007C664D">
              <w:rPr>
                <w:rFonts w:ascii="Arial" w:hAnsi="Arial" w:cs="Arial"/>
                <w:color w:val="000000"/>
              </w:rPr>
              <w:t xml:space="preserve">         0.8 </w:t>
            </w:r>
          </w:p>
        </w:tc>
        <w:tc>
          <w:tcPr>
            <w:tcW w:w="1136" w:type="dxa"/>
            <w:vAlign w:val="center"/>
          </w:tcPr>
          <w:p w14:paraId="47360136" w14:textId="77777777" w:rsidR="008A5150" w:rsidRPr="007C664D" w:rsidRDefault="00090C46" w:rsidP="004D44D6">
            <w:pPr>
              <w:pStyle w:val="TableBody"/>
              <w:ind w:right="113"/>
              <w:jc w:val="right"/>
            </w:pPr>
            <w:r w:rsidRPr="007C664D">
              <w:rPr>
                <w:rFonts w:ascii="Arial" w:hAnsi="Arial" w:cs="Arial"/>
                <w:color w:val="000000"/>
              </w:rPr>
              <w:t xml:space="preserve">         0.8 </w:t>
            </w:r>
          </w:p>
        </w:tc>
        <w:tc>
          <w:tcPr>
            <w:tcW w:w="1135" w:type="dxa"/>
            <w:vAlign w:val="center"/>
          </w:tcPr>
          <w:p w14:paraId="7DD95DD0" w14:textId="77777777" w:rsidR="008A5150" w:rsidRPr="007C664D" w:rsidRDefault="00090C46" w:rsidP="004D44D6">
            <w:pPr>
              <w:pStyle w:val="TableBody"/>
              <w:ind w:right="113"/>
              <w:jc w:val="right"/>
            </w:pPr>
            <w:r w:rsidRPr="007C664D">
              <w:rPr>
                <w:rFonts w:ascii="Arial" w:hAnsi="Arial" w:cs="Arial"/>
                <w:color w:val="000000"/>
              </w:rPr>
              <w:t xml:space="preserve">         0.8 </w:t>
            </w:r>
          </w:p>
        </w:tc>
        <w:tc>
          <w:tcPr>
            <w:tcW w:w="1280" w:type="dxa"/>
            <w:vAlign w:val="center"/>
          </w:tcPr>
          <w:p w14:paraId="16F0F5AB" w14:textId="77777777" w:rsidR="008A5150" w:rsidRPr="007C664D" w:rsidRDefault="00090C46" w:rsidP="004D44D6">
            <w:pPr>
              <w:pStyle w:val="TableBody"/>
              <w:ind w:right="113"/>
              <w:jc w:val="right"/>
            </w:pPr>
            <w:r w:rsidRPr="007C664D">
              <w:rPr>
                <w:rFonts w:ascii="Arial" w:hAnsi="Arial" w:cs="Arial"/>
                <w:color w:val="000000"/>
              </w:rPr>
              <w:t xml:space="preserve">          0.8 </w:t>
            </w:r>
          </w:p>
        </w:tc>
      </w:tr>
      <w:tr w:rsidR="008A5150" w14:paraId="5BEEF014" w14:textId="77777777" w:rsidTr="00090C46">
        <w:trPr>
          <w:cnfStyle w:val="000000010000" w:firstRow="0" w:lastRow="0" w:firstColumn="0" w:lastColumn="0" w:oddVBand="0" w:evenVBand="0" w:oddHBand="0" w:evenHBand="1" w:firstRowFirstColumn="0" w:firstRowLastColumn="0" w:lastRowFirstColumn="0" w:lastRowLastColumn="0"/>
        </w:trPr>
        <w:tc>
          <w:tcPr>
            <w:tcW w:w="2825" w:type="dxa"/>
          </w:tcPr>
          <w:p w14:paraId="5B454552" w14:textId="77777777" w:rsidR="008A5150" w:rsidRDefault="008A5150" w:rsidP="004D44D6">
            <w:pPr>
              <w:pStyle w:val="TableBody"/>
            </w:pPr>
            <w:r w:rsidRPr="001C2F7B">
              <w:t>Less regulatory depreciation</w:t>
            </w:r>
          </w:p>
        </w:tc>
        <w:tc>
          <w:tcPr>
            <w:tcW w:w="1136" w:type="dxa"/>
            <w:vAlign w:val="center"/>
          </w:tcPr>
          <w:p w14:paraId="0B814FC1" w14:textId="77777777" w:rsidR="008A5150" w:rsidRPr="007C664D" w:rsidRDefault="00090C46" w:rsidP="004D44D6">
            <w:pPr>
              <w:pStyle w:val="TableBody"/>
              <w:ind w:right="113"/>
              <w:jc w:val="right"/>
            </w:pPr>
            <w:r w:rsidRPr="007C664D">
              <w:rPr>
                <w:rFonts w:ascii="Arial" w:hAnsi="Arial" w:cs="Arial"/>
                <w:color w:val="000000"/>
              </w:rPr>
              <w:t xml:space="preserve">       95.3 </w:t>
            </w:r>
          </w:p>
        </w:tc>
        <w:tc>
          <w:tcPr>
            <w:tcW w:w="1135" w:type="dxa"/>
            <w:vAlign w:val="center"/>
          </w:tcPr>
          <w:p w14:paraId="7ADD6757" w14:textId="77777777" w:rsidR="008A5150" w:rsidRPr="007C664D" w:rsidRDefault="00090C46" w:rsidP="004D44D6">
            <w:pPr>
              <w:pStyle w:val="TableBody"/>
              <w:ind w:right="113"/>
              <w:jc w:val="right"/>
            </w:pPr>
            <w:r w:rsidRPr="007C664D">
              <w:rPr>
                <w:rFonts w:ascii="Arial" w:hAnsi="Arial" w:cs="Arial"/>
                <w:color w:val="000000"/>
              </w:rPr>
              <w:t xml:space="preserve">     100.4 </w:t>
            </w:r>
          </w:p>
        </w:tc>
        <w:tc>
          <w:tcPr>
            <w:tcW w:w="1136" w:type="dxa"/>
            <w:vAlign w:val="center"/>
          </w:tcPr>
          <w:p w14:paraId="1AD278B5" w14:textId="77777777" w:rsidR="008A5150" w:rsidRPr="007C664D" w:rsidRDefault="00090C46" w:rsidP="004D44D6">
            <w:pPr>
              <w:pStyle w:val="TableBody"/>
              <w:ind w:right="113"/>
              <w:jc w:val="right"/>
            </w:pPr>
            <w:r w:rsidRPr="007C664D">
              <w:rPr>
                <w:rFonts w:ascii="Arial" w:hAnsi="Arial" w:cs="Arial"/>
                <w:color w:val="000000"/>
              </w:rPr>
              <w:t xml:space="preserve">     104.7 </w:t>
            </w:r>
          </w:p>
        </w:tc>
        <w:tc>
          <w:tcPr>
            <w:tcW w:w="1135" w:type="dxa"/>
            <w:vAlign w:val="center"/>
          </w:tcPr>
          <w:p w14:paraId="176D7439" w14:textId="77777777" w:rsidR="008A5150" w:rsidRPr="007C664D" w:rsidRDefault="00090C46" w:rsidP="004D44D6">
            <w:pPr>
              <w:pStyle w:val="TableBody"/>
              <w:ind w:right="113"/>
              <w:jc w:val="right"/>
            </w:pPr>
            <w:r w:rsidRPr="007C664D">
              <w:rPr>
                <w:rFonts w:ascii="Arial" w:hAnsi="Arial" w:cs="Arial"/>
                <w:color w:val="000000"/>
              </w:rPr>
              <w:t xml:space="preserve">     109.5 </w:t>
            </w:r>
          </w:p>
        </w:tc>
        <w:tc>
          <w:tcPr>
            <w:tcW w:w="1280" w:type="dxa"/>
            <w:vAlign w:val="center"/>
          </w:tcPr>
          <w:p w14:paraId="5D107896" w14:textId="77777777" w:rsidR="008A5150" w:rsidRPr="007C664D" w:rsidRDefault="00090C46" w:rsidP="004D44D6">
            <w:pPr>
              <w:pStyle w:val="TableBody"/>
              <w:ind w:right="113"/>
              <w:jc w:val="right"/>
            </w:pPr>
            <w:r w:rsidRPr="007C664D">
              <w:rPr>
                <w:rFonts w:ascii="Arial" w:hAnsi="Arial" w:cs="Arial"/>
                <w:color w:val="000000"/>
              </w:rPr>
              <w:t xml:space="preserve">      114.2 </w:t>
            </w:r>
          </w:p>
        </w:tc>
      </w:tr>
      <w:tr w:rsidR="008A5150" w14:paraId="19F4B91C" w14:textId="77777777" w:rsidTr="00090C46">
        <w:trPr>
          <w:cnfStyle w:val="000000100000" w:firstRow="0" w:lastRow="0" w:firstColumn="0" w:lastColumn="0" w:oddVBand="0" w:evenVBand="0" w:oddHBand="1" w:evenHBand="0" w:firstRowFirstColumn="0" w:firstRowLastColumn="0" w:lastRowFirstColumn="0" w:lastRowLastColumn="0"/>
        </w:trPr>
        <w:tc>
          <w:tcPr>
            <w:tcW w:w="2825" w:type="dxa"/>
          </w:tcPr>
          <w:p w14:paraId="787D0415" w14:textId="77777777" w:rsidR="008A5150" w:rsidRDefault="008A5150" w:rsidP="004D44D6">
            <w:pPr>
              <w:pStyle w:val="TableBold"/>
            </w:pPr>
            <w:r w:rsidRPr="001C2F7B">
              <w:t>Closing RAB 30 June</w:t>
            </w:r>
          </w:p>
        </w:tc>
        <w:tc>
          <w:tcPr>
            <w:tcW w:w="1136" w:type="dxa"/>
            <w:vAlign w:val="center"/>
          </w:tcPr>
          <w:p w14:paraId="6F128B25" w14:textId="77777777" w:rsidR="008A5150" w:rsidRPr="007C664D" w:rsidRDefault="00090C46" w:rsidP="004D44D6">
            <w:pPr>
              <w:pStyle w:val="TableBody"/>
              <w:ind w:right="113"/>
              <w:jc w:val="right"/>
            </w:pPr>
            <w:r w:rsidRPr="007C664D">
              <w:rPr>
                <w:rFonts w:ascii="Arial" w:hAnsi="Arial" w:cs="Arial"/>
                <w:color w:val="000000"/>
              </w:rPr>
              <w:t xml:space="preserve">  3,374.4 </w:t>
            </w:r>
          </w:p>
        </w:tc>
        <w:tc>
          <w:tcPr>
            <w:tcW w:w="1135" w:type="dxa"/>
            <w:vAlign w:val="center"/>
          </w:tcPr>
          <w:p w14:paraId="3570EB79" w14:textId="77777777" w:rsidR="008A5150" w:rsidRPr="007C664D" w:rsidRDefault="00090C46" w:rsidP="004D44D6">
            <w:pPr>
              <w:pStyle w:val="TableBody"/>
              <w:ind w:right="113"/>
              <w:jc w:val="right"/>
            </w:pPr>
            <w:r w:rsidRPr="007C664D">
              <w:rPr>
                <w:rFonts w:ascii="Arial" w:hAnsi="Arial" w:cs="Arial"/>
                <w:color w:val="000000"/>
              </w:rPr>
              <w:t xml:space="preserve">  3,512.6 </w:t>
            </w:r>
          </w:p>
        </w:tc>
        <w:tc>
          <w:tcPr>
            <w:tcW w:w="1136" w:type="dxa"/>
            <w:vAlign w:val="center"/>
          </w:tcPr>
          <w:p w14:paraId="4806637D" w14:textId="77777777" w:rsidR="008A5150" w:rsidRPr="007C664D" w:rsidRDefault="00090C46" w:rsidP="004D44D6">
            <w:pPr>
              <w:pStyle w:val="TableBody"/>
              <w:ind w:right="113"/>
              <w:jc w:val="right"/>
            </w:pPr>
            <w:r w:rsidRPr="007C664D">
              <w:rPr>
                <w:rFonts w:ascii="Arial" w:hAnsi="Arial" w:cs="Arial"/>
                <w:color w:val="000000"/>
              </w:rPr>
              <w:t xml:space="preserve">  3,630.4 </w:t>
            </w:r>
          </w:p>
        </w:tc>
        <w:tc>
          <w:tcPr>
            <w:tcW w:w="1135" w:type="dxa"/>
            <w:vAlign w:val="center"/>
          </w:tcPr>
          <w:p w14:paraId="382386C8" w14:textId="77777777" w:rsidR="008A5150" w:rsidRPr="007C664D" w:rsidRDefault="00090C46" w:rsidP="004D44D6">
            <w:pPr>
              <w:pStyle w:val="TableBody"/>
              <w:ind w:right="113"/>
              <w:jc w:val="right"/>
            </w:pPr>
            <w:r w:rsidRPr="007C664D">
              <w:rPr>
                <w:rFonts w:ascii="Arial" w:hAnsi="Arial" w:cs="Arial"/>
                <w:color w:val="000000"/>
              </w:rPr>
              <w:t xml:space="preserve">  3,770.7 </w:t>
            </w:r>
          </w:p>
        </w:tc>
        <w:tc>
          <w:tcPr>
            <w:tcW w:w="1280" w:type="dxa"/>
            <w:vAlign w:val="center"/>
          </w:tcPr>
          <w:p w14:paraId="45F66E5D" w14:textId="0A8AC016" w:rsidR="008A5150" w:rsidRPr="007C664D" w:rsidRDefault="00090C46" w:rsidP="004D44D6">
            <w:pPr>
              <w:pStyle w:val="TableBody"/>
              <w:ind w:right="113"/>
              <w:jc w:val="right"/>
            </w:pPr>
            <w:r w:rsidRPr="007C664D">
              <w:rPr>
                <w:rFonts w:ascii="Arial" w:hAnsi="Arial" w:cs="Arial"/>
                <w:color w:val="000000"/>
              </w:rPr>
              <w:t xml:space="preserve">   3,860.0 </w:t>
            </w:r>
          </w:p>
        </w:tc>
      </w:tr>
    </w:tbl>
    <w:p w14:paraId="5C6E1A0C" w14:textId="77777777" w:rsidR="00874DAA" w:rsidRDefault="00874DAA" w:rsidP="00874DAA">
      <w:pPr>
        <w:pStyle w:val="Source"/>
        <w:jc w:val="left"/>
      </w:pPr>
      <w:r w:rsidRPr="00874DAA">
        <w:rPr>
          <w:b/>
          <w:bCs/>
        </w:rPr>
        <w:t>Note:</w:t>
      </w:r>
      <w:r>
        <w:t xml:space="preserve"> Numbers have been rounded</w:t>
      </w:r>
    </w:p>
    <w:p w14:paraId="06EA2504" w14:textId="4ADD0EFA" w:rsidR="00874DAA" w:rsidRPr="007C664D" w:rsidRDefault="00874DAA" w:rsidP="00874DAA">
      <w:pPr>
        <w:pStyle w:val="Heading4"/>
      </w:pPr>
      <w:r w:rsidRPr="007C664D">
        <w:lastRenderedPageBreak/>
        <w:t xml:space="preserve">4.3.2.1 </w:t>
      </w:r>
      <w:r w:rsidRPr="007C664D">
        <w:tab/>
        <w:t>Customer contributions</w:t>
      </w:r>
    </w:p>
    <w:p w14:paraId="5F9AB815" w14:textId="77777777" w:rsidR="000E5B77" w:rsidRPr="007C664D" w:rsidRDefault="000E5B77" w:rsidP="000E5B77">
      <w:pPr>
        <w:pStyle w:val="Pull-out"/>
      </w:pPr>
      <w:r w:rsidRPr="007C664D">
        <w:t>Our draft decision is to not accept Greater Western Water’s forecasts for revenue from customer contributions.</w:t>
      </w:r>
    </w:p>
    <w:p w14:paraId="4D94EF38" w14:textId="77777777" w:rsidR="000E5B77" w:rsidRPr="007C664D" w:rsidRDefault="000E5B77" w:rsidP="000E5B77">
      <w:r w:rsidRPr="007C664D">
        <w:t>Revenue from customer contributions is deducted from gross capital expenditure so it is not included in the regulatory asset base.</w:t>
      </w:r>
      <w:r w:rsidRPr="007C664D">
        <w:rPr>
          <w:rStyle w:val="FootnoteReference"/>
        </w:rPr>
        <w:footnoteReference w:id="84"/>
      </w:r>
      <w:r w:rsidRPr="007C664D">
        <w:t xml:space="preserve"> </w:t>
      </w:r>
    </w:p>
    <w:p w14:paraId="65AA1F44" w14:textId="77777777" w:rsidR="000E5B77" w:rsidRPr="007C664D" w:rsidRDefault="000E5B77" w:rsidP="000E5B77">
      <w:r w:rsidRPr="007C664D">
        <w:t>New</w:t>
      </w:r>
      <w:r w:rsidRPr="007C664D" w:rsidDel="00843EE6">
        <w:t xml:space="preserve"> customer contributions </w:t>
      </w:r>
      <w:r w:rsidRPr="007C664D">
        <w:t xml:space="preserve">are a key input to revenue from customer contributions. Since our draft decision is to not accept Greater Western Water’s </w:t>
      </w:r>
      <w:r w:rsidR="00EB0AB7" w:rsidRPr="007C664D">
        <w:t xml:space="preserve">proposed </w:t>
      </w:r>
      <w:r w:rsidRPr="007C664D">
        <w:t>new customer contribution</w:t>
      </w:r>
      <w:r w:rsidR="00EB0AB7" w:rsidRPr="007C664D">
        <w:t xml:space="preserve"> charge</w:t>
      </w:r>
      <w:r w:rsidRPr="007C664D">
        <w:t>s, our draft decision is to not accept Greater Western Water’s forecasts for customer contributions (Section 5.4).</w:t>
      </w:r>
    </w:p>
    <w:p w14:paraId="4A7E716F" w14:textId="77777777" w:rsidR="000E5B77" w:rsidRDefault="00747CD2" w:rsidP="000E5B77">
      <w:r w:rsidRPr="007C664D">
        <w:t>However, f</w:t>
      </w:r>
      <w:r w:rsidR="000E5B77" w:rsidRPr="007C664D">
        <w:t xml:space="preserve">or the purposes of calculating the regulatory asset base and revenue requirement in our draft decision, we have adopted Greater Western Water’s proposed customer contributions forecast based on its financial model. The </w:t>
      </w:r>
      <w:r w:rsidR="00AF573C" w:rsidRPr="007C664D">
        <w:t xml:space="preserve">forecast </w:t>
      </w:r>
      <w:r w:rsidR="000E5B77" w:rsidRPr="007C664D">
        <w:t>appear</w:t>
      </w:r>
      <w:r w:rsidR="00AF573C" w:rsidRPr="007C664D">
        <w:t>s</w:t>
      </w:r>
      <w:r w:rsidR="000E5B77" w:rsidRPr="007C664D">
        <w:t xml:space="preserve"> reasonable</w:t>
      </w:r>
      <w:r w:rsidR="00AF573C" w:rsidRPr="007C664D">
        <w:t>,</w:t>
      </w:r>
      <w:r w:rsidR="000E5B77" w:rsidRPr="007C664D">
        <w:t xml:space="preserve"> having regard to past trends and growth forecasts. However, we note that our final decision is subject to our ongoing review of Greater Western Water’s new customer contributions (Section 5.4).</w:t>
      </w:r>
    </w:p>
    <w:p w14:paraId="6FD28138" w14:textId="62E25105" w:rsidR="00874DAA" w:rsidRDefault="00874DAA" w:rsidP="00874DAA">
      <w:pPr>
        <w:pStyle w:val="Heading2"/>
      </w:pPr>
      <w:bookmarkStart w:id="96" w:name="_Toc161400992"/>
      <w:r w:rsidRPr="001615DC">
        <w:t xml:space="preserve">4.4 </w:t>
      </w:r>
      <w:r w:rsidRPr="001615DC">
        <w:tab/>
      </w:r>
      <w:r w:rsidRPr="007C664D">
        <w:t>Rate of return</w:t>
      </w:r>
      <w:bookmarkEnd w:id="96"/>
    </w:p>
    <w:p w14:paraId="79B42FA3" w14:textId="77777777" w:rsidR="00AD3F4C" w:rsidRDefault="00AD3F4C" w:rsidP="00AD3F4C">
      <w:bookmarkStart w:id="97" w:name="_Toc122514868"/>
      <w:bookmarkStart w:id="98" w:name="_Toc150515699"/>
      <w:r>
        <w:t>In establishing the return on assets component of Greater Western Water’s revenue requirement, we have applied a rate of return to Greater Western Water’s regulatory asset base. The rate of return is calculated using a benchmark cost of debt (discussed in Section</w:t>
      </w:r>
      <w:r w:rsidR="00076F1C">
        <w:t> </w:t>
      </w:r>
      <w:r>
        <w:t>4.4.1) and a benchmark return on equity value (discussed in Section</w:t>
      </w:r>
      <w:r w:rsidR="00076F1C">
        <w:t> </w:t>
      </w:r>
      <w:r>
        <w:t>4.4.2).</w:t>
      </w:r>
    </w:p>
    <w:p w14:paraId="10946871" w14:textId="69916E03" w:rsidR="00AD3F4C" w:rsidRDefault="00AD3F4C" w:rsidP="00AD3F4C">
      <w:pPr>
        <w:pStyle w:val="Heading3"/>
      </w:pPr>
      <w:bookmarkStart w:id="99" w:name="_Toc122514867"/>
      <w:bookmarkStart w:id="100" w:name="_Toc150515698"/>
      <w:bookmarkStart w:id="101" w:name="_Toc161400993"/>
      <w:r>
        <w:t>4.4.1</w:t>
      </w:r>
      <w:r>
        <w:tab/>
        <w:t>Cost of debt</w:t>
      </w:r>
      <w:bookmarkEnd w:id="99"/>
      <w:bookmarkEnd w:id="100"/>
      <w:bookmarkEnd w:id="101"/>
    </w:p>
    <w:p w14:paraId="28778401" w14:textId="77777777" w:rsidR="00AD3F4C" w:rsidRDefault="00AD3F4C" w:rsidP="00AD3F4C">
      <w:pPr>
        <w:pStyle w:val="Pull-out"/>
      </w:pPr>
      <w:r w:rsidRPr="007C664D">
        <w:t>Our draft decision is to accept the cost of debt proposed by Greater Western Water.</w:t>
      </w:r>
    </w:p>
    <w:p w14:paraId="0C0FE2BF" w14:textId="6448D57C" w:rsidR="00AD3F4C" w:rsidRDefault="00AD3F4C" w:rsidP="00AD3F4C">
      <w:r>
        <w:t xml:space="preserve">Our guidance required Greater Western Water to use estimates of the cost of debt provided by the commission to estimate its revenue requirement. </w:t>
      </w:r>
      <w:r w:rsidRPr="007C664D">
        <w:t>Greater Western Water used the cost of debt values we specified</w:t>
      </w:r>
      <w:r w:rsidR="00DD4B6C" w:rsidRPr="007C664D">
        <w:t>, as set out in Table 4.</w:t>
      </w:r>
      <w:r w:rsidR="002F5695" w:rsidRPr="007C664D">
        <w:t>10</w:t>
      </w:r>
      <w:r w:rsidR="00DD4B6C" w:rsidRPr="007C664D">
        <w:t>,</w:t>
      </w:r>
      <w:r w:rsidRPr="007C664D">
        <w:t xml:space="preserve"> to calculate its revenue requirement. For this reason, our draft decision is to accept the cost of debt proposed by Greater Western Water, noting that the cost of debt estimates will be updated following the release of the Australian Bureau of Statistics March Quarter 2024 consumer price index.</w:t>
      </w:r>
      <w:r>
        <w:t xml:space="preserve"> </w:t>
      </w:r>
    </w:p>
    <w:p w14:paraId="587A7EB2" w14:textId="77777777" w:rsidR="00AD3F4C" w:rsidRDefault="00AD3F4C" w:rsidP="00F5534D">
      <w:pPr>
        <w:pStyle w:val="Figure-Table-BoxHeading"/>
        <w:keepNext/>
      </w:pPr>
      <w:r w:rsidRPr="009B5AB0">
        <w:lastRenderedPageBreak/>
        <w:t>Table 4.</w:t>
      </w:r>
      <w:r w:rsidR="002F5695">
        <w:t>10</w:t>
      </w:r>
      <w:r w:rsidRPr="000A75DA">
        <w:tab/>
        <w:t>Draft decision – cost of debt</w:t>
      </w:r>
    </w:p>
    <w:tbl>
      <w:tblPr>
        <w:tblStyle w:val="TableGrid"/>
        <w:tblW w:w="10348" w:type="dxa"/>
        <w:tblLayout w:type="fixed"/>
        <w:tblLook w:val="04A0" w:firstRow="1" w:lastRow="0" w:firstColumn="1" w:lastColumn="0" w:noHBand="0" w:noVBand="1"/>
      </w:tblPr>
      <w:tblGrid>
        <w:gridCol w:w="993"/>
        <w:gridCol w:w="921"/>
        <w:gridCol w:w="921"/>
        <w:gridCol w:w="921"/>
        <w:gridCol w:w="922"/>
        <w:gridCol w:w="921"/>
        <w:gridCol w:w="921"/>
        <w:gridCol w:w="922"/>
        <w:gridCol w:w="921"/>
        <w:gridCol w:w="921"/>
        <w:gridCol w:w="1064"/>
      </w:tblGrid>
      <w:tr w:rsidR="00AD3F4C" w14:paraId="03EA4D54" w14:textId="77777777">
        <w:trPr>
          <w:cnfStyle w:val="100000000000" w:firstRow="1" w:lastRow="0" w:firstColumn="0" w:lastColumn="0" w:oddVBand="0" w:evenVBand="0" w:oddHBand="0" w:evenHBand="0" w:firstRowFirstColumn="0" w:firstRowLastColumn="0" w:lastRowFirstColumn="0" w:lastRowLastColumn="0"/>
        </w:trPr>
        <w:tc>
          <w:tcPr>
            <w:tcW w:w="993" w:type="dxa"/>
          </w:tcPr>
          <w:p w14:paraId="6E5B4D2D" w14:textId="77777777" w:rsidR="00AD3F4C" w:rsidRPr="00040B8E" w:rsidRDefault="00AD3F4C">
            <w:pPr>
              <w:pStyle w:val="TableHeading"/>
              <w:rPr>
                <w:sz w:val="18"/>
                <w:szCs w:val="18"/>
              </w:rPr>
            </w:pPr>
          </w:p>
        </w:tc>
        <w:tc>
          <w:tcPr>
            <w:tcW w:w="921" w:type="dxa"/>
          </w:tcPr>
          <w:p w14:paraId="3FACA15F" w14:textId="77777777" w:rsidR="00AD3F4C" w:rsidRPr="00A64DA9" w:rsidRDefault="001A6A06">
            <w:pPr>
              <w:pStyle w:val="TableHeading"/>
              <w:ind w:right="113"/>
              <w:rPr>
                <w:sz w:val="18"/>
                <w:szCs w:val="18"/>
              </w:rPr>
            </w:pPr>
            <w:r w:rsidRPr="00A64DA9">
              <w:rPr>
                <w:sz w:val="18"/>
                <w:szCs w:val="18"/>
              </w:rPr>
              <w:t>2014</w:t>
            </w:r>
            <w:r w:rsidRPr="00A64DA9">
              <w:rPr>
                <w:sz w:val="18"/>
                <w:szCs w:val="18"/>
              </w:rPr>
              <w:noBreakHyphen/>
              <w:t>15</w:t>
            </w:r>
          </w:p>
        </w:tc>
        <w:tc>
          <w:tcPr>
            <w:tcW w:w="921" w:type="dxa"/>
          </w:tcPr>
          <w:p w14:paraId="5CB79440" w14:textId="77777777" w:rsidR="00AD3F4C" w:rsidRPr="00A64DA9" w:rsidRDefault="001A6A06">
            <w:pPr>
              <w:pStyle w:val="TableHeading"/>
              <w:ind w:right="113"/>
              <w:rPr>
                <w:sz w:val="18"/>
                <w:szCs w:val="18"/>
              </w:rPr>
            </w:pPr>
            <w:r w:rsidRPr="00A64DA9">
              <w:rPr>
                <w:sz w:val="18"/>
                <w:szCs w:val="18"/>
              </w:rPr>
              <w:t>2015</w:t>
            </w:r>
            <w:r w:rsidRPr="00A64DA9">
              <w:rPr>
                <w:sz w:val="18"/>
                <w:szCs w:val="18"/>
              </w:rPr>
              <w:noBreakHyphen/>
              <w:t>16</w:t>
            </w:r>
          </w:p>
        </w:tc>
        <w:tc>
          <w:tcPr>
            <w:tcW w:w="921" w:type="dxa"/>
          </w:tcPr>
          <w:p w14:paraId="09BF33D2" w14:textId="77777777" w:rsidR="00AD3F4C" w:rsidRPr="00A64DA9" w:rsidRDefault="001A6A06">
            <w:pPr>
              <w:pStyle w:val="TableHeading"/>
              <w:ind w:right="113"/>
              <w:rPr>
                <w:sz w:val="18"/>
                <w:szCs w:val="18"/>
              </w:rPr>
            </w:pPr>
            <w:r w:rsidRPr="00A64DA9">
              <w:rPr>
                <w:sz w:val="18"/>
                <w:szCs w:val="18"/>
              </w:rPr>
              <w:t>2016</w:t>
            </w:r>
            <w:r w:rsidRPr="00A64DA9">
              <w:rPr>
                <w:sz w:val="18"/>
                <w:szCs w:val="18"/>
              </w:rPr>
              <w:noBreakHyphen/>
              <w:t>17</w:t>
            </w:r>
          </w:p>
        </w:tc>
        <w:tc>
          <w:tcPr>
            <w:tcW w:w="922" w:type="dxa"/>
          </w:tcPr>
          <w:p w14:paraId="0733A73B" w14:textId="77777777" w:rsidR="00AD3F4C" w:rsidRPr="00A64DA9" w:rsidRDefault="001A6A06">
            <w:pPr>
              <w:pStyle w:val="TableHeading"/>
              <w:ind w:right="113"/>
              <w:rPr>
                <w:sz w:val="18"/>
                <w:szCs w:val="18"/>
              </w:rPr>
            </w:pPr>
            <w:r w:rsidRPr="00A64DA9">
              <w:rPr>
                <w:sz w:val="18"/>
                <w:szCs w:val="18"/>
              </w:rPr>
              <w:t>2017</w:t>
            </w:r>
            <w:r w:rsidRPr="00A64DA9">
              <w:rPr>
                <w:sz w:val="18"/>
                <w:szCs w:val="18"/>
              </w:rPr>
              <w:noBreakHyphen/>
              <w:t>18</w:t>
            </w:r>
          </w:p>
        </w:tc>
        <w:tc>
          <w:tcPr>
            <w:tcW w:w="921" w:type="dxa"/>
          </w:tcPr>
          <w:p w14:paraId="63A32ECA" w14:textId="77777777" w:rsidR="00AD3F4C" w:rsidRPr="00A64DA9" w:rsidRDefault="001A6A06">
            <w:pPr>
              <w:pStyle w:val="TableHeading"/>
              <w:ind w:right="113"/>
              <w:rPr>
                <w:sz w:val="18"/>
                <w:szCs w:val="18"/>
              </w:rPr>
            </w:pPr>
            <w:r w:rsidRPr="00A64DA9">
              <w:rPr>
                <w:sz w:val="18"/>
                <w:szCs w:val="18"/>
              </w:rPr>
              <w:t>2018</w:t>
            </w:r>
            <w:r w:rsidRPr="00A64DA9">
              <w:rPr>
                <w:sz w:val="18"/>
                <w:szCs w:val="18"/>
              </w:rPr>
              <w:noBreakHyphen/>
              <w:t>19</w:t>
            </w:r>
          </w:p>
        </w:tc>
        <w:tc>
          <w:tcPr>
            <w:tcW w:w="921" w:type="dxa"/>
          </w:tcPr>
          <w:p w14:paraId="0646E99B" w14:textId="77777777" w:rsidR="00AD3F4C" w:rsidRPr="00A64DA9" w:rsidRDefault="001A6A06">
            <w:pPr>
              <w:pStyle w:val="TableHeading"/>
              <w:ind w:right="113"/>
              <w:rPr>
                <w:sz w:val="18"/>
                <w:szCs w:val="18"/>
              </w:rPr>
            </w:pPr>
            <w:r w:rsidRPr="00A64DA9">
              <w:rPr>
                <w:sz w:val="18"/>
                <w:szCs w:val="18"/>
              </w:rPr>
              <w:t>2019</w:t>
            </w:r>
            <w:r w:rsidRPr="00A64DA9">
              <w:rPr>
                <w:sz w:val="18"/>
                <w:szCs w:val="18"/>
              </w:rPr>
              <w:noBreakHyphen/>
              <w:t>20</w:t>
            </w:r>
          </w:p>
        </w:tc>
        <w:tc>
          <w:tcPr>
            <w:tcW w:w="922" w:type="dxa"/>
          </w:tcPr>
          <w:p w14:paraId="697C9A33" w14:textId="77777777" w:rsidR="00AD3F4C" w:rsidRPr="00A64DA9" w:rsidRDefault="001A6A06">
            <w:pPr>
              <w:pStyle w:val="TableHeading"/>
              <w:ind w:right="113"/>
              <w:rPr>
                <w:sz w:val="18"/>
                <w:szCs w:val="18"/>
              </w:rPr>
            </w:pPr>
            <w:r w:rsidRPr="00A64DA9">
              <w:rPr>
                <w:sz w:val="18"/>
                <w:szCs w:val="18"/>
              </w:rPr>
              <w:t>2020</w:t>
            </w:r>
            <w:r w:rsidRPr="00A64DA9">
              <w:rPr>
                <w:sz w:val="18"/>
                <w:szCs w:val="18"/>
              </w:rPr>
              <w:noBreakHyphen/>
              <w:t>21</w:t>
            </w:r>
          </w:p>
        </w:tc>
        <w:tc>
          <w:tcPr>
            <w:tcW w:w="921" w:type="dxa"/>
          </w:tcPr>
          <w:p w14:paraId="6C348DE3" w14:textId="77777777" w:rsidR="00AD3F4C" w:rsidRPr="00A64DA9" w:rsidRDefault="001A6A06">
            <w:pPr>
              <w:pStyle w:val="TableHeading"/>
              <w:ind w:right="113"/>
              <w:rPr>
                <w:sz w:val="18"/>
                <w:szCs w:val="18"/>
              </w:rPr>
            </w:pPr>
            <w:r w:rsidRPr="00A64DA9">
              <w:rPr>
                <w:sz w:val="18"/>
                <w:szCs w:val="18"/>
              </w:rPr>
              <w:t>2021</w:t>
            </w:r>
            <w:r w:rsidRPr="00A64DA9">
              <w:rPr>
                <w:sz w:val="18"/>
                <w:szCs w:val="18"/>
              </w:rPr>
              <w:noBreakHyphen/>
              <w:t>22</w:t>
            </w:r>
          </w:p>
        </w:tc>
        <w:tc>
          <w:tcPr>
            <w:tcW w:w="921" w:type="dxa"/>
          </w:tcPr>
          <w:p w14:paraId="373424DE" w14:textId="77777777" w:rsidR="00AD3F4C" w:rsidRPr="00A64DA9" w:rsidRDefault="001A6A06">
            <w:pPr>
              <w:pStyle w:val="TableHeading"/>
              <w:ind w:right="113"/>
              <w:rPr>
                <w:sz w:val="18"/>
                <w:szCs w:val="18"/>
              </w:rPr>
            </w:pPr>
            <w:r w:rsidRPr="00460782">
              <w:rPr>
                <w:sz w:val="18"/>
                <w:szCs w:val="18"/>
              </w:rPr>
              <w:t>2022</w:t>
            </w:r>
            <w:r w:rsidRPr="00460782">
              <w:rPr>
                <w:sz w:val="18"/>
                <w:szCs w:val="18"/>
              </w:rPr>
              <w:noBreakHyphen/>
              <w:t>23</w:t>
            </w:r>
          </w:p>
        </w:tc>
        <w:tc>
          <w:tcPr>
            <w:tcW w:w="1064" w:type="dxa"/>
          </w:tcPr>
          <w:p w14:paraId="66772599" w14:textId="77777777" w:rsidR="00AD3F4C" w:rsidRPr="00A64DA9" w:rsidRDefault="001A6A06">
            <w:pPr>
              <w:pStyle w:val="TableHeading"/>
              <w:ind w:right="113"/>
              <w:rPr>
                <w:sz w:val="18"/>
                <w:szCs w:val="18"/>
              </w:rPr>
            </w:pPr>
            <w:r w:rsidRPr="00460782">
              <w:rPr>
                <w:sz w:val="18"/>
                <w:szCs w:val="18"/>
              </w:rPr>
              <w:t>2023</w:t>
            </w:r>
            <w:r w:rsidRPr="00460782">
              <w:rPr>
                <w:sz w:val="18"/>
                <w:szCs w:val="18"/>
              </w:rPr>
              <w:noBreakHyphen/>
              <w:t>24</w:t>
            </w:r>
          </w:p>
        </w:tc>
      </w:tr>
      <w:tr w:rsidR="00AD3F4C" w14:paraId="6BBF9592" w14:textId="77777777">
        <w:trPr>
          <w:cnfStyle w:val="000000100000" w:firstRow="0" w:lastRow="0" w:firstColumn="0" w:lastColumn="0" w:oddVBand="0" w:evenVBand="0" w:oddHBand="1" w:evenHBand="0" w:firstRowFirstColumn="0" w:firstRowLastColumn="0" w:lastRowFirstColumn="0" w:lastRowLastColumn="0"/>
        </w:trPr>
        <w:tc>
          <w:tcPr>
            <w:tcW w:w="993" w:type="dxa"/>
          </w:tcPr>
          <w:p w14:paraId="4EA554D3" w14:textId="77777777" w:rsidR="00AD3F4C" w:rsidRPr="00040B8E" w:rsidRDefault="00AD3F4C">
            <w:pPr>
              <w:pStyle w:val="TableBody"/>
              <w:rPr>
                <w:sz w:val="20"/>
                <w:szCs w:val="20"/>
              </w:rPr>
            </w:pPr>
            <w:r w:rsidRPr="00040B8E">
              <w:rPr>
                <w:sz w:val="20"/>
                <w:szCs w:val="20"/>
              </w:rPr>
              <w:t>Cost of debt (nominal)</w:t>
            </w:r>
          </w:p>
        </w:tc>
        <w:tc>
          <w:tcPr>
            <w:tcW w:w="921" w:type="dxa"/>
            <w:vAlign w:val="center"/>
          </w:tcPr>
          <w:p w14:paraId="37B3FD2B" w14:textId="77777777" w:rsidR="00AD3F4C" w:rsidRPr="007C664D" w:rsidRDefault="00AD3F4C">
            <w:pPr>
              <w:pStyle w:val="TableBody"/>
              <w:ind w:right="113"/>
              <w:jc w:val="right"/>
              <w:rPr>
                <w:sz w:val="20"/>
                <w:szCs w:val="20"/>
              </w:rPr>
            </w:pPr>
            <w:r w:rsidRPr="007C664D">
              <w:rPr>
                <w:rFonts w:ascii="Arial" w:hAnsi="Arial" w:cs="Arial"/>
                <w:color w:val="000000"/>
              </w:rPr>
              <w:t>5.36%</w:t>
            </w:r>
          </w:p>
        </w:tc>
        <w:tc>
          <w:tcPr>
            <w:tcW w:w="921" w:type="dxa"/>
            <w:vAlign w:val="center"/>
          </w:tcPr>
          <w:p w14:paraId="0F041E49" w14:textId="77777777" w:rsidR="00AD3F4C" w:rsidRPr="007C664D" w:rsidRDefault="00AD3F4C">
            <w:pPr>
              <w:pStyle w:val="TableBody"/>
              <w:ind w:right="113"/>
              <w:jc w:val="right"/>
              <w:rPr>
                <w:sz w:val="20"/>
                <w:szCs w:val="20"/>
              </w:rPr>
            </w:pPr>
            <w:r w:rsidRPr="007C664D">
              <w:rPr>
                <w:rFonts w:ascii="Arial" w:hAnsi="Arial" w:cs="Arial"/>
                <w:color w:val="000000"/>
              </w:rPr>
              <w:t>5.27%</w:t>
            </w:r>
          </w:p>
        </w:tc>
        <w:tc>
          <w:tcPr>
            <w:tcW w:w="921" w:type="dxa"/>
            <w:vAlign w:val="center"/>
          </w:tcPr>
          <w:p w14:paraId="2C0A8AD2" w14:textId="77777777" w:rsidR="00AD3F4C" w:rsidRPr="007C664D" w:rsidRDefault="00AD3F4C">
            <w:pPr>
              <w:pStyle w:val="TableBody"/>
              <w:ind w:right="113"/>
              <w:jc w:val="right"/>
              <w:rPr>
                <w:sz w:val="20"/>
                <w:szCs w:val="20"/>
              </w:rPr>
            </w:pPr>
            <w:r w:rsidRPr="007C664D">
              <w:rPr>
                <w:rFonts w:ascii="Arial" w:hAnsi="Arial" w:cs="Arial"/>
                <w:color w:val="000000"/>
              </w:rPr>
              <w:t>4.91%</w:t>
            </w:r>
          </w:p>
        </w:tc>
        <w:tc>
          <w:tcPr>
            <w:tcW w:w="922" w:type="dxa"/>
            <w:vAlign w:val="center"/>
          </w:tcPr>
          <w:p w14:paraId="2B7C6BE3" w14:textId="77777777" w:rsidR="00AD3F4C" w:rsidRPr="007C664D" w:rsidRDefault="00AD3F4C">
            <w:pPr>
              <w:pStyle w:val="TableBody"/>
              <w:ind w:right="113"/>
              <w:jc w:val="right"/>
              <w:rPr>
                <w:sz w:val="20"/>
                <w:szCs w:val="20"/>
              </w:rPr>
            </w:pPr>
            <w:r w:rsidRPr="007C664D">
              <w:rPr>
                <w:rFonts w:ascii="Arial" w:hAnsi="Arial" w:cs="Arial"/>
                <w:color w:val="000000"/>
              </w:rPr>
              <w:t>4.53%</w:t>
            </w:r>
          </w:p>
        </w:tc>
        <w:tc>
          <w:tcPr>
            <w:tcW w:w="921" w:type="dxa"/>
            <w:vAlign w:val="center"/>
          </w:tcPr>
          <w:p w14:paraId="5F43B5E2" w14:textId="77777777" w:rsidR="00AD3F4C" w:rsidRPr="007C664D" w:rsidRDefault="00AD3F4C">
            <w:pPr>
              <w:pStyle w:val="TableBody"/>
              <w:ind w:right="113"/>
              <w:jc w:val="right"/>
              <w:rPr>
                <w:sz w:val="20"/>
                <w:szCs w:val="20"/>
              </w:rPr>
            </w:pPr>
            <w:r w:rsidRPr="007C664D">
              <w:rPr>
                <w:rFonts w:ascii="Arial" w:hAnsi="Arial" w:cs="Arial"/>
                <w:color w:val="000000"/>
              </w:rPr>
              <w:t>4.61%</w:t>
            </w:r>
          </w:p>
        </w:tc>
        <w:tc>
          <w:tcPr>
            <w:tcW w:w="921" w:type="dxa"/>
            <w:vAlign w:val="center"/>
          </w:tcPr>
          <w:p w14:paraId="43A597D0" w14:textId="77777777" w:rsidR="00AD3F4C" w:rsidRPr="007C664D" w:rsidRDefault="00AD3F4C">
            <w:pPr>
              <w:pStyle w:val="TableBody"/>
              <w:ind w:right="113"/>
              <w:jc w:val="right"/>
              <w:rPr>
                <w:sz w:val="20"/>
                <w:szCs w:val="20"/>
              </w:rPr>
            </w:pPr>
            <w:r w:rsidRPr="007C664D">
              <w:rPr>
                <w:rFonts w:ascii="Arial" w:hAnsi="Arial" w:cs="Arial"/>
                <w:color w:val="000000"/>
              </w:rPr>
              <w:t>3.31%</w:t>
            </w:r>
          </w:p>
        </w:tc>
        <w:tc>
          <w:tcPr>
            <w:tcW w:w="922" w:type="dxa"/>
            <w:vAlign w:val="center"/>
          </w:tcPr>
          <w:p w14:paraId="42BDD1F1" w14:textId="77777777" w:rsidR="00AD3F4C" w:rsidRPr="007C664D" w:rsidRDefault="00AD3F4C">
            <w:pPr>
              <w:pStyle w:val="TableBody"/>
              <w:ind w:right="113"/>
              <w:jc w:val="right"/>
              <w:rPr>
                <w:sz w:val="20"/>
                <w:szCs w:val="20"/>
              </w:rPr>
            </w:pPr>
            <w:r w:rsidRPr="007C664D">
              <w:rPr>
                <w:rFonts w:ascii="Arial" w:hAnsi="Arial" w:cs="Arial"/>
                <w:color w:val="000000"/>
              </w:rPr>
              <w:t>3.05%</w:t>
            </w:r>
          </w:p>
        </w:tc>
        <w:tc>
          <w:tcPr>
            <w:tcW w:w="921" w:type="dxa"/>
            <w:vAlign w:val="center"/>
          </w:tcPr>
          <w:p w14:paraId="072BDA0E" w14:textId="77777777" w:rsidR="00AD3F4C" w:rsidRPr="007C664D" w:rsidRDefault="00AD3F4C">
            <w:pPr>
              <w:pStyle w:val="TableBody"/>
              <w:ind w:right="113"/>
              <w:jc w:val="right"/>
              <w:rPr>
                <w:sz w:val="20"/>
                <w:szCs w:val="20"/>
              </w:rPr>
            </w:pPr>
            <w:r w:rsidRPr="007C664D">
              <w:rPr>
                <w:rFonts w:ascii="Arial" w:hAnsi="Arial" w:cs="Arial"/>
                <w:color w:val="000000"/>
              </w:rPr>
              <w:t>3.75%</w:t>
            </w:r>
          </w:p>
        </w:tc>
        <w:tc>
          <w:tcPr>
            <w:tcW w:w="921" w:type="dxa"/>
            <w:vAlign w:val="center"/>
          </w:tcPr>
          <w:p w14:paraId="3858F3D9" w14:textId="77777777" w:rsidR="00AD3F4C" w:rsidRPr="007C664D" w:rsidRDefault="00AD3F4C">
            <w:pPr>
              <w:pStyle w:val="TableBody"/>
              <w:ind w:right="113"/>
              <w:jc w:val="right"/>
              <w:rPr>
                <w:sz w:val="20"/>
                <w:szCs w:val="20"/>
              </w:rPr>
            </w:pPr>
            <w:r w:rsidRPr="007C664D">
              <w:rPr>
                <w:rFonts w:ascii="Arial" w:hAnsi="Arial" w:cs="Arial"/>
                <w:color w:val="000000"/>
              </w:rPr>
              <w:t>6.76%</w:t>
            </w:r>
          </w:p>
        </w:tc>
        <w:tc>
          <w:tcPr>
            <w:tcW w:w="1064" w:type="dxa"/>
            <w:vAlign w:val="center"/>
          </w:tcPr>
          <w:p w14:paraId="478F9E7A" w14:textId="77777777" w:rsidR="00AD3F4C" w:rsidRPr="007C664D" w:rsidRDefault="00AD3F4C">
            <w:pPr>
              <w:pStyle w:val="TableBody"/>
              <w:ind w:right="113"/>
              <w:jc w:val="right"/>
              <w:rPr>
                <w:b/>
                <w:sz w:val="20"/>
                <w:szCs w:val="20"/>
                <w:vertAlign w:val="superscript"/>
              </w:rPr>
            </w:pPr>
            <w:r w:rsidRPr="007C664D">
              <w:rPr>
                <w:rFonts w:ascii="Arial" w:hAnsi="Arial" w:cs="Arial"/>
                <w:color w:val="000000"/>
              </w:rPr>
              <w:t>6.76%</w:t>
            </w:r>
            <w:r w:rsidRPr="007C664D">
              <w:rPr>
                <w:b/>
                <w:sz w:val="20"/>
                <w:szCs w:val="20"/>
                <w:vertAlign w:val="superscript"/>
              </w:rPr>
              <w:t xml:space="preserve"> a</w:t>
            </w:r>
          </w:p>
        </w:tc>
      </w:tr>
    </w:tbl>
    <w:p w14:paraId="2FD9E76B" w14:textId="77777777" w:rsidR="00AD3F4C" w:rsidRDefault="00AD3F4C" w:rsidP="00AD3F4C">
      <w:pPr>
        <w:pStyle w:val="Source"/>
        <w:jc w:val="left"/>
      </w:pPr>
      <w:r w:rsidRPr="006470E0">
        <w:rPr>
          <w:b/>
          <w:bCs/>
        </w:rPr>
        <w:t>Note:</w:t>
      </w:r>
      <w:r>
        <w:t xml:space="preserve"> Numbers have been rounded. </w:t>
      </w:r>
      <w:proofErr w:type="spellStart"/>
      <w:proofErr w:type="gramStart"/>
      <w:r w:rsidRPr="006470E0">
        <w:rPr>
          <w:b/>
          <w:bCs/>
          <w:vertAlign w:val="superscript"/>
        </w:rPr>
        <w:t>a</w:t>
      </w:r>
      <w:proofErr w:type="spellEnd"/>
      <w:proofErr w:type="gramEnd"/>
      <w:r>
        <w:t xml:space="preserve"> Estimated cost of debt – we will update the </w:t>
      </w:r>
      <w:r w:rsidRPr="00460782">
        <w:t>2023</w:t>
      </w:r>
      <w:r w:rsidR="0061411A" w:rsidRPr="00460782">
        <w:noBreakHyphen/>
      </w:r>
      <w:r w:rsidRPr="00460782">
        <w:t>24</w:t>
      </w:r>
      <w:r>
        <w:t xml:space="preserve"> figure before the final decision and price determination. </w:t>
      </w:r>
    </w:p>
    <w:p w14:paraId="558FC491" w14:textId="56364F4D" w:rsidR="00874DAA" w:rsidRDefault="00874DAA" w:rsidP="006470E0">
      <w:pPr>
        <w:pStyle w:val="Heading3"/>
      </w:pPr>
      <w:bookmarkStart w:id="102" w:name="_Toc161400994"/>
      <w:r>
        <w:t>4.4.2</w:t>
      </w:r>
      <w:r>
        <w:tab/>
        <w:t>Return on equity</w:t>
      </w:r>
      <w:bookmarkEnd w:id="97"/>
      <w:bookmarkEnd w:id="98"/>
      <w:bookmarkEnd w:id="102"/>
    </w:p>
    <w:p w14:paraId="0774E092" w14:textId="77777777" w:rsidR="00A10F73" w:rsidRDefault="00A10F73" w:rsidP="00A10F73">
      <w:pPr>
        <w:pStyle w:val="Pull-out"/>
      </w:pPr>
      <w:r w:rsidRPr="007C664D">
        <w:t>Our draft decision is to adopt a return on equity of 4.1 per cent, which reflects Greater Western Water’s PREMO self-rating.</w:t>
      </w:r>
    </w:p>
    <w:p w14:paraId="29D7F81D" w14:textId="77777777" w:rsidR="00A10F73" w:rsidRDefault="00A10F73" w:rsidP="00A10F73">
      <w:r>
        <w:t xml:space="preserve">Under our PREMO incentive mechanism, which we have applied since 2018, the return on equity we adopt to calculate the revenue requirement is linked to a business’s PREMO rating. As outlined in our guidance, the return on equity we adopt depends on a water corporation’s </w:t>
      </w:r>
      <w:r w:rsidDel="00874DAA">
        <w:t>self</w:t>
      </w:r>
      <w:r>
        <w:t>-rating and whether we accept that rating.</w:t>
      </w:r>
    </w:p>
    <w:p w14:paraId="5D56376A" w14:textId="77777777" w:rsidR="00A10F73" w:rsidRDefault="00A10F73" w:rsidP="00A10F73">
      <w:r>
        <w:t xml:space="preserve">Our guidance included a matrix proposing the return on equity we would adopt, based on the combination of the corporation’s </w:t>
      </w:r>
      <w:r w:rsidDel="00874DAA">
        <w:t>self</w:t>
      </w:r>
      <w:r>
        <w:t>-rating and our rating.</w:t>
      </w:r>
      <w:r>
        <w:rPr>
          <w:rStyle w:val="FootnoteReference"/>
        </w:rPr>
        <w:footnoteReference w:id="85"/>
      </w:r>
      <w:r>
        <w:t xml:space="preserve"> We consider that the values in our matrix reflect the medium-term real rates of return.</w:t>
      </w:r>
      <w:r>
        <w:rPr>
          <w:rStyle w:val="FootnoteReference"/>
        </w:rPr>
        <w:footnoteReference w:id="86"/>
      </w:r>
    </w:p>
    <w:p w14:paraId="4F98D744" w14:textId="77777777" w:rsidR="00A10F73" w:rsidRPr="007C664D" w:rsidRDefault="00A10F73" w:rsidP="00A10F73">
      <w:r w:rsidRPr="007C664D">
        <w:t xml:space="preserve">Greater Western Water rated its price submission as </w:t>
      </w:r>
      <w:r w:rsidR="008F3D60" w:rsidRPr="007C664D">
        <w:t>‘Standard’</w:t>
      </w:r>
      <w:r w:rsidRPr="007C664D">
        <w:t>. Based on this PREMO self</w:t>
      </w:r>
      <w:r w:rsidRPr="007C664D">
        <w:noBreakHyphen/>
        <w:t>rating, Greater Western Water proposed a return on equity of 4.1 per cent per annum. This reflects the maximum return rate allowed in our guidance for a price submission rated as ‘Standard’.</w:t>
      </w:r>
      <w:r w:rsidRPr="007C664D">
        <w:rPr>
          <w:rStyle w:val="FootnoteReference"/>
        </w:rPr>
        <w:footnoteReference w:id="87"/>
      </w:r>
      <w:r w:rsidRPr="007C664D">
        <w:t xml:space="preserve"> </w:t>
      </w:r>
    </w:p>
    <w:p w14:paraId="35872BE9" w14:textId="77777777" w:rsidR="008102D7" w:rsidRDefault="00A10F73" w:rsidP="008102D7">
      <w:r w:rsidRPr="007C664D">
        <w:t xml:space="preserve">As outlined in Chapter 7, our draft decision is to agree with Greater Western Water’s overall PREMO </w:t>
      </w:r>
      <w:r w:rsidRPr="007C664D" w:rsidDel="008102D7">
        <w:t>self</w:t>
      </w:r>
      <w:r w:rsidRPr="007C664D">
        <w:t xml:space="preserve">-rating and </w:t>
      </w:r>
      <w:r w:rsidR="00AF235C" w:rsidRPr="007C664D">
        <w:t>therefore to adopt its proposed return on equity.</w:t>
      </w:r>
      <w:r w:rsidRPr="007C664D">
        <w:t xml:space="preserve"> </w:t>
      </w:r>
    </w:p>
    <w:p w14:paraId="1DAC6C2D" w14:textId="5722A834" w:rsidR="008102D7" w:rsidRDefault="008102D7" w:rsidP="008102D7">
      <w:pPr>
        <w:pStyle w:val="Heading2"/>
      </w:pPr>
      <w:bookmarkStart w:id="103" w:name="_Toc161400995"/>
      <w:r>
        <w:lastRenderedPageBreak/>
        <w:t>4.5</w:t>
      </w:r>
      <w:r>
        <w:tab/>
        <w:t>Regulatory depreciation</w:t>
      </w:r>
      <w:bookmarkEnd w:id="103"/>
    </w:p>
    <w:p w14:paraId="7ABECEB7" w14:textId="77777777" w:rsidR="00B77C19" w:rsidRDefault="00B77C19" w:rsidP="00B77C19">
      <w:pPr>
        <w:pStyle w:val="Pull-out"/>
      </w:pPr>
      <w:r>
        <w:t xml:space="preserve">Our draft decision is to </w:t>
      </w:r>
      <w:r w:rsidRPr="007C664D">
        <w:t>not accept</w:t>
      </w:r>
      <w:r>
        <w:t xml:space="preserve"> Greater Western Water’s forecast regulatory depreciation.</w:t>
      </w:r>
    </w:p>
    <w:p w14:paraId="050D308E" w14:textId="77777777" w:rsidR="00B77C19" w:rsidRPr="007C664D" w:rsidRDefault="00B77C19" w:rsidP="00B77C19">
      <w:r>
        <w:t xml:space="preserve">Regulatory depreciation is a component of Greater Western Water’s revenue requirement and is also an input to calculating the regulatory asset base. </w:t>
      </w:r>
      <w:r w:rsidRPr="007C664D">
        <w:t>Greater Western Water’s forecast regulatory depreciation was calculated using a straight</w:t>
      </w:r>
      <w:r w:rsidRPr="007C664D">
        <w:noBreakHyphen/>
        <w:t>line depreciation profile.</w:t>
      </w:r>
      <w:r w:rsidRPr="007C664D">
        <w:rPr>
          <w:rStyle w:val="FootnoteReference"/>
        </w:rPr>
        <w:footnoteReference w:id="88"/>
      </w:r>
      <w:r w:rsidRPr="007C664D">
        <w:t xml:space="preserve"> We noted in our guidance that we prefer this approach.</w:t>
      </w:r>
      <w:r w:rsidRPr="007C664D">
        <w:rPr>
          <w:rStyle w:val="FootnoteReference"/>
        </w:rPr>
        <w:footnoteReference w:id="89"/>
      </w:r>
      <w:r w:rsidRPr="007C664D">
        <w:t xml:space="preserve"> </w:t>
      </w:r>
    </w:p>
    <w:p w14:paraId="660C649E" w14:textId="77777777" w:rsidR="00B77C19" w:rsidRDefault="00B77C19" w:rsidP="00B77C19">
      <w:r w:rsidRPr="007C664D">
        <w:t>Greater Western Water's proposed depreciation for the next regulatory period is $443.7</w:t>
      </w:r>
      <w:r w:rsidR="000131A4" w:rsidRPr="007C664D">
        <w:t> </w:t>
      </w:r>
      <w:r w:rsidR="00AF235C" w:rsidRPr="007C664D">
        <w:t>million and was calculated in a manner consistent with our guidance. However, given our draft decision is to not accept its proposed</w:t>
      </w:r>
      <w:r w:rsidRPr="007C664D">
        <w:t xml:space="preserve"> forecast regulatory asset base, we require Greater Western Water to recalculate regulatory depreciation in response to our draft decision. For this reason, our draft decision proposes to not accept Greater Western Water’s forecast regulatory depreciation.</w:t>
      </w:r>
      <w:r>
        <w:t xml:space="preserve"> </w:t>
      </w:r>
    </w:p>
    <w:p w14:paraId="047CE19C" w14:textId="77777777" w:rsidR="00AF235C" w:rsidRDefault="00AF235C" w:rsidP="00AF235C">
      <w:r>
        <w:t xml:space="preserve">Our draft decision on regulatory depreciation is shown in </w:t>
      </w:r>
      <w:r w:rsidRPr="009761A3">
        <w:t xml:space="preserve">Table </w:t>
      </w:r>
      <w:r w:rsidRPr="00CD4C26">
        <w:t>4.</w:t>
      </w:r>
      <w:r>
        <w:t>9</w:t>
      </w:r>
      <w:r w:rsidRPr="00C51B24">
        <w:t xml:space="preserve"> in Section 4.3.2.</w:t>
      </w:r>
    </w:p>
    <w:p w14:paraId="45E7D9D7" w14:textId="6D15C103" w:rsidR="008102D7" w:rsidRDefault="008102D7" w:rsidP="008102D7">
      <w:pPr>
        <w:pStyle w:val="Heading2"/>
      </w:pPr>
      <w:bookmarkStart w:id="104" w:name="_Toc161400996"/>
      <w:r>
        <w:t>4.6</w:t>
      </w:r>
      <w:r>
        <w:tab/>
        <w:t>Tax allowance</w:t>
      </w:r>
      <w:bookmarkEnd w:id="104"/>
    </w:p>
    <w:p w14:paraId="6A9CE179" w14:textId="77777777" w:rsidR="00E5334F" w:rsidRDefault="00E5334F" w:rsidP="00E5334F">
      <w:pPr>
        <w:pStyle w:val="Pull-out"/>
      </w:pPr>
      <w:r w:rsidRPr="007C664D">
        <w:t>Our draft decision is to not accept Greater Western Water’s proposed tax forecast for the 2024–28 regulatory period.</w:t>
      </w:r>
    </w:p>
    <w:p w14:paraId="1F82CD07" w14:textId="638F70DA" w:rsidR="00E5334F" w:rsidRPr="007C664D" w:rsidRDefault="00E5334F" w:rsidP="00E5334F">
      <w:r w:rsidRPr="007C664D">
        <w:t>The tax allowance is a component of the revenue requirement. Greater Western Water has proposed a tax allowance of $138.7</w:t>
      </w:r>
      <w:r w:rsidR="002F7186" w:rsidRPr="007C664D">
        <w:t> </w:t>
      </w:r>
      <w:r w:rsidRPr="007C664D">
        <w:t xml:space="preserve">million in its revenue requirement for the 2024–28 regulatory period. </w:t>
      </w:r>
    </w:p>
    <w:p w14:paraId="2BAD13DB" w14:textId="53049856" w:rsidR="006E5F9F" w:rsidRDefault="00E5334F" w:rsidP="006E5F9F">
      <w:pPr>
        <w:sectPr w:rsidR="006E5F9F" w:rsidSect="00736B75">
          <w:footerReference w:type="default" r:id="rId38"/>
          <w:pgSz w:w="11906" w:h="16838" w:code="9"/>
          <w:pgMar w:top="1134" w:right="1134" w:bottom="1134" w:left="1134" w:header="709" w:footer="692" w:gutter="0"/>
          <w:cols w:space="708"/>
          <w:docGrid w:linePitch="360"/>
        </w:sectPr>
      </w:pPr>
      <w:r w:rsidRPr="007C664D">
        <w:t>As our draft decision proposes an adjustment to its revenue requirement, our draft decision is to not accept Greater Western Water’s proposed tax allowance. Greater Western Water must provide an updated estimate in response to our draft decision.</w:t>
      </w:r>
      <w:r w:rsidR="00EA28D8" w:rsidRPr="007C664D">
        <w:t xml:space="preserve"> We also require Greater Western Water to cross check the model calculation with </w:t>
      </w:r>
      <w:r w:rsidR="006105B0" w:rsidRPr="007C664D">
        <w:t xml:space="preserve">its own internal </w:t>
      </w:r>
      <w:proofErr w:type="gramStart"/>
      <w:r w:rsidR="006105B0" w:rsidRPr="007C664D">
        <w:t>forecasts, and</w:t>
      </w:r>
      <w:proofErr w:type="gramEnd"/>
      <w:r w:rsidR="006105B0" w:rsidRPr="007C664D">
        <w:t xml:space="preserve"> provide </w:t>
      </w:r>
      <w:r w:rsidR="0033752C" w:rsidRPr="007C664D">
        <w:t>evidence that the benchmark calculation is appropriate.</w:t>
      </w:r>
    </w:p>
    <w:p w14:paraId="404EB7D9" w14:textId="7969DB5A" w:rsidR="006E5F9F" w:rsidRDefault="00C335C1" w:rsidP="00F22C01">
      <w:pPr>
        <w:pStyle w:val="Heading1"/>
        <w:ind w:left="709" w:hanging="709"/>
      </w:pPr>
      <w:bookmarkStart w:id="105" w:name="_Toc161400997"/>
      <w:r>
        <w:lastRenderedPageBreak/>
        <w:t>5.</w:t>
      </w:r>
      <w:r>
        <w:tab/>
      </w:r>
      <w:r w:rsidR="00BB45EB" w:rsidRPr="00BB45EB">
        <w:t xml:space="preserve">Demand, </w:t>
      </w:r>
      <w:proofErr w:type="gramStart"/>
      <w:r w:rsidR="00BB45EB" w:rsidRPr="00BB45EB">
        <w:t>tariffs</w:t>
      </w:r>
      <w:proofErr w:type="gramEnd"/>
      <w:r w:rsidR="00BB45EB" w:rsidRPr="00BB45EB">
        <w:t xml:space="preserve"> and prices</w:t>
      </w:r>
      <w:bookmarkEnd w:id="105"/>
    </w:p>
    <w:p w14:paraId="24ABB022" w14:textId="63D74367" w:rsidR="000E7381" w:rsidRDefault="00D51916" w:rsidP="0068635B">
      <w:r>
        <w:t xml:space="preserve">Once </w:t>
      </w:r>
      <w:r w:rsidR="00AA1D9F">
        <w:t>Greater Western Water</w:t>
      </w:r>
      <w:r w:rsidR="005A1FDB">
        <w:t>’</w:t>
      </w:r>
      <w:r w:rsidR="00E52AFE" w:rsidRPr="00E52AFE">
        <w:t>s</w:t>
      </w:r>
      <w:r w:rsidR="005A1FDB">
        <w:t xml:space="preserve"> revenue requirement i</w:t>
      </w:r>
      <w:r w:rsidR="007004FC">
        <w:t>s established, d</w:t>
      </w:r>
      <w:r w:rsidR="00E52AFE" w:rsidRPr="00E52AFE">
        <w:t xml:space="preserve">emand forecasts </w:t>
      </w:r>
      <w:r w:rsidR="003468FC">
        <w:t>and</w:t>
      </w:r>
      <w:r w:rsidR="00D61BBB">
        <w:t xml:space="preserve"> </w:t>
      </w:r>
      <w:r w:rsidR="00E52AFE" w:rsidRPr="00E52AFE">
        <w:t xml:space="preserve">the form of price control </w:t>
      </w:r>
      <w:r w:rsidR="003468FC">
        <w:t xml:space="preserve">are used </w:t>
      </w:r>
      <w:r w:rsidR="00E52AFE" w:rsidRPr="00E52AFE">
        <w:t xml:space="preserve">to </w:t>
      </w:r>
      <w:r w:rsidR="00732174">
        <w:t>transla</w:t>
      </w:r>
      <w:r w:rsidR="00E52AFE" w:rsidRPr="00E52AFE">
        <w:t>t</w:t>
      </w:r>
      <w:r w:rsidR="00732174">
        <w:t>e</w:t>
      </w:r>
      <w:r w:rsidR="00E52AFE" w:rsidRPr="00E52AFE">
        <w:t xml:space="preserve"> the revenue requirement </w:t>
      </w:r>
      <w:r w:rsidR="00DC5A1A">
        <w:t>in</w:t>
      </w:r>
      <w:r w:rsidR="00E52AFE" w:rsidRPr="00E52AFE">
        <w:t>to tariffs and prices</w:t>
      </w:r>
      <w:r w:rsidR="00E52AFE">
        <w:t>.</w:t>
      </w:r>
    </w:p>
    <w:p w14:paraId="5A5B7BC8" w14:textId="11F2ACD5" w:rsidR="00765356" w:rsidRDefault="00C335C1" w:rsidP="00F22C01">
      <w:pPr>
        <w:pStyle w:val="Heading2"/>
      </w:pPr>
      <w:bookmarkStart w:id="106" w:name="_Toc161400998"/>
      <w:r>
        <w:t>5.1</w:t>
      </w:r>
      <w:r>
        <w:tab/>
      </w:r>
      <w:r w:rsidR="00765356" w:rsidRPr="007C664D">
        <w:t>Demand</w:t>
      </w:r>
      <w:bookmarkEnd w:id="106"/>
    </w:p>
    <w:p w14:paraId="2D1947D6" w14:textId="77777777" w:rsidR="00761F14" w:rsidRDefault="00761F14" w:rsidP="00761F14">
      <w:pPr>
        <w:pStyle w:val="Pull-out"/>
      </w:pPr>
      <w:r w:rsidRPr="007C664D">
        <w:t>Our draft decision is to accept Greater Western Water’s demand forecasts.</w:t>
      </w:r>
    </w:p>
    <w:p w14:paraId="3DE59ED4" w14:textId="77777777" w:rsidR="00761F14" w:rsidRDefault="00761F14" w:rsidP="00761F14">
      <w:r>
        <w:t xml:space="preserve">Along with the revenue requirement, demand forecasts are an input to calculating prices. </w:t>
      </w:r>
    </w:p>
    <w:p w14:paraId="2D0B0CCC" w14:textId="77777777" w:rsidR="00761F14" w:rsidRDefault="00761F14" w:rsidP="00761F14">
      <w:r>
        <w:t xml:space="preserve">Greater Western Water’s demand forecasts are set out on pages </w:t>
      </w:r>
      <w:r w:rsidRPr="00E72A42">
        <w:t>126 to 152 of</w:t>
      </w:r>
      <w:r>
        <w:t xml:space="preserve"> its price submission and are also included in its financial model. </w:t>
      </w:r>
    </w:p>
    <w:p w14:paraId="1BF6C986" w14:textId="056ACE24" w:rsidR="00761F14" w:rsidRPr="007C664D" w:rsidRDefault="00761F14" w:rsidP="00761F14">
      <w:r w:rsidRPr="007C664D">
        <w:t>Our draft decision is to accept Greater Western Water’s demand forecasts for the purpose of approving maximum prices, because they were developed consistently with the requirements of our guidance, including basing demand forecasts on the latest available Victoria in Future estimates issued by the Victorian Government.</w:t>
      </w:r>
      <w:r w:rsidR="00D40D2C" w:rsidRPr="007C664D">
        <w:rPr>
          <w:rStyle w:val="FootnoteReference"/>
        </w:rPr>
        <w:footnoteReference w:id="90"/>
      </w:r>
      <w:r w:rsidRPr="007C664D">
        <w:t xml:space="preserve"> </w:t>
      </w:r>
    </w:p>
    <w:p w14:paraId="659DE43B" w14:textId="7760FD4E" w:rsidR="00761F14" w:rsidRPr="007C664D" w:rsidRDefault="006A7188" w:rsidP="00761F14">
      <w:r w:rsidRPr="007C664D">
        <w:t>H</w:t>
      </w:r>
      <w:r w:rsidR="00761F14" w:rsidRPr="007C664D">
        <w:t xml:space="preserve">owever, since </w:t>
      </w:r>
      <w:r w:rsidRPr="007C664D">
        <w:t xml:space="preserve">Greater Western Water </w:t>
      </w:r>
      <w:r w:rsidR="00761F14" w:rsidRPr="007C664D">
        <w:t>lodge</w:t>
      </w:r>
      <w:r w:rsidRPr="007C664D">
        <w:t>d</w:t>
      </w:r>
      <w:r w:rsidR="00761F14" w:rsidRPr="007C664D">
        <w:t xml:space="preserve"> its price submission, updated Victorian Government population and dwelling growth estimates have been made available to water businesses. </w:t>
      </w:r>
      <w:r w:rsidR="00FC2C26">
        <w:t xml:space="preserve">We require </w:t>
      </w:r>
      <w:r w:rsidR="00761F14" w:rsidRPr="007C664D">
        <w:t>Greater Western Water to consider the updated estimates and</w:t>
      </w:r>
      <w:r w:rsidR="00962588" w:rsidRPr="007C664D">
        <w:t>,</w:t>
      </w:r>
      <w:r w:rsidR="00761F14" w:rsidRPr="007C664D">
        <w:t xml:space="preserve"> if required</w:t>
      </w:r>
      <w:r w:rsidR="00962588" w:rsidRPr="007C664D">
        <w:t>,</w:t>
      </w:r>
      <w:r w:rsidR="00761F14" w:rsidRPr="007C664D">
        <w:t xml:space="preserve"> </w:t>
      </w:r>
      <w:proofErr w:type="gramStart"/>
      <w:r w:rsidR="00761F14" w:rsidRPr="007C664D">
        <w:t>identify</w:t>
      </w:r>
      <w:proofErr w:type="gramEnd"/>
      <w:r w:rsidR="00761F14" w:rsidRPr="007C664D">
        <w:t xml:space="preserve"> and justify any changes to its demand forecasts</w:t>
      </w:r>
      <w:r w:rsidR="00CB7F29">
        <w:t>. A</w:t>
      </w:r>
      <w:r w:rsidR="00761F14" w:rsidRPr="007C664D">
        <w:t xml:space="preserve">ny updates must also be included in its pricing model submitted in response to our draft decision. </w:t>
      </w:r>
    </w:p>
    <w:p w14:paraId="09F87696" w14:textId="20A6D3B4" w:rsidR="00765356" w:rsidRPr="007C664D" w:rsidRDefault="00585C26" w:rsidP="00F22C01">
      <w:pPr>
        <w:pStyle w:val="Heading2"/>
      </w:pPr>
      <w:bookmarkStart w:id="107" w:name="_Toc161400999"/>
      <w:r w:rsidRPr="007C664D">
        <w:t>5.2</w:t>
      </w:r>
      <w:r w:rsidRPr="007C664D">
        <w:tab/>
      </w:r>
      <w:r w:rsidR="00765356" w:rsidRPr="007C664D">
        <w:t>Form of price control</w:t>
      </w:r>
      <w:bookmarkEnd w:id="107"/>
    </w:p>
    <w:p w14:paraId="1BF28575" w14:textId="5B062038" w:rsidR="00D36CE9" w:rsidRPr="007C664D" w:rsidRDefault="00D36CE9" w:rsidP="00D36CE9">
      <w:pPr>
        <w:pStyle w:val="Pull-out"/>
      </w:pPr>
      <w:r w:rsidRPr="007C664D">
        <w:t xml:space="preserve">Our draft decision </w:t>
      </w:r>
      <w:r w:rsidRPr="007C664D" w:rsidDel="005A449C">
        <w:t>is to accept</w:t>
      </w:r>
      <w:r w:rsidRPr="007C664D">
        <w:t xml:space="preserve"> Greater Western Water’s proposed tariff basket form of price control for </w:t>
      </w:r>
      <w:proofErr w:type="gramStart"/>
      <w:r w:rsidRPr="007C664D">
        <w:t>the majority of</w:t>
      </w:r>
      <w:proofErr w:type="gramEnd"/>
      <w:r w:rsidRPr="007C664D">
        <w:t xml:space="preserve"> its tariffs</w:t>
      </w:r>
      <w:r w:rsidR="001564F5" w:rsidRPr="007C664D">
        <w:t>,</w:t>
      </w:r>
      <w:r w:rsidRPr="007C664D">
        <w:t xml:space="preserve"> and price cap form of price control for miscellaneous tariffs.</w:t>
      </w:r>
    </w:p>
    <w:p w14:paraId="41F69A2B" w14:textId="77777777" w:rsidR="00D36CE9" w:rsidRPr="007C664D" w:rsidRDefault="00D36CE9" w:rsidP="00D36CE9">
      <w:r w:rsidRPr="007C664D">
        <w:t xml:space="preserve">Our guidance stated we would have </w:t>
      </w:r>
      <w:proofErr w:type="gramStart"/>
      <w:r w:rsidRPr="007C664D">
        <w:t>particular regard</w:t>
      </w:r>
      <w:proofErr w:type="gramEnd"/>
      <w:r w:rsidRPr="007C664D">
        <w:t xml:space="preserve"> to whether a corporation proposed to continue its existing form of price control or introduce a new form of price control.</w:t>
      </w:r>
      <w:r w:rsidRPr="007C664D">
        <w:rPr>
          <w:rStyle w:val="FootnoteReference"/>
        </w:rPr>
        <w:footnoteReference w:id="91"/>
      </w:r>
      <w:r w:rsidRPr="007C664D">
        <w:t xml:space="preserve"> </w:t>
      </w:r>
    </w:p>
    <w:p w14:paraId="2C854B19" w14:textId="3B2F69E4" w:rsidR="00D36CE9" w:rsidRPr="007C664D" w:rsidRDefault="00D36CE9" w:rsidP="00D36CE9">
      <w:r w:rsidRPr="007C664D">
        <w:lastRenderedPageBreak/>
        <w:t xml:space="preserve">Greater Western Water proposed a tariff basket form of price control for </w:t>
      </w:r>
      <w:proofErr w:type="gramStart"/>
      <w:r w:rsidRPr="007C664D">
        <w:t>the majority of</w:t>
      </w:r>
      <w:proofErr w:type="gramEnd"/>
      <w:r w:rsidRPr="007C664D">
        <w:t xml:space="preserve"> its core water and sewerage and trade waste service charges as set out on page</w:t>
      </w:r>
      <w:r w:rsidR="00EF1B0C" w:rsidRPr="007C664D">
        <w:t> </w:t>
      </w:r>
      <w:r w:rsidRPr="007C664D">
        <w:t>112 of its price submission. This is the same as its current approach. Greater Western Water also proposed to maintain its price increase limit at 10</w:t>
      </w:r>
      <w:r w:rsidR="0085550D" w:rsidRPr="007C664D">
        <w:t> </w:t>
      </w:r>
      <w:r w:rsidRPr="007C664D">
        <w:t>per cent per annum (in real terms). It also proposed to retain a price cap form of price control for miscellaneous charges.</w:t>
      </w:r>
    </w:p>
    <w:p w14:paraId="109ED201" w14:textId="6D1F4A24" w:rsidR="00D36CE9" w:rsidRPr="007C664D" w:rsidRDefault="00D36CE9" w:rsidP="00D36CE9">
      <w:r w:rsidRPr="007C664D">
        <w:t xml:space="preserve">Our draft decision is to accept Greater Western Water’s proposed </w:t>
      </w:r>
      <w:r w:rsidR="000D4CC2" w:rsidRPr="007C664D">
        <w:t xml:space="preserve">tariff-basket </w:t>
      </w:r>
      <w:r w:rsidRPr="007C664D">
        <w:t xml:space="preserve">form of price control </w:t>
      </w:r>
      <w:r w:rsidR="22A62C39" w:rsidRPr="007C664D">
        <w:t>for core services</w:t>
      </w:r>
      <w:r w:rsidRPr="007C664D">
        <w:t xml:space="preserve"> because:</w:t>
      </w:r>
    </w:p>
    <w:p w14:paraId="37EB34A0" w14:textId="158EB38F" w:rsidR="00D36CE9" w:rsidRPr="007C664D" w:rsidRDefault="00D36CE9" w:rsidP="00ED1290">
      <w:pPr>
        <w:pStyle w:val="ListBullet"/>
      </w:pPr>
      <w:r w:rsidRPr="007C664D">
        <w:t xml:space="preserve">it is a continuation of its current approach, which we have previously </w:t>
      </w:r>
      <w:proofErr w:type="gramStart"/>
      <w:r w:rsidRPr="007C664D">
        <w:t>approved</w:t>
      </w:r>
      <w:proofErr w:type="gramEnd"/>
    </w:p>
    <w:p w14:paraId="554EA3CF" w14:textId="4FC05685" w:rsidR="00D36CE9" w:rsidRPr="007C664D" w:rsidRDefault="00D36CE9" w:rsidP="00ED1290">
      <w:pPr>
        <w:pStyle w:val="ListBullet"/>
      </w:pPr>
      <w:r w:rsidRPr="007C664D">
        <w:t xml:space="preserve">it </w:t>
      </w:r>
      <w:r w:rsidR="00D24223" w:rsidRPr="007C664D">
        <w:t>provides flexibility for</w:t>
      </w:r>
      <w:r w:rsidRPr="007C664D">
        <w:t xml:space="preserve"> Greater Western Water to </w:t>
      </w:r>
      <w:r w:rsidR="002A268E" w:rsidRPr="007C664D">
        <w:t>support</w:t>
      </w:r>
      <w:r w:rsidRPr="007C664D">
        <w:t xml:space="preserve"> the </w:t>
      </w:r>
      <w:r w:rsidR="00D24223" w:rsidRPr="007C664D">
        <w:t>align</w:t>
      </w:r>
      <w:r w:rsidR="00C43C21" w:rsidRPr="007C664D">
        <w:t>ment</w:t>
      </w:r>
      <w:r w:rsidRPr="007C664D">
        <w:t xml:space="preserve"> of </w:t>
      </w:r>
      <w:r w:rsidR="00DA4715" w:rsidRPr="007C664D">
        <w:t xml:space="preserve">prices </w:t>
      </w:r>
      <w:r w:rsidR="008841A1" w:rsidRPr="007C664D">
        <w:t>for</w:t>
      </w:r>
      <w:r w:rsidRPr="007C664D">
        <w:t xml:space="preserve"> </w:t>
      </w:r>
      <w:r w:rsidR="00F31136" w:rsidRPr="007C664D">
        <w:t xml:space="preserve">its </w:t>
      </w:r>
      <w:r w:rsidRPr="007C664D">
        <w:t>two regions</w:t>
      </w:r>
      <w:r w:rsidR="00DA4715" w:rsidRPr="007C664D">
        <w:t xml:space="preserve"> </w:t>
      </w:r>
      <w:r w:rsidR="00D24223" w:rsidRPr="007C664D">
        <w:t xml:space="preserve">over </w:t>
      </w:r>
      <w:proofErr w:type="gramStart"/>
      <w:r w:rsidR="00D24223" w:rsidRPr="007C664D">
        <w:t>time</w:t>
      </w:r>
      <w:proofErr w:type="gramEnd"/>
    </w:p>
    <w:p w14:paraId="44EF1331" w14:textId="44427F46" w:rsidR="00D36CE9" w:rsidRPr="007C664D" w:rsidRDefault="00D36CE9" w:rsidP="00ED1290">
      <w:pPr>
        <w:pStyle w:val="ListBullet"/>
      </w:pPr>
      <w:r w:rsidRPr="007C664D">
        <w:t xml:space="preserve">it provides sufficient revenue to cover the forecast efficient costs of providing services and for Greater Western Water to deliver on any health, safety and environmental </w:t>
      </w:r>
      <w:proofErr w:type="gramStart"/>
      <w:r w:rsidRPr="007C664D">
        <w:t>obligations</w:t>
      </w:r>
      <w:proofErr w:type="gramEnd"/>
    </w:p>
    <w:p w14:paraId="22C01439" w14:textId="77777777" w:rsidR="00D36CE9" w:rsidRPr="007C664D" w:rsidRDefault="00D36CE9" w:rsidP="00ED1290">
      <w:pPr>
        <w:pStyle w:val="ListBullet"/>
      </w:pPr>
      <w:r w:rsidRPr="007C664D">
        <w:t xml:space="preserve">it provides flexibility to the business to rebalance prices without over (or under) collecting </w:t>
      </w:r>
      <w:proofErr w:type="gramStart"/>
      <w:r w:rsidRPr="007C664D">
        <w:t>revenue</w:t>
      </w:r>
      <w:proofErr w:type="gramEnd"/>
    </w:p>
    <w:p w14:paraId="3DD484E1" w14:textId="6D550BAF" w:rsidR="00D36CE9" w:rsidRPr="007C664D" w:rsidRDefault="00D36CE9" w:rsidP="00ED1290">
      <w:pPr>
        <w:pStyle w:val="ListBullet"/>
      </w:pPr>
      <w:r w:rsidRPr="007C664D">
        <w:t xml:space="preserve">it provides </w:t>
      </w:r>
      <w:r w:rsidR="00494885" w:rsidRPr="007C664D">
        <w:t>protections around</w:t>
      </w:r>
      <w:r w:rsidR="00885E6C" w:rsidRPr="007C664D">
        <w:t xml:space="preserve"> </w:t>
      </w:r>
      <w:r w:rsidRPr="007C664D">
        <w:t xml:space="preserve">price stability </w:t>
      </w:r>
      <w:r w:rsidR="004822C4" w:rsidRPr="007C664D">
        <w:t>for</w:t>
      </w:r>
      <w:r w:rsidRPr="007C664D">
        <w:t xml:space="preserve"> customers by limiting price increases under its tariff basket constraint </w:t>
      </w:r>
      <w:r w:rsidR="00647972" w:rsidRPr="007C664D">
        <w:t>to</w:t>
      </w:r>
      <w:r w:rsidRPr="007C664D">
        <w:t xml:space="preserve"> 10</w:t>
      </w:r>
      <w:r w:rsidR="00513C96" w:rsidRPr="007C664D">
        <w:t> </w:t>
      </w:r>
      <w:r w:rsidRPr="007C664D">
        <w:t xml:space="preserve">per cent per annum (in real terms) on individual price </w:t>
      </w:r>
      <w:proofErr w:type="gramStart"/>
      <w:r w:rsidRPr="007C664D">
        <w:t>increases</w:t>
      </w:r>
      <w:proofErr w:type="gramEnd"/>
    </w:p>
    <w:p w14:paraId="1CFA9218" w14:textId="404A4D4C" w:rsidR="00D36CE9" w:rsidRPr="007C664D" w:rsidRDefault="00D36CE9" w:rsidP="00ED1290">
      <w:pPr>
        <w:pStyle w:val="ListBullet"/>
      </w:pPr>
      <w:r w:rsidRPr="007C664D">
        <w:t>it enables Greater Western Water to smooth bill movement</w:t>
      </w:r>
      <w:r w:rsidR="00A13740" w:rsidRPr="007C664D">
        <w:t>s</w:t>
      </w:r>
      <w:r w:rsidRPr="007C664D">
        <w:t xml:space="preserve"> over the remainder </w:t>
      </w:r>
      <w:r w:rsidR="00627982" w:rsidRPr="007C664D">
        <w:t xml:space="preserve">of the </w:t>
      </w:r>
      <w:r w:rsidR="007A7E0B" w:rsidRPr="007C664D">
        <w:t xml:space="preserve">regulatory </w:t>
      </w:r>
      <w:proofErr w:type="gramStart"/>
      <w:r w:rsidRPr="007C664D">
        <w:t>period</w:t>
      </w:r>
      <w:proofErr w:type="gramEnd"/>
    </w:p>
    <w:p w14:paraId="53C35AD7" w14:textId="0010F773" w:rsidR="00D36CE9" w:rsidRPr="007C664D" w:rsidRDefault="00D36CE9" w:rsidP="00ED1290">
      <w:pPr>
        <w:pStyle w:val="ListBullet"/>
      </w:pPr>
      <w:r w:rsidRPr="007C664D">
        <w:t>it is otherwise consistent with the requirements of our guidance</w:t>
      </w:r>
      <w:r w:rsidR="008C0130" w:rsidRPr="007C664D">
        <w:t>.</w:t>
      </w:r>
    </w:p>
    <w:p w14:paraId="4A771789" w14:textId="0ADD4962" w:rsidR="001A2955" w:rsidRDefault="001A2955" w:rsidP="001A2955">
      <w:r w:rsidRPr="007C664D">
        <w:t xml:space="preserve">Our draft decision </w:t>
      </w:r>
      <w:r w:rsidRPr="007C664D" w:rsidDel="00826B20">
        <w:t>is to accept</w:t>
      </w:r>
      <w:r w:rsidRPr="007C664D">
        <w:t xml:space="preserve"> Greater Western Water’s proposed price cap form of price control for its miscellaneous charges because it is </w:t>
      </w:r>
      <w:r w:rsidR="006E00B1" w:rsidRPr="007C664D">
        <w:t xml:space="preserve">consistent with the requirements of our guidance, and is </w:t>
      </w:r>
      <w:r w:rsidRPr="007C664D">
        <w:t>a continuation of its current approach, which we have previously approved.</w:t>
      </w:r>
    </w:p>
    <w:p w14:paraId="55CEBC3C" w14:textId="50A41837" w:rsidR="001A2955" w:rsidRDefault="001A2955" w:rsidP="001A2955">
      <w:pPr>
        <w:pStyle w:val="Heading2"/>
      </w:pPr>
      <w:bookmarkStart w:id="108" w:name="_Toc161401000"/>
      <w:r>
        <w:t>5.3</w:t>
      </w:r>
      <w:r>
        <w:tab/>
        <w:t>Tariff structures and prices</w:t>
      </w:r>
      <w:bookmarkEnd w:id="108"/>
    </w:p>
    <w:p w14:paraId="3A57621F" w14:textId="77777777" w:rsidR="002B1A59" w:rsidRDefault="002B1A59" w:rsidP="002B1A59">
      <w:pPr>
        <w:pStyle w:val="Pull-out"/>
      </w:pPr>
      <w:r w:rsidRPr="007C664D">
        <w:t xml:space="preserve">Our draft decision </w:t>
      </w:r>
      <w:r w:rsidRPr="007C664D" w:rsidDel="00FD3B66">
        <w:t>is to accept</w:t>
      </w:r>
      <w:r w:rsidRPr="007C664D">
        <w:t xml:space="preserve"> Greater Western Water’s proposed tariff structures.</w:t>
      </w:r>
    </w:p>
    <w:p w14:paraId="455C17FA" w14:textId="77777777" w:rsidR="002B1A59" w:rsidRDefault="002B1A59" w:rsidP="002B1A59">
      <w:r>
        <w:t xml:space="preserve">Greater Western Water’s proposed tariffs are set out </w:t>
      </w:r>
      <w:r w:rsidRPr="007C664D">
        <w:t>on pages 88 to 106</w:t>
      </w:r>
      <w:r>
        <w:t xml:space="preserve"> of its price submission. </w:t>
      </w:r>
    </w:p>
    <w:p w14:paraId="5CAA6924" w14:textId="3C2E9F67" w:rsidR="004E3177" w:rsidRDefault="004E3177" w:rsidP="001A2955">
      <w:r w:rsidRPr="004E3177">
        <w:t xml:space="preserve">As noted in its price submission, the next regulatory period provides an opportunity for Greater Western Water to deliver and stage key tariff reforms. As noted above, a tariff basket form of price control provides flexibility (and within certain constraints) to align </w:t>
      </w:r>
      <w:r w:rsidRPr="00B879AF">
        <w:t xml:space="preserve">prices within a regulatory period, consistent with customer preferences for similar prices for similar services. </w:t>
      </w:r>
      <w:r w:rsidR="00EC764F" w:rsidRPr="00B879AF">
        <w:t>I</w:t>
      </w:r>
      <w:r w:rsidRPr="00B879AF">
        <w:t xml:space="preserve">t has </w:t>
      </w:r>
      <w:r w:rsidR="00D86EED" w:rsidRPr="00B879AF">
        <w:t>also</w:t>
      </w:r>
      <w:r w:rsidRPr="00B879AF">
        <w:t xml:space="preserve"> proposed</w:t>
      </w:r>
      <w:r w:rsidRPr="004E3177">
        <w:t xml:space="preserve"> changes to some tariff structures to support greater alignment between its two regions in the next regulatory period, in the context of its longer-term tariff strategy.</w:t>
      </w:r>
    </w:p>
    <w:p w14:paraId="5A780816" w14:textId="6F0F1F43" w:rsidR="00765356" w:rsidRDefault="001A2955" w:rsidP="00765356">
      <w:r w:rsidRPr="007C664D">
        <w:lastRenderedPageBreak/>
        <w:t>Our draft decision considers proposals related to tariff structures, the price path proposed, and any submissions on the level of prices or bills. We do not approve prices for each tariff at this draft decision stage of a price review. Prices will need to be updated by Greater Western Water to reflect our updates to inflation and cost of debt estimates prior to our final decision</w:t>
      </w:r>
      <w:r w:rsidR="00040B1C" w:rsidRPr="007C664D">
        <w:t>, and approved Melbourne Water bulk charges for 2024</w:t>
      </w:r>
      <w:r w:rsidR="00387320" w:rsidRPr="007C664D">
        <w:noBreakHyphen/>
      </w:r>
      <w:r w:rsidR="00040B1C" w:rsidRPr="007C664D">
        <w:t>25</w:t>
      </w:r>
      <w:r w:rsidRPr="007C664D">
        <w:t>. They may also need to be updated depending on our further review of its revenue requirement.</w:t>
      </w:r>
    </w:p>
    <w:p w14:paraId="4039C22C" w14:textId="68FF5160" w:rsidR="00A24C04" w:rsidRDefault="00EC7DB1" w:rsidP="00040B8E">
      <w:pPr>
        <w:pStyle w:val="Heading3"/>
      </w:pPr>
      <w:bookmarkStart w:id="109" w:name="_Toc122514876"/>
      <w:bookmarkStart w:id="110" w:name="_Toc150515706"/>
      <w:bookmarkStart w:id="111" w:name="_Toc161401001"/>
      <w:r>
        <w:t>5.3.</w:t>
      </w:r>
      <w:r w:rsidR="00422CD7">
        <w:t>1</w:t>
      </w:r>
      <w:r>
        <w:tab/>
        <w:t>Tariff structures</w:t>
      </w:r>
      <w:bookmarkEnd w:id="109"/>
      <w:bookmarkEnd w:id="110"/>
      <w:bookmarkEnd w:id="111"/>
    </w:p>
    <w:p w14:paraId="2EDA8E81" w14:textId="0F85954E" w:rsidR="008469B3" w:rsidRPr="008311AE" w:rsidRDefault="008469B3" w:rsidP="008469B3">
      <w:r>
        <w:t>As outlined in our guidance, we have provided the water corporations with a large degree of discretion to decide on individual tariff structures.</w:t>
      </w:r>
      <w:r>
        <w:rPr>
          <w:rStyle w:val="FootnoteReference"/>
        </w:rPr>
        <w:footnoteReference w:id="92"/>
      </w:r>
      <w:r>
        <w:t xml:space="preserve"> This recognises water corporations are often best placed to consider the interests of customers in designing tariffs, and that existing tariff </w:t>
      </w:r>
      <w:r w:rsidRPr="008311AE">
        <w:t xml:space="preserve">structures have been developed over time to deal with a variety of local circumstances. </w:t>
      </w:r>
      <w:r w:rsidR="004B1CE6">
        <w:t>For Greater Western Water, a key consideration for the next regulatory period was differing tariff structures currently applying in its central and western regions.</w:t>
      </w:r>
    </w:p>
    <w:p w14:paraId="0617B9CB" w14:textId="31633025" w:rsidR="001A2955" w:rsidRPr="007C664D" w:rsidRDefault="001A2955" w:rsidP="001A2955">
      <w:r w:rsidRPr="007C664D">
        <w:t xml:space="preserve">Greater Western Water proposed to largely maintain its existing tariff structures, with some </w:t>
      </w:r>
      <w:r w:rsidR="00370DC2" w:rsidRPr="007C664D">
        <w:t>changes</w:t>
      </w:r>
      <w:r w:rsidRPr="007C664D">
        <w:t xml:space="preserve"> to </w:t>
      </w:r>
      <w:r w:rsidR="00370DC2" w:rsidRPr="007C664D">
        <w:t xml:space="preserve">support greater </w:t>
      </w:r>
      <w:r w:rsidRPr="007C664D">
        <w:t>align</w:t>
      </w:r>
      <w:r w:rsidR="00370DC2" w:rsidRPr="007C664D">
        <w:t>ment</w:t>
      </w:r>
      <w:r w:rsidRPr="007C664D">
        <w:t xml:space="preserve"> between its western and central </w:t>
      </w:r>
      <w:r w:rsidR="00E35475" w:rsidRPr="007C664D">
        <w:t>regions</w:t>
      </w:r>
      <w:r w:rsidRPr="007C664D">
        <w:t>.</w:t>
      </w:r>
    </w:p>
    <w:p w14:paraId="506FDDD7" w14:textId="77777777" w:rsidR="008469B3" w:rsidRPr="007C664D" w:rsidRDefault="008469B3" w:rsidP="008469B3">
      <w:pPr>
        <w:pStyle w:val="Heading4"/>
      </w:pPr>
      <w:r w:rsidRPr="007C664D">
        <w:t>Central service area tariff structures</w:t>
      </w:r>
    </w:p>
    <w:p w14:paraId="6E9E7039" w14:textId="77777777" w:rsidR="008469B3" w:rsidRPr="007C664D" w:rsidRDefault="008469B3" w:rsidP="008469B3">
      <w:r w:rsidRPr="007C664D">
        <w:t xml:space="preserve">For residential customers receiving water services only, Greater Western Water proposed </w:t>
      </w:r>
      <w:r w:rsidRPr="007C664D" w:rsidDel="000644E6">
        <w:t xml:space="preserve">a fixed </w:t>
      </w:r>
      <w:r w:rsidRPr="007C664D">
        <w:t xml:space="preserve">and variable water charge. </w:t>
      </w:r>
    </w:p>
    <w:p w14:paraId="4F4422DB" w14:textId="27531CE7" w:rsidR="008469B3" w:rsidRPr="007C664D" w:rsidRDefault="008469B3" w:rsidP="008469B3">
      <w:r w:rsidRPr="007C664D">
        <w:t xml:space="preserve">For residential customers receiving both water and sewerage services, Greater Western Water proposed to combine the residential sewage disposal charge and its residential variable water charge. This means customers pay a fixed charge and a charge that varies with water use. However, the variable charge </w:t>
      </w:r>
      <w:r w:rsidR="001022DB" w:rsidRPr="007C664D">
        <w:t>is</w:t>
      </w:r>
      <w:r w:rsidRPr="007C664D">
        <w:t xml:space="preserve"> higher </w:t>
      </w:r>
      <w:r w:rsidR="001022DB" w:rsidRPr="007C664D">
        <w:t>than</w:t>
      </w:r>
      <w:r w:rsidR="00862746" w:rsidRPr="007C664D">
        <w:t xml:space="preserve"> for</w:t>
      </w:r>
      <w:r w:rsidRPr="007C664D">
        <w:t xml:space="preserve"> water</w:t>
      </w:r>
      <w:r w:rsidR="00A0230D" w:rsidRPr="007C664D">
        <w:t>-</w:t>
      </w:r>
      <w:r w:rsidRPr="007C664D">
        <w:t xml:space="preserve">only customers </w:t>
      </w:r>
      <w:r w:rsidR="00E4685A" w:rsidRPr="007C664D">
        <w:t>because</w:t>
      </w:r>
      <w:r w:rsidRPr="007C664D">
        <w:t xml:space="preserve"> it incorporates the costs of </w:t>
      </w:r>
      <w:r w:rsidR="00B86945" w:rsidRPr="007C664D">
        <w:t xml:space="preserve">sewage </w:t>
      </w:r>
      <w:r w:rsidRPr="007C664D">
        <w:t>dispos</w:t>
      </w:r>
      <w:r w:rsidR="00B86945" w:rsidRPr="007C664D">
        <w:t>al</w:t>
      </w:r>
      <w:r w:rsidRPr="007C664D">
        <w:t>. Greater Western Water considers this change will simplify customer bills and better enable customers to understand how their water and sewerage bill is calculated. Greater Western Water also noted that the removal of the separate sewage disposal charge will ensure the tariff structure is consistent with the other two metropolitan water businesses.</w:t>
      </w:r>
      <w:r w:rsidR="00192AA1" w:rsidRPr="007C664D">
        <w:rPr>
          <w:rStyle w:val="FootnoteReference"/>
        </w:rPr>
        <w:footnoteReference w:id="93"/>
      </w:r>
      <w:r w:rsidRPr="007C664D">
        <w:t xml:space="preserve"> </w:t>
      </w:r>
    </w:p>
    <w:p w14:paraId="03FA17FC" w14:textId="77777777" w:rsidR="008469B3" w:rsidRPr="007C664D" w:rsidRDefault="008469B3" w:rsidP="008469B3">
      <w:r w:rsidRPr="007C664D">
        <w:lastRenderedPageBreak/>
        <w:t>For non-residential customers, the tariff structure remains unchanged. Customers will continue paying fixed charges for water and a sewerage connection fee, as well as a variable fee for water and sewage usage.</w:t>
      </w:r>
    </w:p>
    <w:p w14:paraId="2C76CBA8" w14:textId="3D8AE3A8" w:rsidR="008469B3" w:rsidRPr="007C664D" w:rsidRDefault="008469B3" w:rsidP="008469B3">
      <w:proofErr w:type="gramStart"/>
      <w:r w:rsidRPr="007C664D">
        <w:t>With regard to</w:t>
      </w:r>
      <w:proofErr w:type="gramEnd"/>
      <w:r w:rsidRPr="007C664D">
        <w:t xml:space="preserve"> recycled water, Greater Western Water proposed a continuation of the current approach, where residential customers pay a two-part tariff </w:t>
      </w:r>
      <w:r w:rsidR="00A42C0F" w:rsidRPr="007C664D">
        <w:t xml:space="preserve">(that is, a fixed </w:t>
      </w:r>
      <w:r w:rsidR="00892525" w:rsidRPr="007C664D">
        <w:t xml:space="preserve">service </w:t>
      </w:r>
      <w:r w:rsidR="00C96380" w:rsidRPr="007C664D">
        <w:t xml:space="preserve">charge </w:t>
      </w:r>
      <w:r w:rsidR="00A42C0F" w:rsidRPr="007C664D">
        <w:t>and a variable</w:t>
      </w:r>
      <w:r w:rsidR="00D0365C" w:rsidRPr="007C664D">
        <w:t xml:space="preserve"> usage fee)</w:t>
      </w:r>
      <w:r w:rsidRPr="007C664D">
        <w:t xml:space="preserve"> for recycled water</w:t>
      </w:r>
      <w:r w:rsidR="00C07D9A" w:rsidRPr="007C664D">
        <w:t>,</w:t>
      </w:r>
      <w:r w:rsidRPr="007C664D">
        <w:t xml:space="preserve"> </w:t>
      </w:r>
      <w:r w:rsidR="00BF5163" w:rsidRPr="007C664D">
        <w:t>and non-residential</w:t>
      </w:r>
      <w:r w:rsidR="00C07D9A" w:rsidRPr="007C664D">
        <w:t xml:space="preserve"> customers pay only a usage charge.</w:t>
      </w:r>
    </w:p>
    <w:p w14:paraId="646FACD8" w14:textId="37B62F2B" w:rsidR="008469B3" w:rsidRPr="007C664D" w:rsidRDefault="008469B3" w:rsidP="008469B3">
      <w:pPr>
        <w:pStyle w:val="Heading4"/>
      </w:pPr>
      <w:r w:rsidRPr="007C664D">
        <w:t>Western service area tariff structures</w:t>
      </w:r>
    </w:p>
    <w:p w14:paraId="1BE71C07" w14:textId="77777777" w:rsidR="001A2955" w:rsidRPr="007C664D" w:rsidRDefault="001A2955" w:rsidP="001A2955">
      <w:r w:rsidRPr="007C664D">
        <w:t>For all residential customers, Greater Western Water proposed to remove the third step water usage charge from 2024</w:t>
      </w:r>
      <w:r w:rsidRPr="007C664D">
        <w:noBreakHyphen/>
        <w:t xml:space="preserve">25 to align the tariff structure across its central and western regions. </w:t>
      </w:r>
    </w:p>
    <w:p w14:paraId="0C2B0499" w14:textId="77777777" w:rsidR="001A2955" w:rsidRPr="007C664D" w:rsidRDefault="001A2955" w:rsidP="001A2955">
      <w:r w:rsidRPr="007C664D">
        <w:t>It proposed to retain fixed service charges for water and sewerage customers, and no variable sewage disposal charge</w:t>
      </w:r>
      <w:r w:rsidRPr="007C664D" w:rsidDel="008B7EBC">
        <w:t>.</w:t>
      </w:r>
    </w:p>
    <w:p w14:paraId="532F647B" w14:textId="16FDB8A7" w:rsidR="008469B3" w:rsidRPr="007C664D" w:rsidRDefault="008469B3" w:rsidP="008469B3">
      <w:r w:rsidRPr="007C664D">
        <w:t xml:space="preserve">For non-residential customers, Greater Western Water proposed to maintain the existing tariff structure. Customers will continue paying fixed charges for water and sewerage network connections. Customers will also continue to pay a water </w:t>
      </w:r>
      <w:r w:rsidR="003263DF" w:rsidRPr="007C664D">
        <w:t xml:space="preserve">usage </w:t>
      </w:r>
      <w:r w:rsidRPr="007C664D">
        <w:t xml:space="preserve">fee. </w:t>
      </w:r>
    </w:p>
    <w:p w14:paraId="5C2EAD3B" w14:textId="7EB99872" w:rsidR="008469B3" w:rsidRPr="007C664D" w:rsidRDefault="008469B3" w:rsidP="008469B3">
      <w:proofErr w:type="gramStart"/>
      <w:r w:rsidRPr="007C664D">
        <w:t>With regard to</w:t>
      </w:r>
      <w:proofErr w:type="gramEnd"/>
      <w:r w:rsidRPr="007C664D">
        <w:t xml:space="preserve"> recycled water</w:t>
      </w:r>
      <w:r w:rsidR="000C1E69" w:rsidRPr="007C664D">
        <w:t>,</w:t>
      </w:r>
      <w:r w:rsidRPr="007C664D">
        <w:t xml:space="preserve"> Greater Western Water proposed to maintain the current tariff structure. Residential and non-residential customers will </w:t>
      </w:r>
      <w:r w:rsidR="004544CB" w:rsidRPr="007C664D">
        <w:t xml:space="preserve">both </w:t>
      </w:r>
      <w:r w:rsidRPr="007C664D">
        <w:t xml:space="preserve">continue to pay a </w:t>
      </w:r>
      <w:r w:rsidR="005A34D3" w:rsidRPr="007C664D">
        <w:t>two-part t</w:t>
      </w:r>
      <w:r w:rsidR="00D41F33" w:rsidRPr="007C664D">
        <w:t xml:space="preserve">ariff (that is, a </w:t>
      </w:r>
      <w:r w:rsidRPr="007C664D">
        <w:t xml:space="preserve">fixed service charge </w:t>
      </w:r>
      <w:r w:rsidR="00892525" w:rsidRPr="007C664D">
        <w:t>and a variable usage fee</w:t>
      </w:r>
      <w:r w:rsidR="000A77EF" w:rsidRPr="007C664D">
        <w:t>)</w:t>
      </w:r>
      <w:r w:rsidRPr="007C664D">
        <w:t xml:space="preserve"> for recycled water.</w:t>
      </w:r>
      <w:r w:rsidR="00F7213E" w:rsidRPr="007C664D">
        <w:rPr>
          <w:rStyle w:val="FootnoteReference"/>
        </w:rPr>
        <w:footnoteReference w:id="94"/>
      </w:r>
    </w:p>
    <w:p w14:paraId="05B89584" w14:textId="77777777" w:rsidR="008469B3" w:rsidRDefault="008469B3" w:rsidP="008469B3">
      <w:r w:rsidRPr="007C664D">
        <w:t>In addition, Greater Western Water proposed to continue to gradually unwind the government efficiency rebate paid to tenants and will cease this payment by 2027</w:t>
      </w:r>
      <w:r w:rsidRPr="007C664D">
        <w:noBreakHyphen/>
        <w:t>28.</w:t>
      </w:r>
      <w:r>
        <w:t xml:space="preserve"> </w:t>
      </w:r>
    </w:p>
    <w:p w14:paraId="154C9DB5" w14:textId="366495ED" w:rsidR="008469B3" w:rsidRPr="007C664D" w:rsidRDefault="0069724E" w:rsidP="008469B3">
      <w:pPr>
        <w:pStyle w:val="Heading4"/>
      </w:pPr>
      <w:r w:rsidRPr="007C664D">
        <w:t>Draft decision</w:t>
      </w:r>
    </w:p>
    <w:p w14:paraId="374AD76F" w14:textId="06C54551" w:rsidR="008469B3" w:rsidRPr="007C664D" w:rsidRDefault="001A2955" w:rsidP="008469B3">
      <w:r w:rsidRPr="00B85C95">
        <w:t>Our</w:t>
      </w:r>
      <w:r w:rsidR="008469B3" w:rsidRPr="00B85C95">
        <w:t xml:space="preserve"> draft decision </w:t>
      </w:r>
      <w:r w:rsidR="008469B3" w:rsidRPr="00B85C95" w:rsidDel="00AE5A3E">
        <w:t xml:space="preserve">is to accept </w:t>
      </w:r>
      <w:r w:rsidR="008469B3" w:rsidRPr="00B85C95">
        <w:t xml:space="preserve">Greater Western Water’s proposed tariff structures, on the basis that they are generally a continuation of Greater Western Water’s current approach, </w:t>
      </w:r>
      <w:r w:rsidR="00805502" w:rsidRPr="00B85C95">
        <w:t>the proposed tariff reforms meet the criteria in our guidance</w:t>
      </w:r>
      <w:r w:rsidR="00EA30A0" w:rsidRPr="00B85C95">
        <w:t>,</w:t>
      </w:r>
      <w:r w:rsidR="008469B3" w:rsidRPr="00B85C95">
        <w:t xml:space="preserve"> and </w:t>
      </w:r>
      <w:r w:rsidR="00CE2463">
        <w:t xml:space="preserve">they </w:t>
      </w:r>
      <w:r w:rsidR="008469B3" w:rsidRPr="00B85C95">
        <w:t>are generally supported by its customers.</w:t>
      </w:r>
    </w:p>
    <w:p w14:paraId="4D379D62" w14:textId="77777777" w:rsidR="008469B3" w:rsidRPr="007C664D" w:rsidRDefault="008469B3" w:rsidP="008469B3">
      <w:r w:rsidRPr="007C664D">
        <w:lastRenderedPageBreak/>
        <w:t>Our preliminary view is Greater Western Water’s proposed two</w:t>
      </w:r>
      <w:r w:rsidRPr="007C664D">
        <w:noBreakHyphen/>
        <w:t>part tariff structure for its water services will promote efficient use of services. It is also easy for customers to understand and is an approach commonly applied in other states and territories.</w:t>
      </w:r>
      <w:r w:rsidRPr="007C664D">
        <w:rPr>
          <w:rStyle w:val="FootnoteReference"/>
        </w:rPr>
        <w:footnoteReference w:id="95"/>
      </w:r>
      <w:r w:rsidRPr="007C664D">
        <w:t xml:space="preserve"> </w:t>
      </w:r>
    </w:p>
    <w:p w14:paraId="699D8D32" w14:textId="7FD1F768" w:rsidR="008469B3" w:rsidRPr="007C664D" w:rsidRDefault="008469B3" w:rsidP="008469B3">
      <w:r w:rsidRPr="007C664D">
        <w:t xml:space="preserve">In relation to sewerage services, we consider Greater Western Water’s proposed </w:t>
      </w:r>
      <w:r w:rsidR="00D87F52" w:rsidRPr="007C664D">
        <w:t xml:space="preserve">change to its </w:t>
      </w:r>
      <w:r w:rsidR="006E5FA6" w:rsidRPr="007C664D">
        <w:t xml:space="preserve">sewage </w:t>
      </w:r>
      <w:r w:rsidRPr="007C664D">
        <w:t xml:space="preserve">usage charge for </w:t>
      </w:r>
      <w:r w:rsidR="00B72592" w:rsidRPr="007C664D">
        <w:t xml:space="preserve">its central </w:t>
      </w:r>
      <w:r w:rsidR="00317856" w:rsidRPr="007C664D">
        <w:t xml:space="preserve">region </w:t>
      </w:r>
      <w:r w:rsidRPr="007C664D">
        <w:t xml:space="preserve">residential customers </w:t>
      </w:r>
      <w:r w:rsidR="00B72592" w:rsidRPr="007C664D">
        <w:t xml:space="preserve">(combining with the variable water charge) </w:t>
      </w:r>
      <w:r w:rsidRPr="007C664D">
        <w:t>is easy to understand and consistent with its engagement findings</w:t>
      </w:r>
      <w:r w:rsidR="008A4EBF" w:rsidRPr="007C664D">
        <w:t xml:space="preserve"> – both service areas will now </w:t>
      </w:r>
      <w:r w:rsidR="00B5184A" w:rsidRPr="007C664D">
        <w:t>have only a fixed sewerage charge</w:t>
      </w:r>
      <w:r w:rsidR="001A2427" w:rsidRPr="007C664D">
        <w:t>.</w:t>
      </w:r>
      <w:r w:rsidRPr="007C664D">
        <w:t xml:space="preserve"> A two</w:t>
      </w:r>
      <w:r w:rsidRPr="007C664D">
        <w:noBreakHyphen/>
        <w:t>part tariff for non</w:t>
      </w:r>
      <w:r w:rsidRPr="007C664D">
        <w:noBreakHyphen/>
        <w:t>residential customers sends these customers signals about efficient costs.</w:t>
      </w:r>
      <w:r w:rsidRPr="007C664D">
        <w:rPr>
          <w:rStyle w:val="FootnoteReference"/>
        </w:rPr>
        <w:footnoteReference w:id="96"/>
      </w:r>
      <w:r w:rsidRPr="007C664D">
        <w:t xml:space="preserve"> </w:t>
      </w:r>
    </w:p>
    <w:p w14:paraId="02FB2652" w14:textId="0FB05476" w:rsidR="00887A95" w:rsidRPr="007C664D" w:rsidRDefault="005F6213" w:rsidP="005F6213">
      <w:r w:rsidRPr="007C664D">
        <w:t xml:space="preserve">While our draft decision proposes to approve this change, we consider Greater Western Water should ensure it has </w:t>
      </w:r>
      <w:r w:rsidR="008469B3" w:rsidRPr="007C664D">
        <w:t>identif</w:t>
      </w:r>
      <w:r w:rsidRPr="007C664D">
        <w:t xml:space="preserve">ied </w:t>
      </w:r>
      <w:r w:rsidR="008469B3" w:rsidRPr="007C664D">
        <w:t xml:space="preserve">customers who may </w:t>
      </w:r>
      <w:r w:rsidR="00D8784F" w:rsidRPr="007C664D">
        <w:t xml:space="preserve">be adversely impacted </w:t>
      </w:r>
      <w:proofErr w:type="gramStart"/>
      <w:r w:rsidR="008469B3" w:rsidRPr="007C664D">
        <w:t>as a result of</w:t>
      </w:r>
      <w:proofErr w:type="gramEnd"/>
      <w:r w:rsidR="008469B3" w:rsidRPr="007C664D">
        <w:t xml:space="preserve"> combining its water and sewage disposal charge, and to proactively address </w:t>
      </w:r>
      <w:r w:rsidR="007B6012" w:rsidRPr="007C664D">
        <w:t xml:space="preserve">this prior to implementation. </w:t>
      </w:r>
    </w:p>
    <w:p w14:paraId="7B97A33D" w14:textId="65B31785" w:rsidR="00422CD7" w:rsidRDefault="00422CD7" w:rsidP="00422CD7">
      <w:pPr>
        <w:pStyle w:val="Heading3"/>
      </w:pPr>
      <w:bookmarkStart w:id="112" w:name="_Toc122514875"/>
      <w:bookmarkStart w:id="113" w:name="_Toc150515707"/>
      <w:bookmarkStart w:id="114" w:name="_Toc161401002"/>
      <w:bookmarkStart w:id="115" w:name="_Toc122514877"/>
      <w:r>
        <w:t>5.3.2</w:t>
      </w:r>
      <w:r>
        <w:tab/>
        <w:t>Prices</w:t>
      </w:r>
      <w:bookmarkEnd w:id="112"/>
      <w:bookmarkEnd w:id="113"/>
      <w:bookmarkEnd w:id="114"/>
    </w:p>
    <w:p w14:paraId="51915B1F" w14:textId="0FEE5359" w:rsidR="00435213" w:rsidRPr="007C664D" w:rsidRDefault="00435213" w:rsidP="00435213">
      <w:bookmarkStart w:id="116" w:name="_Toc150515708"/>
      <w:r w:rsidRPr="007C664D">
        <w:t>Greater Western Water’s proposed prices for water and sewerage services are set out on pages 96 to</w:t>
      </w:r>
      <w:r w:rsidR="00C0352C" w:rsidRPr="007C664D">
        <w:t xml:space="preserve"> </w:t>
      </w:r>
      <w:r w:rsidRPr="007C664D">
        <w:t>106 of its price submission.</w:t>
      </w:r>
    </w:p>
    <w:p w14:paraId="5061A0FB" w14:textId="4201AA9E" w:rsidR="00435213" w:rsidRPr="007C664D" w:rsidRDefault="00435213" w:rsidP="00435213">
      <w:r w:rsidRPr="007C664D">
        <w:t xml:space="preserve">Under Greater Western Water’s proposal, central and western service area prices will align over the next eight years. </w:t>
      </w:r>
      <w:r w:rsidR="00752C15" w:rsidRPr="007C664D">
        <w:t>As noted earlier, Greater Western Water will need to consider its maximum prices given our draft decision on its revenue requirement.</w:t>
      </w:r>
    </w:p>
    <w:p w14:paraId="4975DA67" w14:textId="6E391F3C" w:rsidR="00702589" w:rsidRPr="007C664D" w:rsidRDefault="00435213" w:rsidP="00435213">
      <w:r w:rsidRPr="007C664D">
        <w:t xml:space="preserve">In the central </w:t>
      </w:r>
      <w:r w:rsidR="005C56AA" w:rsidRPr="007C664D">
        <w:t>region</w:t>
      </w:r>
      <w:r w:rsidRPr="007C664D">
        <w:t>,</w:t>
      </w:r>
      <w:r w:rsidR="00BD2505" w:rsidRPr="007C664D">
        <w:t xml:space="preserve"> under its price submission proposal</w:t>
      </w:r>
      <w:r w:rsidRPr="007C664D">
        <w:t xml:space="preserve"> </w:t>
      </w:r>
      <w:proofErr w:type="gramStart"/>
      <w:r w:rsidRPr="007C664D">
        <w:t>the majority of</w:t>
      </w:r>
      <w:proofErr w:type="gramEnd"/>
      <w:r w:rsidRPr="007C664D">
        <w:t xml:space="preserve"> water prices </w:t>
      </w:r>
      <w:r w:rsidR="00507B1C" w:rsidRPr="007C664D">
        <w:t>for residential and non</w:t>
      </w:r>
      <w:r w:rsidR="00F46487" w:rsidRPr="007C664D">
        <w:t xml:space="preserve">-residential customers </w:t>
      </w:r>
      <w:r w:rsidR="00BD2505" w:rsidRPr="007C664D">
        <w:t>would</w:t>
      </w:r>
      <w:r w:rsidR="00F33899" w:rsidRPr="007C664D">
        <w:t xml:space="preserve"> increase by up to 3 per cent in 2024-25 </w:t>
      </w:r>
      <w:r w:rsidR="00F74841" w:rsidRPr="007C664D">
        <w:t xml:space="preserve">(excluding inflation) </w:t>
      </w:r>
      <w:r w:rsidR="00F33899" w:rsidRPr="007C664D">
        <w:t>and remain flat in rea</w:t>
      </w:r>
      <w:r w:rsidR="001F686A" w:rsidRPr="007C664D">
        <w:t>l</w:t>
      </w:r>
      <w:r w:rsidR="00F33899" w:rsidRPr="007C664D">
        <w:t xml:space="preserve"> terms for the rest of the regulatory period</w:t>
      </w:r>
      <w:r w:rsidR="00F74841" w:rsidRPr="007C664D">
        <w:t>.</w:t>
      </w:r>
    </w:p>
    <w:p w14:paraId="4C69AC87" w14:textId="67484E53" w:rsidR="00435213" w:rsidRPr="007C664D" w:rsidRDefault="00543E1F" w:rsidP="00435213">
      <w:r w:rsidRPr="007C664D">
        <w:t xml:space="preserve">Sewerage </w:t>
      </w:r>
      <w:r w:rsidR="00435213" w:rsidRPr="007C664D">
        <w:t xml:space="preserve">service charges </w:t>
      </w:r>
      <w:r w:rsidR="00910087" w:rsidRPr="007C664D">
        <w:t xml:space="preserve">for residential </w:t>
      </w:r>
      <w:r w:rsidR="000F19C6" w:rsidRPr="007C664D">
        <w:t xml:space="preserve">customers </w:t>
      </w:r>
      <w:r w:rsidR="00AD66DE" w:rsidRPr="007C664D">
        <w:t>would</w:t>
      </w:r>
      <w:r w:rsidR="00435213" w:rsidRPr="007C664D">
        <w:t xml:space="preserve"> increase by about 1</w:t>
      </w:r>
      <w:r w:rsidR="000A3CAC" w:rsidRPr="007C664D">
        <w:t> </w:t>
      </w:r>
      <w:r w:rsidR="00435213" w:rsidRPr="007C664D">
        <w:t>per cent per annum</w:t>
      </w:r>
      <w:r w:rsidR="00177524" w:rsidRPr="007C664D">
        <w:t xml:space="preserve"> </w:t>
      </w:r>
      <w:r w:rsidR="00FF38C9" w:rsidRPr="007C664D">
        <w:t>until 2027</w:t>
      </w:r>
      <w:r w:rsidR="00F74841" w:rsidRPr="007C664D">
        <w:noBreakHyphen/>
      </w:r>
      <w:r w:rsidR="00FF38C9" w:rsidRPr="007C664D">
        <w:t>28</w:t>
      </w:r>
      <w:r w:rsidR="00F74841" w:rsidRPr="007C664D">
        <w:t>.</w:t>
      </w:r>
      <w:r w:rsidR="00E5791A" w:rsidRPr="007C664D">
        <w:t xml:space="preserve"> </w:t>
      </w:r>
      <w:r w:rsidR="000F19C6" w:rsidRPr="007C664D">
        <w:t>For non-residential customers</w:t>
      </w:r>
      <w:r w:rsidR="00F74841" w:rsidRPr="007C664D">
        <w:t>,</w:t>
      </w:r>
      <w:r w:rsidR="000F19C6" w:rsidRPr="007C664D">
        <w:t xml:space="preserve"> </w:t>
      </w:r>
      <w:r w:rsidR="004F3A34" w:rsidRPr="007C664D">
        <w:t xml:space="preserve">the </w:t>
      </w:r>
      <w:r w:rsidR="001E1917" w:rsidRPr="007C664D">
        <w:t>service</w:t>
      </w:r>
      <w:r w:rsidR="004F3A34" w:rsidRPr="007C664D">
        <w:t xml:space="preserve"> fee will </w:t>
      </w:r>
      <w:r w:rsidR="000C6BC3" w:rsidRPr="007C664D">
        <w:t>fall by 0.6</w:t>
      </w:r>
      <w:r w:rsidR="00F74841" w:rsidRPr="007C664D">
        <w:t> </w:t>
      </w:r>
      <w:r w:rsidR="000C6BC3" w:rsidRPr="007C664D">
        <w:t>per cent</w:t>
      </w:r>
      <w:r w:rsidR="006268E0" w:rsidRPr="007C664D">
        <w:t xml:space="preserve"> per annum</w:t>
      </w:r>
      <w:r w:rsidR="00E5791A" w:rsidRPr="007C664D">
        <w:t xml:space="preserve"> for the rest of the </w:t>
      </w:r>
      <w:r w:rsidR="008F4553" w:rsidRPr="007C664D">
        <w:t xml:space="preserve">regulatory </w:t>
      </w:r>
      <w:r w:rsidR="00E5791A" w:rsidRPr="007C664D">
        <w:t>period.</w:t>
      </w:r>
      <w:r w:rsidR="00270D1F" w:rsidRPr="007C664D">
        <w:rPr>
          <w:rStyle w:val="FootnoteReference"/>
        </w:rPr>
        <w:footnoteReference w:id="97"/>
      </w:r>
    </w:p>
    <w:p w14:paraId="4D066C8F" w14:textId="48F08307" w:rsidR="00A2337E" w:rsidRPr="009B7E64" w:rsidRDefault="00AB48FA" w:rsidP="00435213">
      <w:r w:rsidRPr="007C664D">
        <w:t>For</w:t>
      </w:r>
      <w:r w:rsidR="00FF03A3" w:rsidRPr="007C664D">
        <w:t xml:space="preserve"> </w:t>
      </w:r>
      <w:r w:rsidR="00347CFA" w:rsidRPr="007C664D">
        <w:t>the central service area’s</w:t>
      </w:r>
      <w:r w:rsidR="004167C6" w:rsidRPr="007C664D">
        <w:t xml:space="preserve"> recycled water prices, the </w:t>
      </w:r>
      <w:r w:rsidR="00DA0E36" w:rsidRPr="007C664D">
        <w:t>service</w:t>
      </w:r>
      <w:r w:rsidR="00465EF4" w:rsidRPr="007C664D">
        <w:t xml:space="preserve"> fee </w:t>
      </w:r>
      <w:r w:rsidR="007633E7" w:rsidRPr="007C664D">
        <w:t xml:space="preserve">for residential customers </w:t>
      </w:r>
      <w:r w:rsidR="00AD66DE" w:rsidRPr="007C664D">
        <w:t>would</w:t>
      </w:r>
      <w:r w:rsidR="00465EF4" w:rsidRPr="007C664D">
        <w:t xml:space="preserve"> increase by 6</w:t>
      </w:r>
      <w:r w:rsidR="00BC080D" w:rsidRPr="007C664D">
        <w:t>.1</w:t>
      </w:r>
      <w:r w:rsidR="006736C9" w:rsidRPr="007C664D">
        <w:t> </w:t>
      </w:r>
      <w:r w:rsidR="00465EF4" w:rsidRPr="007C664D">
        <w:t xml:space="preserve">per cent </w:t>
      </w:r>
      <w:r w:rsidR="004079B6" w:rsidRPr="007C664D">
        <w:t>in 2024-25</w:t>
      </w:r>
      <w:r w:rsidR="00EC6F4B" w:rsidRPr="007C664D">
        <w:t>,</w:t>
      </w:r>
      <w:r w:rsidR="004079B6" w:rsidRPr="007C664D">
        <w:t xml:space="preserve"> and </w:t>
      </w:r>
      <w:r w:rsidR="00EC6F4B" w:rsidRPr="007C664D">
        <w:t>the annual increases will</w:t>
      </w:r>
      <w:r w:rsidR="004079B6" w:rsidRPr="007C664D">
        <w:t xml:space="preserve"> then</w:t>
      </w:r>
      <w:r w:rsidR="00F26071" w:rsidRPr="007C664D">
        <w:t xml:space="preserve"> steadily </w:t>
      </w:r>
      <w:r w:rsidR="00FC0766" w:rsidRPr="007C664D">
        <w:t xml:space="preserve">fall </w:t>
      </w:r>
      <w:r w:rsidR="00E415B3" w:rsidRPr="007C664D">
        <w:t xml:space="preserve">to </w:t>
      </w:r>
      <w:r w:rsidR="00265856" w:rsidRPr="007C664D">
        <w:t>a 5.2</w:t>
      </w:r>
      <w:r w:rsidR="00BC59B0" w:rsidRPr="007C664D">
        <w:t> </w:t>
      </w:r>
      <w:r w:rsidR="00265856" w:rsidRPr="007C664D">
        <w:t xml:space="preserve">per cent increase </w:t>
      </w:r>
      <w:r w:rsidR="00BC59B0" w:rsidRPr="007C664D">
        <w:t>for the final year</w:t>
      </w:r>
      <w:r w:rsidR="006651C7" w:rsidRPr="007C664D">
        <w:t xml:space="preserve"> of the regulatory period.</w:t>
      </w:r>
      <w:r w:rsidR="007633E7" w:rsidRPr="007C664D">
        <w:t xml:space="preserve"> </w:t>
      </w:r>
      <w:r w:rsidR="00DE4410" w:rsidRPr="007C664D">
        <w:t xml:space="preserve">However, the </w:t>
      </w:r>
      <w:r w:rsidR="008536B9" w:rsidRPr="007C664D">
        <w:t>recycled</w:t>
      </w:r>
      <w:r w:rsidR="00DE4410" w:rsidRPr="007C664D">
        <w:t xml:space="preserve"> </w:t>
      </w:r>
      <w:r w:rsidR="00E609D3" w:rsidRPr="007C664D">
        <w:t xml:space="preserve">water usage fee </w:t>
      </w:r>
      <w:r w:rsidR="00CC52AB" w:rsidRPr="007C664D">
        <w:t xml:space="preserve">for residential customers </w:t>
      </w:r>
      <w:r w:rsidR="00AD66DE" w:rsidRPr="007C664D">
        <w:t>would</w:t>
      </w:r>
      <w:r w:rsidR="00E609D3" w:rsidRPr="007C664D">
        <w:t xml:space="preserve"> </w:t>
      </w:r>
      <w:r w:rsidR="00CF42E7" w:rsidRPr="007C664D">
        <w:t>fall by 0.3</w:t>
      </w:r>
      <w:r w:rsidR="00F44A45" w:rsidRPr="007C664D">
        <w:t> </w:t>
      </w:r>
      <w:r w:rsidR="00CF42E7" w:rsidRPr="007C664D">
        <w:t xml:space="preserve">per cent </w:t>
      </w:r>
      <w:r w:rsidR="00300119" w:rsidRPr="007C664D">
        <w:t xml:space="preserve">per annum </w:t>
      </w:r>
      <w:r w:rsidR="00AD7839" w:rsidRPr="007C664D">
        <w:t>across the whole</w:t>
      </w:r>
      <w:r w:rsidR="00300119" w:rsidRPr="007C664D">
        <w:t xml:space="preserve"> regulatory period. </w:t>
      </w:r>
      <w:r w:rsidR="007633E7" w:rsidRPr="007C664D">
        <w:t xml:space="preserve">For </w:t>
      </w:r>
      <w:r w:rsidR="007633E7" w:rsidRPr="007C664D">
        <w:lastRenderedPageBreak/>
        <w:t xml:space="preserve">non-residential customers, </w:t>
      </w:r>
      <w:r w:rsidR="0073634C" w:rsidRPr="007C664D">
        <w:t xml:space="preserve">the usage fee </w:t>
      </w:r>
      <w:r w:rsidR="00AD66DE" w:rsidRPr="007C664D">
        <w:t>would</w:t>
      </w:r>
      <w:r w:rsidR="006B4306" w:rsidRPr="007C664D">
        <w:t xml:space="preserve"> fall by </w:t>
      </w:r>
      <w:r w:rsidR="000213FE" w:rsidRPr="007C664D">
        <w:t>0.</w:t>
      </w:r>
      <w:r w:rsidR="00376B30" w:rsidRPr="007C664D">
        <w:t>2</w:t>
      </w:r>
      <w:r w:rsidR="00CD5117" w:rsidRPr="007C664D">
        <w:t> </w:t>
      </w:r>
      <w:r w:rsidR="000213FE" w:rsidRPr="007C664D">
        <w:t xml:space="preserve">per cent per annum </w:t>
      </w:r>
      <w:r w:rsidR="003952C4" w:rsidRPr="007C664D">
        <w:t>across</w:t>
      </w:r>
      <w:r w:rsidR="0005553D" w:rsidRPr="007C664D">
        <w:t xml:space="preserve"> the regulatory period.</w:t>
      </w:r>
    </w:p>
    <w:p w14:paraId="0D0C8DBD" w14:textId="2533E4C6" w:rsidR="00435213" w:rsidRPr="007C664D" w:rsidRDefault="002525EB" w:rsidP="00435213">
      <w:r w:rsidRPr="007C664D">
        <w:t>Under its price submission proposal, i</w:t>
      </w:r>
      <w:r w:rsidR="00435213" w:rsidRPr="007C664D">
        <w:t xml:space="preserve">n the western </w:t>
      </w:r>
      <w:r w:rsidRPr="007C664D">
        <w:t>region</w:t>
      </w:r>
      <w:r w:rsidR="00435213" w:rsidRPr="007C664D">
        <w:t xml:space="preserve">, water service charges for most residential and non-residential customers </w:t>
      </w:r>
      <w:r w:rsidRPr="007C664D">
        <w:t>would</w:t>
      </w:r>
      <w:r w:rsidR="00435213" w:rsidRPr="007C664D">
        <w:t xml:space="preserve"> increase by 3 per cent in 2024</w:t>
      </w:r>
      <w:r w:rsidR="00435213" w:rsidRPr="007C664D">
        <w:noBreakHyphen/>
        <w:t xml:space="preserve">25 and then remain </w:t>
      </w:r>
      <w:r w:rsidR="004604F5" w:rsidRPr="007C664D">
        <w:t>flat in real terms</w:t>
      </w:r>
      <w:r w:rsidR="00435213" w:rsidRPr="007C664D">
        <w:t xml:space="preserve"> for the rest of the period.</w:t>
      </w:r>
      <w:r w:rsidR="00435213" w:rsidRPr="007C664D">
        <w:rPr>
          <w:rStyle w:val="FootnoteReference"/>
        </w:rPr>
        <w:footnoteReference w:id="98"/>
      </w:r>
      <w:r w:rsidR="00435213" w:rsidRPr="007C664D">
        <w:t xml:space="preserve"> However, the water usage charge for residential customers </w:t>
      </w:r>
      <w:r w:rsidRPr="007C664D">
        <w:t>would</w:t>
      </w:r>
      <w:r w:rsidR="00435213" w:rsidRPr="007C664D">
        <w:t xml:space="preserve"> increase by 0.5 to 1.9</w:t>
      </w:r>
      <w:r w:rsidR="00517316" w:rsidRPr="007C664D">
        <w:t> </w:t>
      </w:r>
      <w:r w:rsidR="00435213" w:rsidRPr="007C664D">
        <w:t xml:space="preserve">per cent per annum depending on the level of consumption. Non-residential customers’ water usage charge </w:t>
      </w:r>
      <w:r w:rsidRPr="007C664D">
        <w:t>would</w:t>
      </w:r>
      <w:r w:rsidR="00435213" w:rsidRPr="007C664D">
        <w:t xml:space="preserve"> increase by 0.7</w:t>
      </w:r>
      <w:r w:rsidR="00C91C98" w:rsidRPr="007C664D">
        <w:t> </w:t>
      </w:r>
      <w:r w:rsidR="00435213" w:rsidRPr="007C664D">
        <w:t>per cent in 2024</w:t>
      </w:r>
      <w:r w:rsidR="00435213" w:rsidRPr="007C664D">
        <w:noBreakHyphen/>
        <w:t xml:space="preserve">25 and then remain </w:t>
      </w:r>
      <w:r w:rsidR="004604F5" w:rsidRPr="007C664D">
        <w:t>flat in real terms</w:t>
      </w:r>
      <w:r w:rsidR="00435213" w:rsidRPr="007C664D">
        <w:t xml:space="preserve"> for the rest of </w:t>
      </w:r>
      <w:r w:rsidR="004542CC" w:rsidRPr="007C664D">
        <w:t xml:space="preserve">the </w:t>
      </w:r>
      <w:r w:rsidR="00435213" w:rsidRPr="007C664D">
        <w:t xml:space="preserve">regulatory period. </w:t>
      </w:r>
    </w:p>
    <w:p w14:paraId="35A64535" w14:textId="32F07BBF" w:rsidR="00435213" w:rsidRPr="007C664D" w:rsidRDefault="00435213" w:rsidP="00435213">
      <w:r w:rsidRPr="007C664D">
        <w:t xml:space="preserve">Sewerage service charges for residential customers and non-residential customers </w:t>
      </w:r>
      <w:r w:rsidR="002525EB" w:rsidRPr="007C664D">
        <w:t>would</w:t>
      </w:r>
      <w:r w:rsidRPr="007C664D">
        <w:t xml:space="preserve"> fall by about 4</w:t>
      </w:r>
      <w:r w:rsidR="00C91C98" w:rsidRPr="007C664D">
        <w:t> </w:t>
      </w:r>
      <w:r w:rsidRPr="007C664D">
        <w:t>per cent and 1.8</w:t>
      </w:r>
      <w:r w:rsidR="00C91C98" w:rsidRPr="007C664D">
        <w:t> </w:t>
      </w:r>
      <w:r w:rsidRPr="007C664D">
        <w:t xml:space="preserve">per cent per annum respectively. </w:t>
      </w:r>
    </w:p>
    <w:p w14:paraId="46B9C8E9" w14:textId="62ED24EC" w:rsidR="00435213" w:rsidRPr="007C664D" w:rsidRDefault="00435213" w:rsidP="00435213">
      <w:proofErr w:type="gramStart"/>
      <w:r w:rsidRPr="007C664D">
        <w:t>With regard to</w:t>
      </w:r>
      <w:proofErr w:type="gramEnd"/>
      <w:r w:rsidRPr="007C664D">
        <w:t xml:space="preserve"> recycled water prices, for both residential and non-residential customers, the </w:t>
      </w:r>
      <w:r w:rsidR="002312DF" w:rsidRPr="007C664D">
        <w:t>service</w:t>
      </w:r>
      <w:r w:rsidRPr="007C664D">
        <w:t xml:space="preserve"> charge in the western </w:t>
      </w:r>
      <w:r w:rsidR="002525EB" w:rsidRPr="007C664D">
        <w:t>region</w:t>
      </w:r>
      <w:r w:rsidRPr="007C664D">
        <w:t xml:space="preserve"> w</w:t>
      </w:r>
      <w:r w:rsidR="002525EB" w:rsidRPr="007C664D">
        <w:t>ould</w:t>
      </w:r>
      <w:r w:rsidRPr="007C664D">
        <w:t xml:space="preserve"> fall by 7</w:t>
      </w:r>
      <w:r w:rsidR="00C91C98" w:rsidRPr="007C664D">
        <w:t> </w:t>
      </w:r>
      <w:r w:rsidRPr="007C664D">
        <w:t xml:space="preserve">per cent per annum (on average) and the usage charge </w:t>
      </w:r>
      <w:r w:rsidR="002525EB" w:rsidRPr="007C664D">
        <w:t>would</w:t>
      </w:r>
      <w:r w:rsidRPr="007C664D">
        <w:t xml:space="preserve"> increase by about 2.5</w:t>
      </w:r>
      <w:r w:rsidR="00C91C98" w:rsidRPr="007C664D">
        <w:t> </w:t>
      </w:r>
      <w:r w:rsidRPr="007C664D">
        <w:t>per cent per annum until 2027</w:t>
      </w:r>
      <w:r w:rsidRPr="007C664D">
        <w:noBreakHyphen/>
        <w:t xml:space="preserve">28. </w:t>
      </w:r>
    </w:p>
    <w:p w14:paraId="605D777F" w14:textId="79289E47" w:rsidR="00435213" w:rsidRPr="007C664D" w:rsidRDefault="002A1F85" w:rsidP="00435213">
      <w:r w:rsidRPr="007C664D">
        <w:t>We received several</w:t>
      </w:r>
      <w:r w:rsidR="00435213" w:rsidRPr="007C664D">
        <w:t xml:space="preserve"> public submissions from Greater Western Water stakeholders express</w:t>
      </w:r>
      <w:r w:rsidRPr="007C664D">
        <w:t>ing</w:t>
      </w:r>
      <w:r w:rsidR="00435213" w:rsidRPr="007C664D">
        <w:t xml:space="preserve"> concerns regarding the affordability of service charges under </w:t>
      </w:r>
      <w:r w:rsidR="006F5B6B" w:rsidRPr="007C664D">
        <w:t xml:space="preserve">Greater Western Water’s </w:t>
      </w:r>
      <w:r w:rsidR="00435213" w:rsidRPr="007C664D">
        <w:t>proposal</w:t>
      </w:r>
      <w:r w:rsidR="006F5B6B" w:rsidRPr="007C664D">
        <w:t>s</w:t>
      </w:r>
      <w:r w:rsidR="00435213" w:rsidRPr="007C664D">
        <w:t>. One submission highlighted the impact of price increases on lower socio-economic groups.</w:t>
      </w:r>
      <w:r w:rsidR="00435213" w:rsidRPr="007C664D">
        <w:rPr>
          <w:rStyle w:val="FootnoteReference"/>
        </w:rPr>
        <w:footnoteReference w:id="99"/>
      </w:r>
      <w:r w:rsidR="00435213" w:rsidRPr="007C664D">
        <w:t xml:space="preserve"> Our views on Greater Western Water’s approach to addressing the interests of low income and vulnerable customers are outlined below in Section</w:t>
      </w:r>
      <w:r w:rsidR="00027D1E" w:rsidRPr="007C664D">
        <w:t> </w:t>
      </w:r>
      <w:r w:rsidR="00435213" w:rsidRPr="007C664D">
        <w:t xml:space="preserve">5.3.3. </w:t>
      </w:r>
      <w:r w:rsidR="00EA168D" w:rsidRPr="007C664D">
        <w:t xml:space="preserve">This included a </w:t>
      </w:r>
      <w:r w:rsidR="00FC13C8" w:rsidRPr="007C664D">
        <w:t xml:space="preserve">proposed </w:t>
      </w:r>
      <w:r w:rsidR="00EA168D" w:rsidRPr="007C664D">
        <w:t xml:space="preserve">price path that focused on bill reduction in the first year of the regulatory period for </w:t>
      </w:r>
      <w:proofErr w:type="gramStart"/>
      <w:r w:rsidR="00EA168D" w:rsidRPr="007C664D">
        <w:t>the majority of</w:t>
      </w:r>
      <w:proofErr w:type="gramEnd"/>
      <w:r w:rsidR="00EA168D" w:rsidRPr="007C664D">
        <w:t xml:space="preserve"> its customers</w:t>
      </w:r>
      <w:r w:rsidR="00FC13C8" w:rsidRPr="007C664D">
        <w:t>,</w:t>
      </w:r>
      <w:r w:rsidR="00EA168D" w:rsidRPr="007C664D">
        <w:t xml:space="preserve"> in consideration of the near-term inflation outlook and cost of living pressures</w:t>
      </w:r>
      <w:r w:rsidR="00FC13C8" w:rsidRPr="007C664D">
        <w:t>.</w:t>
      </w:r>
    </w:p>
    <w:p w14:paraId="7CBE2FB4" w14:textId="3B46CBD7" w:rsidR="00435213" w:rsidRPr="007C664D" w:rsidRDefault="00435213" w:rsidP="00435213">
      <w:r w:rsidRPr="007C664D">
        <w:t>In May 2024, we intend to determine prices for Greater Western Water in $2024</w:t>
      </w:r>
      <w:r w:rsidRPr="007C664D">
        <w:noBreakHyphen/>
        <w:t>25 terms. This means we will add the annual change in the March Quarter 2024 consumer price index (published by the Australian Bureau of Statistics) to its 2024</w:t>
      </w:r>
      <w:r w:rsidRPr="007C664D">
        <w:noBreakHyphen/>
        <w:t>25 prices, which will also flow through to customer bills.</w:t>
      </w:r>
    </w:p>
    <w:p w14:paraId="2739142A" w14:textId="77777777" w:rsidR="00435213" w:rsidRDefault="00435213" w:rsidP="00435213">
      <w:r w:rsidRPr="007C664D">
        <w:t>Greater Western Water’s prices will also be affected by our draft decision on the revenue requirement, which is outlined in Chapter 4. In response to our draft decision, Greater Western Water will need to propose updated prices that reflect our draft decision and any updates to its revenue requirement.</w:t>
      </w:r>
      <w:r w:rsidRPr="00143AB5">
        <w:t xml:space="preserve"> </w:t>
      </w:r>
    </w:p>
    <w:p w14:paraId="389BD949" w14:textId="2144294A" w:rsidR="00324EFE" w:rsidRPr="007C664D" w:rsidDel="00125D8F" w:rsidRDefault="00BF337F" w:rsidP="00033BF6">
      <w:pPr>
        <w:pStyle w:val="Heading3"/>
      </w:pPr>
      <w:bookmarkStart w:id="117" w:name="_Toc161401003"/>
      <w:r>
        <w:lastRenderedPageBreak/>
        <w:t>5.3.3</w:t>
      </w:r>
      <w:r>
        <w:tab/>
      </w:r>
      <w:r w:rsidR="006A5EC7" w:rsidRPr="007C664D">
        <w:t xml:space="preserve">Addressing the interests of low income and vulnerable </w:t>
      </w:r>
      <w:proofErr w:type="gramStart"/>
      <w:r w:rsidR="006A5EC7" w:rsidRPr="007C664D">
        <w:t>customers</w:t>
      </w:r>
      <w:bookmarkEnd w:id="115"/>
      <w:bookmarkEnd w:id="116"/>
      <w:bookmarkEnd w:id="117"/>
      <w:proofErr w:type="gramEnd"/>
    </w:p>
    <w:p w14:paraId="487E3290" w14:textId="6D610B84" w:rsidR="002F23D3" w:rsidRPr="007C664D" w:rsidRDefault="002F23D3" w:rsidP="00EA52CC">
      <w:pPr>
        <w:rPr>
          <w:b/>
        </w:rPr>
      </w:pPr>
      <w:bookmarkStart w:id="118" w:name="_Toc122514878"/>
      <w:bookmarkStart w:id="119" w:name="_Toc150515709"/>
      <w:r w:rsidRPr="007C664D">
        <w:t xml:space="preserve">In making our price determination, we must have regard to whether Greater Western Water’s prices </w:t>
      </w:r>
      <w:proofErr w:type="gramStart"/>
      <w:r w:rsidRPr="007C664D">
        <w:t>take into account</w:t>
      </w:r>
      <w:proofErr w:type="gramEnd"/>
      <w:r w:rsidRPr="007C664D">
        <w:t xml:space="preserve"> the interests of customers, including low income and vulnerable customers.</w:t>
      </w:r>
      <w:r w:rsidR="00B5295D" w:rsidRPr="007C664D">
        <w:rPr>
          <w:rStyle w:val="FootnoteReference"/>
        </w:rPr>
        <w:footnoteReference w:id="100"/>
      </w:r>
      <w:r w:rsidRPr="007C664D">
        <w:t xml:space="preserve"> </w:t>
      </w:r>
    </w:p>
    <w:p w14:paraId="2C669AC7" w14:textId="77777777" w:rsidR="002F23D3" w:rsidRPr="007C664D" w:rsidRDefault="002F23D3" w:rsidP="005F1B4B">
      <w:r w:rsidRPr="007C664D">
        <w:t xml:space="preserve">There is evidence that Greater Western Water has sought to address the interests of low income and vulnerable customers because Greater Western Water proposed: </w:t>
      </w:r>
    </w:p>
    <w:p w14:paraId="774C7D4F" w14:textId="73DDF2A7" w:rsidR="002F23D3" w:rsidRPr="007C664D" w:rsidRDefault="002F23D3" w:rsidP="00ED1290">
      <w:pPr>
        <w:pStyle w:val="ListBullet"/>
      </w:pPr>
      <w:r w:rsidRPr="007C664D">
        <w:t xml:space="preserve">new expenditure in line with the priorities of the deliberative panel, whose participants were representatives of Greater Western Water’s </w:t>
      </w:r>
      <w:r w:rsidR="001F7383" w:rsidRPr="007C664D">
        <w:t>customer base</w:t>
      </w:r>
      <w:r w:rsidRPr="007C664D">
        <w:t xml:space="preserve">, including </w:t>
      </w:r>
      <w:proofErr w:type="gramStart"/>
      <w:r w:rsidRPr="007C664D">
        <w:t>low income</w:t>
      </w:r>
      <w:proofErr w:type="gramEnd"/>
      <w:r w:rsidRPr="007C664D">
        <w:t xml:space="preserve"> customers and customers experiencing vulnerability </w:t>
      </w:r>
    </w:p>
    <w:p w14:paraId="4C7048AB" w14:textId="5175503D" w:rsidR="002F23D3" w:rsidRPr="007C664D" w:rsidRDefault="002F23D3" w:rsidP="00ED1290">
      <w:pPr>
        <w:pStyle w:val="ListBullet"/>
      </w:pPr>
      <w:r w:rsidRPr="007C664D">
        <w:t xml:space="preserve">increased spending on its customer support program to improve early intervention and increase uptake of customer support by culturally and linguistically diverse customers </w:t>
      </w:r>
      <w:r w:rsidR="001A2955" w:rsidRPr="007C664D">
        <w:t>(which address</w:t>
      </w:r>
      <w:r w:rsidR="00CA67E6" w:rsidRPr="007C664D">
        <w:t>es</w:t>
      </w:r>
      <w:r w:rsidR="001A2955" w:rsidRPr="007C664D">
        <w:t xml:space="preserve"> the issues raised in customer submissions)</w:t>
      </w:r>
    </w:p>
    <w:p w14:paraId="0AA0A376" w14:textId="0D579734" w:rsidR="002F23D3" w:rsidRPr="007C664D" w:rsidRDefault="002F23D3" w:rsidP="00ED1290">
      <w:pPr>
        <w:pStyle w:val="ListBullet"/>
      </w:pPr>
      <w:r w:rsidRPr="007C664D">
        <w:t xml:space="preserve">investment to align services and service levels for regional </w:t>
      </w:r>
      <w:r w:rsidR="00F3298C" w:rsidRPr="007C664D">
        <w:t xml:space="preserve">(western service area) </w:t>
      </w:r>
      <w:r w:rsidRPr="007C664D">
        <w:t xml:space="preserve">customers with the service levels available in urban </w:t>
      </w:r>
      <w:r w:rsidR="007D73C2" w:rsidRPr="007C664D">
        <w:t xml:space="preserve">(central) </w:t>
      </w:r>
      <w:proofErr w:type="gramStart"/>
      <w:r w:rsidRPr="007C664D">
        <w:t>areas</w:t>
      </w:r>
      <w:proofErr w:type="gramEnd"/>
      <w:r w:rsidRPr="007C664D">
        <w:t xml:space="preserve"> </w:t>
      </w:r>
    </w:p>
    <w:p w14:paraId="4FABA974" w14:textId="77777777" w:rsidR="002F23D3" w:rsidRPr="007C664D" w:rsidRDefault="002F23D3" w:rsidP="00ED1290">
      <w:pPr>
        <w:pStyle w:val="ListBullet"/>
      </w:pPr>
      <w:r w:rsidRPr="007C664D">
        <w:t xml:space="preserve">a price path that focused on bill reduction in the first year of the regulatory period for </w:t>
      </w:r>
      <w:proofErr w:type="gramStart"/>
      <w:r w:rsidRPr="007C664D">
        <w:t>the majority of</w:t>
      </w:r>
      <w:proofErr w:type="gramEnd"/>
      <w:r w:rsidRPr="007C664D">
        <w:t xml:space="preserve"> its customers in consideration of the near-term inflation outlook and cost of living pressures</w:t>
      </w:r>
    </w:p>
    <w:p w14:paraId="07909AD7" w14:textId="77777777" w:rsidR="002F23D3" w:rsidRPr="007C664D" w:rsidRDefault="002F23D3" w:rsidP="00ED1290">
      <w:pPr>
        <w:pStyle w:val="ListBullet"/>
      </w:pPr>
      <w:r w:rsidRPr="007C664D">
        <w:t xml:space="preserve">removing the third step water usage charge for residential customers in its western region in recognition of the affordability impact of the third step on large families who are less able to reduce usage in response to pricing </w:t>
      </w:r>
      <w:proofErr w:type="gramStart"/>
      <w:r w:rsidRPr="007C664D">
        <w:t>signals</w:t>
      </w:r>
      <w:proofErr w:type="gramEnd"/>
      <w:r w:rsidRPr="007C664D">
        <w:t xml:space="preserve"> </w:t>
      </w:r>
    </w:p>
    <w:p w14:paraId="5190D976" w14:textId="616E3D99" w:rsidR="002F23D3" w:rsidRPr="007C664D" w:rsidRDefault="002F23D3" w:rsidP="00ED1290">
      <w:pPr>
        <w:pStyle w:val="ListBullet"/>
      </w:pPr>
      <w:r w:rsidRPr="007C664D">
        <w:t>simplifying its tariff structures by removing the sewage disposal charge and combining it with water usage charges which enables customers to understand their bill</w:t>
      </w:r>
      <w:r w:rsidR="00FE05F3" w:rsidRPr="007C664D">
        <w:t xml:space="preserve"> more easily</w:t>
      </w:r>
      <w:r w:rsidRPr="007C664D">
        <w:t>.</w:t>
      </w:r>
    </w:p>
    <w:p w14:paraId="3CF355EA" w14:textId="5D1A1C3E" w:rsidR="002F23D3" w:rsidRPr="00BE59A2" w:rsidRDefault="002F23D3" w:rsidP="00EA52CC">
      <w:r w:rsidRPr="007C664D">
        <w:t>As noted in Section</w:t>
      </w:r>
      <w:r w:rsidR="00BE61FB" w:rsidRPr="007C664D">
        <w:t> </w:t>
      </w:r>
      <w:r w:rsidRPr="007C664D">
        <w:t xml:space="preserve">3.1, Greater Western Water’s price submission was informed by engagement that was inclusive for customers more likely to experience vulnerability, including youth, international </w:t>
      </w:r>
      <w:r w:rsidRPr="00BE59A2">
        <w:t>students, retirees, culturally diverse customers, customers living with a disability, customers experiencing financial hardship and not-for-profit community groups.</w:t>
      </w:r>
    </w:p>
    <w:p w14:paraId="125D259B" w14:textId="639686D1" w:rsidR="00765356" w:rsidRPr="00BE59A2" w:rsidRDefault="00022DAC" w:rsidP="00F22C01">
      <w:pPr>
        <w:pStyle w:val="Heading3"/>
      </w:pPr>
      <w:bookmarkStart w:id="120" w:name="_Toc161401004"/>
      <w:bookmarkEnd w:id="118"/>
      <w:bookmarkEnd w:id="119"/>
      <w:r w:rsidRPr="00BE59A2">
        <w:t>5.</w:t>
      </w:r>
      <w:r w:rsidR="00670DC7" w:rsidRPr="00BE59A2">
        <w:t>3</w:t>
      </w:r>
      <w:r w:rsidRPr="00BE59A2">
        <w:t>.</w:t>
      </w:r>
      <w:r w:rsidR="00BF337F" w:rsidRPr="00BE59A2">
        <w:t>4</w:t>
      </w:r>
      <w:r w:rsidRPr="00BE59A2">
        <w:tab/>
      </w:r>
      <w:bookmarkEnd w:id="120"/>
      <w:r w:rsidR="00DE5066" w:rsidRPr="00BE59A2">
        <w:t>Trade waste and miscellaneous services</w:t>
      </w:r>
    </w:p>
    <w:p w14:paraId="75A6B688" w14:textId="69AED123" w:rsidR="000C2841" w:rsidRDefault="000C2841" w:rsidP="000C2841">
      <w:r w:rsidRPr="00BE59A2">
        <w:t>Greater Western Water has confirmed that its proposed tariffs</w:t>
      </w:r>
      <w:r w:rsidRPr="007C664D">
        <w:t xml:space="preserve"> for trade waste and miscellaneous services are calculated in accordance with the pricing principles referenced in our guidance.</w:t>
      </w:r>
    </w:p>
    <w:p w14:paraId="146EC955" w14:textId="5740FF98" w:rsidR="008B2E81" w:rsidRDefault="00E61E50" w:rsidP="000C2841">
      <w:r w:rsidRPr="007C664D">
        <w:lastRenderedPageBreak/>
        <w:t>Greater Western Water proposed to inver</w:t>
      </w:r>
      <w:r w:rsidR="005A3108" w:rsidRPr="007C664D">
        <w:t>t</w:t>
      </w:r>
      <w:r w:rsidRPr="007C664D">
        <w:t xml:space="preserve"> the </w:t>
      </w:r>
      <w:r w:rsidR="0034473C" w:rsidRPr="007C664D">
        <w:t xml:space="preserve">risk rank </w:t>
      </w:r>
      <w:r w:rsidRPr="007C664D">
        <w:t xml:space="preserve">labelling of </w:t>
      </w:r>
      <w:r w:rsidR="0097539F" w:rsidRPr="007C664D">
        <w:t xml:space="preserve">its </w:t>
      </w:r>
      <w:r w:rsidRPr="007C664D">
        <w:t xml:space="preserve">trade waste </w:t>
      </w:r>
      <w:r w:rsidR="0034473C" w:rsidRPr="007C664D">
        <w:t>categories</w:t>
      </w:r>
      <w:r w:rsidRPr="007C664D">
        <w:t xml:space="preserve"> in its western region to </w:t>
      </w:r>
      <w:r w:rsidR="00B10473" w:rsidRPr="007C664D">
        <w:t xml:space="preserve">be consistent with </w:t>
      </w:r>
      <w:r w:rsidRPr="007C664D">
        <w:t xml:space="preserve">the </w:t>
      </w:r>
      <w:r w:rsidR="00C63558" w:rsidRPr="007C664D">
        <w:t xml:space="preserve">risk rank </w:t>
      </w:r>
      <w:r w:rsidRPr="007C664D">
        <w:t xml:space="preserve">ordering </w:t>
      </w:r>
      <w:r w:rsidR="00694766" w:rsidRPr="007C664D">
        <w:t>for</w:t>
      </w:r>
      <w:r w:rsidRPr="007C664D">
        <w:t xml:space="preserve"> its central region</w:t>
      </w:r>
      <w:r w:rsidR="00694766" w:rsidRPr="007C664D">
        <w:t xml:space="preserve"> – both regions will now have risk rank</w:t>
      </w:r>
      <w:r w:rsidR="00D77463">
        <w:t> </w:t>
      </w:r>
      <w:r w:rsidR="00694766" w:rsidRPr="007C664D">
        <w:t xml:space="preserve">1 as the highest </w:t>
      </w:r>
      <w:r w:rsidR="00171B5C" w:rsidRPr="007C664D">
        <w:t xml:space="preserve">risk </w:t>
      </w:r>
      <w:r w:rsidR="000E25F5" w:rsidRPr="007C664D">
        <w:t xml:space="preserve">trade waste </w:t>
      </w:r>
      <w:r w:rsidR="004053C6" w:rsidRPr="007C664D">
        <w:t xml:space="preserve">customer </w:t>
      </w:r>
      <w:r w:rsidR="00694766" w:rsidRPr="007C664D">
        <w:t>catego</w:t>
      </w:r>
      <w:r w:rsidR="00C356BA" w:rsidRPr="007C664D">
        <w:t>r</w:t>
      </w:r>
      <w:r w:rsidR="00694766" w:rsidRPr="007C664D">
        <w:t>y</w:t>
      </w:r>
      <w:r w:rsidRPr="007C664D">
        <w:t>.</w:t>
      </w:r>
      <w:r w:rsidR="00044C7F" w:rsidRPr="007C664D">
        <w:rPr>
          <w:rStyle w:val="FootnoteReference"/>
        </w:rPr>
        <w:footnoteReference w:id="101"/>
      </w:r>
      <w:r w:rsidRPr="007C664D">
        <w:t xml:space="preserve"> </w:t>
      </w:r>
      <w:r w:rsidR="001A2955" w:rsidRPr="007C664D">
        <w:t>This</w:t>
      </w:r>
      <w:r w:rsidR="00203E60" w:rsidRPr="007C664D">
        <w:t xml:space="preserve"> is a change in name only</w:t>
      </w:r>
      <w:r w:rsidR="003F2524" w:rsidRPr="007C664D">
        <w:t xml:space="preserve">, </w:t>
      </w:r>
      <w:r w:rsidR="00487369" w:rsidRPr="007C664D">
        <w:t xml:space="preserve">with no </w:t>
      </w:r>
      <w:r w:rsidR="007E09B7" w:rsidRPr="007C664D">
        <w:t xml:space="preserve">consequential change </w:t>
      </w:r>
      <w:r w:rsidR="005A288A" w:rsidRPr="007C664D">
        <w:t xml:space="preserve">in tariffs </w:t>
      </w:r>
      <w:r w:rsidR="007E09B7" w:rsidRPr="007C664D">
        <w:t>for</w:t>
      </w:r>
      <w:r w:rsidR="003F2524" w:rsidRPr="007C664D">
        <w:t xml:space="preserve"> </w:t>
      </w:r>
      <w:r w:rsidR="00541780" w:rsidRPr="007C664D">
        <w:t>trade waste</w:t>
      </w:r>
      <w:r w:rsidR="003F2524" w:rsidRPr="007C664D">
        <w:t xml:space="preserve"> customers</w:t>
      </w:r>
      <w:r w:rsidRPr="007C664D">
        <w:t xml:space="preserve">. The central and western regions will still have different trade waste charges. Greater Western Water plans to review its trade waste </w:t>
      </w:r>
      <w:r w:rsidR="00E3185A" w:rsidRPr="007C664D">
        <w:t>tariffs</w:t>
      </w:r>
      <w:r w:rsidRPr="007C664D">
        <w:t xml:space="preserve"> during the next regulatory period</w:t>
      </w:r>
      <w:r w:rsidR="00275E64" w:rsidRPr="007C664D">
        <w:t xml:space="preserve"> and </w:t>
      </w:r>
      <w:r w:rsidRPr="007C664D">
        <w:t xml:space="preserve">engage with its customers </w:t>
      </w:r>
      <w:r w:rsidR="00C274B0" w:rsidRPr="007C664D">
        <w:t>for its 2028 price submission</w:t>
      </w:r>
      <w:r w:rsidRPr="007C664D">
        <w:t>.</w:t>
      </w:r>
    </w:p>
    <w:p w14:paraId="6182325E" w14:textId="129452CD" w:rsidR="001A2955" w:rsidRPr="00A1643A" w:rsidRDefault="001A2955" w:rsidP="001A2955">
      <w:r w:rsidRPr="007C664D">
        <w:t>Our draft decision is to approve the trade waste and miscellaneous services tariffs because they are calculated in accordance with the pricing principles in our guidance.</w:t>
      </w:r>
      <w:r>
        <w:t xml:space="preserve"> </w:t>
      </w:r>
    </w:p>
    <w:p w14:paraId="1751D143" w14:textId="6428315F" w:rsidR="00765356" w:rsidRDefault="00022DAC" w:rsidP="00F22C01">
      <w:pPr>
        <w:pStyle w:val="Heading2"/>
      </w:pPr>
      <w:bookmarkStart w:id="121" w:name="_Toc161401005"/>
      <w:r>
        <w:t>5.</w:t>
      </w:r>
      <w:r w:rsidR="00670DC7">
        <w:t>4</w:t>
      </w:r>
      <w:r>
        <w:tab/>
      </w:r>
      <w:r w:rsidR="00765356">
        <w:t>New customer contributions</w:t>
      </w:r>
      <w:bookmarkEnd w:id="121"/>
    </w:p>
    <w:p w14:paraId="73B4E13F" w14:textId="77777777" w:rsidR="001A2955" w:rsidRPr="00385D80" w:rsidRDefault="001A2955" w:rsidP="001A2955">
      <w:pPr>
        <w:pStyle w:val="Pull-out"/>
      </w:pPr>
      <w:r w:rsidRPr="00385D80">
        <w:t xml:space="preserve">Our draft decision is to not accept Greater Western Water’s proposed standard new customer contributions. </w:t>
      </w:r>
    </w:p>
    <w:p w14:paraId="4650ED31" w14:textId="77777777" w:rsidR="002362C5" w:rsidRPr="003D14C0" w:rsidRDefault="002362C5" w:rsidP="002362C5">
      <w:pPr>
        <w:pStyle w:val="Pull-out"/>
      </w:pPr>
      <w:r w:rsidRPr="00385D80">
        <w:t>Our draft decision is to accept Greater Western Water’s negotiated customer contribution framework.</w:t>
      </w:r>
      <w:r w:rsidRPr="003D14C0">
        <w:t xml:space="preserve"> </w:t>
      </w:r>
    </w:p>
    <w:p w14:paraId="073C0FD5" w14:textId="2344CE97" w:rsidR="001A2955" w:rsidRPr="00385D80" w:rsidRDefault="001A2955" w:rsidP="001A2955">
      <w:r w:rsidRPr="00385D80">
        <w:t>Greater Western Water’s proposed new customer contributions are set out on pages</w:t>
      </w:r>
      <w:r w:rsidR="001809C8">
        <w:t> </w:t>
      </w:r>
      <w:r w:rsidRPr="00385D80">
        <w:t>107 to 109 of its price submission. Greater Western Water proposed to use the net incremental cost approach to estimate its new customer contributions, consistent with Western Water’s approach in 2020 and City West Water’s approach in 2018.</w:t>
      </w:r>
    </w:p>
    <w:p w14:paraId="29A8597A" w14:textId="77777777" w:rsidR="002362C5" w:rsidRPr="00385D80" w:rsidRDefault="002362C5" w:rsidP="002362C5">
      <w:r w:rsidRPr="00385D80">
        <w:t xml:space="preserve">New customer contributions (or developer charges) are levied by water businesses when a new connection is made to its water, sewerage or recycled water networks </w:t>
      </w:r>
      <w:proofErr w:type="gramStart"/>
      <w:r w:rsidRPr="00385D80">
        <w:t>in a given</w:t>
      </w:r>
      <w:proofErr w:type="gramEnd"/>
      <w:r w:rsidRPr="00385D80">
        <w:t xml:space="preserve"> part of its service areas. New customer contributions can be either standard or negotiated. </w:t>
      </w:r>
    </w:p>
    <w:p w14:paraId="01A67D82" w14:textId="47F82F90" w:rsidR="002362C5" w:rsidRPr="00385D80" w:rsidRDefault="002362C5" w:rsidP="002362C5">
      <w:r w:rsidRPr="00385D80">
        <w:t>Standard charges apply to new connections in areas where infrastructure requirements and growth rates are relatively well known and are designated by the water business. The purpose of standard new customer contributions is to reduce the administrative burden and improve the timeliness and predictability of costs faced by developers.</w:t>
      </w:r>
      <w:r w:rsidRPr="00385D80">
        <w:rPr>
          <w:rStyle w:val="FootnoteReference"/>
        </w:rPr>
        <w:footnoteReference w:id="102"/>
      </w:r>
      <w:r w:rsidRPr="00385D80">
        <w:t xml:space="preserve"> </w:t>
      </w:r>
      <w:r w:rsidR="001A2955" w:rsidRPr="00385D80">
        <w:t xml:space="preserve">For Greater Western Water, ‘standard’ new customer contributions include greenfield and infill new customer contributions, as well as recycled water new customer contributions. </w:t>
      </w:r>
      <w:r w:rsidRPr="00385D80">
        <w:t xml:space="preserve">Negotiated charges allow water businesses and developers to </w:t>
      </w:r>
      <w:r w:rsidRPr="00385D80">
        <w:lastRenderedPageBreak/>
        <w:t>negotiate a site-specific arrangement where standard charges are not fair and reasonable or where a new connection is outside the areas eligible for standard charges.</w:t>
      </w:r>
      <w:r w:rsidRPr="00385D80">
        <w:rPr>
          <w:rStyle w:val="FootnoteReference"/>
        </w:rPr>
        <w:footnoteReference w:id="103"/>
      </w:r>
    </w:p>
    <w:p w14:paraId="7DAEB3AA" w14:textId="533B23FB" w:rsidR="00686504" w:rsidRPr="00385D80" w:rsidRDefault="00686504" w:rsidP="002362C5">
      <w:r w:rsidRPr="00385D80">
        <w:t xml:space="preserve">Like other tariffs, Greater Western Water considered the </w:t>
      </w:r>
      <w:r w:rsidR="00706858" w:rsidRPr="00385D80">
        <w:t xml:space="preserve">different </w:t>
      </w:r>
      <w:r w:rsidR="0053171C" w:rsidRPr="00385D80">
        <w:t xml:space="preserve">charging </w:t>
      </w:r>
      <w:r w:rsidR="00650F6B" w:rsidRPr="00385D80">
        <w:t>arrang</w:t>
      </w:r>
      <w:r w:rsidR="0029275C" w:rsidRPr="00385D80">
        <w:t>e</w:t>
      </w:r>
      <w:r w:rsidR="00650F6B" w:rsidRPr="00385D80">
        <w:t>ments for new customer contributions</w:t>
      </w:r>
      <w:r w:rsidR="0053171C" w:rsidRPr="00385D80">
        <w:t xml:space="preserve"> </w:t>
      </w:r>
      <w:r w:rsidR="00706858" w:rsidRPr="00385D80">
        <w:t xml:space="preserve">in </w:t>
      </w:r>
      <w:r w:rsidR="00491717" w:rsidRPr="00385D80">
        <w:t>the former City West Water (central) and Western Water (</w:t>
      </w:r>
      <w:r w:rsidR="009D5606">
        <w:t>w</w:t>
      </w:r>
      <w:r w:rsidR="00491717" w:rsidRPr="00385D80">
        <w:t xml:space="preserve">estern) regions. </w:t>
      </w:r>
      <w:r w:rsidR="0029275C" w:rsidRPr="00385D80">
        <w:t xml:space="preserve">New customer contributions in the central region </w:t>
      </w:r>
      <w:r w:rsidR="00E83843" w:rsidRPr="00385D80">
        <w:t xml:space="preserve">comprise a standard water charge and a standard sewer charge with a dedicated recycled water charge applying in the Greek Hill and West Werribee recycled water zones. In the western region, charges are </w:t>
      </w:r>
      <w:r w:rsidR="004B5990" w:rsidRPr="00385D80">
        <w:t xml:space="preserve">either </w:t>
      </w:r>
      <w:r w:rsidR="00E83843" w:rsidRPr="00385D80">
        <w:t xml:space="preserve">infill </w:t>
      </w:r>
      <w:r w:rsidR="004B5990" w:rsidRPr="00385D80">
        <w:t xml:space="preserve">or </w:t>
      </w:r>
      <w:r w:rsidR="00E83843" w:rsidRPr="00385D80">
        <w:t>greenfield</w:t>
      </w:r>
      <w:r w:rsidR="00A06DE3" w:rsidRPr="00385D80">
        <w:t xml:space="preserve">, </w:t>
      </w:r>
      <w:r w:rsidR="00922D4E" w:rsidRPr="00385D80">
        <w:t>with a per lot connection charge that is fully inclusive of water, recycled water</w:t>
      </w:r>
      <w:r w:rsidR="0057711C" w:rsidRPr="00385D80">
        <w:t>,</w:t>
      </w:r>
      <w:r w:rsidR="00922D4E" w:rsidRPr="00385D80">
        <w:t xml:space="preserve"> and sewer connections</w:t>
      </w:r>
      <w:r w:rsidR="004B5990" w:rsidRPr="00385D80">
        <w:t>.</w:t>
      </w:r>
    </w:p>
    <w:p w14:paraId="62F8D8F3" w14:textId="1D7C5CB1" w:rsidR="002362C5" w:rsidRPr="00385D80" w:rsidRDefault="002362C5" w:rsidP="002E3CD9">
      <w:r w:rsidRPr="00385D80">
        <w:t>Greater Wester</w:t>
      </w:r>
      <w:r w:rsidR="00955082">
        <w:t>n</w:t>
      </w:r>
      <w:r w:rsidRPr="00385D80">
        <w:t xml:space="preserve"> Water proposed to: </w:t>
      </w:r>
    </w:p>
    <w:p w14:paraId="7FA7CDCC" w14:textId="1D247F08" w:rsidR="002362C5" w:rsidRPr="00385D80" w:rsidRDefault="002362C5" w:rsidP="00ED1290">
      <w:pPr>
        <w:pStyle w:val="ListBullet"/>
      </w:pPr>
      <w:r w:rsidRPr="00385D80">
        <w:t>align the standard/infill new customer contributions between its central and western regions (now called standard new customer contributions)</w:t>
      </w:r>
      <w:r w:rsidRPr="00385D80">
        <w:rPr>
          <w:rStyle w:val="FootnoteReference"/>
        </w:rPr>
        <w:footnoteReference w:id="104"/>
      </w:r>
    </w:p>
    <w:p w14:paraId="638EFE0C" w14:textId="77777777" w:rsidR="002362C5" w:rsidRPr="00385D80" w:rsidRDefault="002362C5" w:rsidP="00ED1290">
      <w:pPr>
        <w:pStyle w:val="ListBullet"/>
      </w:pPr>
      <w:r w:rsidRPr="00385D80">
        <w:t>maintain the greenfield new customer contributions in its western region</w:t>
      </w:r>
      <w:r w:rsidRPr="00385D80">
        <w:rPr>
          <w:rStyle w:val="FootnoteReference"/>
        </w:rPr>
        <w:footnoteReference w:id="105"/>
      </w:r>
      <w:r w:rsidRPr="00385D80">
        <w:t xml:space="preserve"> </w:t>
      </w:r>
    </w:p>
    <w:p w14:paraId="7FB504C5" w14:textId="77777777" w:rsidR="002362C5" w:rsidRPr="00385D80" w:rsidRDefault="002362C5" w:rsidP="00ED1290">
      <w:pPr>
        <w:pStyle w:val="ListBullet"/>
      </w:pPr>
      <w:r w:rsidRPr="00385D80">
        <w:t xml:space="preserve">continue to charge recycled water new customer contributions for West Werribee and Greek Hill </w:t>
      </w:r>
      <w:proofErr w:type="gramStart"/>
      <w:r w:rsidRPr="00385D80">
        <w:t>areas</w:t>
      </w:r>
      <w:proofErr w:type="gramEnd"/>
    </w:p>
    <w:p w14:paraId="5E8507C7" w14:textId="3245D5E1" w:rsidR="002362C5" w:rsidRPr="00385D80" w:rsidRDefault="002362C5" w:rsidP="00ED1290">
      <w:pPr>
        <w:pStyle w:val="ListBullet"/>
      </w:pPr>
      <w:r w:rsidRPr="00385D80">
        <w:t>increase new customer contributions in 2024</w:t>
      </w:r>
      <w:r w:rsidRPr="00385D80">
        <w:noBreakHyphen/>
        <w:t>25 by 5 to 1</w:t>
      </w:r>
      <w:r w:rsidR="00241747">
        <w:t>0</w:t>
      </w:r>
      <w:r w:rsidR="008D2B67">
        <w:t> </w:t>
      </w:r>
      <w:r w:rsidRPr="00385D80">
        <w:t>per cent, except for infill new customer contributions for its western region which it proposed to decrease by 42</w:t>
      </w:r>
      <w:r w:rsidR="008D2B67">
        <w:t> </w:t>
      </w:r>
      <w:r w:rsidRPr="00385D80">
        <w:t>per cent</w:t>
      </w:r>
      <w:r w:rsidRPr="00385D80">
        <w:rPr>
          <w:rStyle w:val="FootnoteReference"/>
        </w:rPr>
        <w:footnoteReference w:id="106"/>
      </w:r>
      <w:r w:rsidRPr="00385D80">
        <w:t xml:space="preserve"> </w:t>
      </w:r>
    </w:p>
    <w:p w14:paraId="30885435" w14:textId="77777777" w:rsidR="002362C5" w:rsidRPr="00385D80" w:rsidRDefault="002362C5" w:rsidP="00ED1290">
      <w:pPr>
        <w:pStyle w:val="ListBullet"/>
      </w:pPr>
      <w:r w:rsidRPr="00385D80">
        <w:t>cap the increase in new customer contributions to five per cent annually in real terms from 2025</w:t>
      </w:r>
      <w:r w:rsidRPr="00385D80">
        <w:noBreakHyphen/>
        <w:t>26 to 2027</w:t>
      </w:r>
      <w:r w:rsidRPr="00385D80">
        <w:noBreakHyphen/>
        <w:t xml:space="preserve">28. </w:t>
      </w:r>
    </w:p>
    <w:p w14:paraId="791332D8" w14:textId="77777777" w:rsidR="002362C5" w:rsidRPr="00D52783" w:rsidRDefault="002362C5" w:rsidP="002362C5">
      <w:r w:rsidRPr="00D52783">
        <w:t xml:space="preserve">Greater Western Water outlined in its price submission that its proposed approach is based on: </w:t>
      </w:r>
    </w:p>
    <w:p w14:paraId="70926E25" w14:textId="77777777" w:rsidR="002362C5" w:rsidRPr="00D52783" w:rsidRDefault="002362C5" w:rsidP="00ED1290">
      <w:pPr>
        <w:pStyle w:val="ListBullet"/>
      </w:pPr>
      <w:r w:rsidRPr="00D52783">
        <w:t>maintaining affordability for new connections</w:t>
      </w:r>
    </w:p>
    <w:p w14:paraId="3C986E03" w14:textId="77777777" w:rsidR="002362C5" w:rsidRPr="00D52783" w:rsidRDefault="002362C5" w:rsidP="00ED1290">
      <w:pPr>
        <w:pStyle w:val="ListBullet"/>
      </w:pPr>
      <w:r w:rsidRPr="00D52783">
        <w:t>developer support for the approach, consistent with the outcomes of its engagement with developers</w:t>
      </w:r>
    </w:p>
    <w:p w14:paraId="3EC14A92" w14:textId="77777777" w:rsidR="002362C5" w:rsidRPr="00D52783" w:rsidRDefault="002362C5" w:rsidP="00ED1290">
      <w:pPr>
        <w:pStyle w:val="ListBullet"/>
      </w:pPr>
      <w:r w:rsidRPr="00D52783">
        <w:t>potential changes to the commission’s new customer contributions framework following a planned review from 2024</w:t>
      </w:r>
      <w:r w:rsidRPr="00D52783">
        <w:noBreakHyphen/>
      </w:r>
      <w:proofErr w:type="gramStart"/>
      <w:r w:rsidRPr="00D52783">
        <w:t>25</w:t>
      </w:r>
      <w:proofErr w:type="gramEnd"/>
    </w:p>
    <w:p w14:paraId="1856A8F2" w14:textId="274A0668" w:rsidR="002362C5" w:rsidRPr="00D52783" w:rsidRDefault="002362C5" w:rsidP="00ED1290">
      <w:pPr>
        <w:pStyle w:val="ListBullet"/>
      </w:pPr>
      <w:r w:rsidRPr="00D52783">
        <w:t xml:space="preserve">consistency with Yarra Valley Water’s and </w:t>
      </w:r>
      <w:proofErr w:type="gramStart"/>
      <w:r w:rsidRPr="00D52783">
        <w:t>South East</w:t>
      </w:r>
      <w:proofErr w:type="gramEnd"/>
      <w:r w:rsidRPr="00D52783">
        <w:t xml:space="preserve"> Water’s proposed price paths for new customer contributions during the</w:t>
      </w:r>
      <w:r w:rsidR="00091CBC" w:rsidRPr="00D52783">
        <w:t>ir</w:t>
      </w:r>
      <w:r w:rsidRPr="00D52783">
        <w:t xml:space="preserve"> </w:t>
      </w:r>
      <w:r w:rsidR="001A2955" w:rsidRPr="00D52783">
        <w:t>202</w:t>
      </w:r>
      <w:r w:rsidR="00004406" w:rsidRPr="00D52783">
        <w:t>3</w:t>
      </w:r>
      <w:r w:rsidRPr="00D52783">
        <w:t>–28 regulatory period.</w:t>
      </w:r>
    </w:p>
    <w:p w14:paraId="17AF4259" w14:textId="72597BB0" w:rsidR="006F1BB0" w:rsidRPr="003D14C0" w:rsidRDefault="006F1BB0" w:rsidP="00DF0CE6">
      <w:r w:rsidRPr="003D14C0">
        <w:lastRenderedPageBreak/>
        <w:t>Table</w:t>
      </w:r>
      <w:r>
        <w:t> 5</w:t>
      </w:r>
      <w:r w:rsidRPr="003D14C0">
        <w:t>.</w:t>
      </w:r>
      <w:r>
        <w:t>1</w:t>
      </w:r>
      <w:r w:rsidRPr="003D14C0">
        <w:t xml:space="preserve"> compares Greater Western Water’s proposed new customer contributions with its calculated </w:t>
      </w:r>
      <w:r w:rsidR="00077E4A">
        <w:t xml:space="preserve">(modelled) </w:t>
      </w:r>
      <w:r w:rsidRPr="003D14C0">
        <w:t>charge for 2024</w:t>
      </w:r>
      <w:r>
        <w:noBreakHyphen/>
      </w:r>
      <w:r w:rsidRPr="003D14C0">
        <w:t>25.</w:t>
      </w:r>
      <w:r w:rsidRPr="002515CA">
        <w:rPr>
          <w:rStyle w:val="FootnoteReference"/>
        </w:rPr>
        <w:footnoteReference w:id="107"/>
      </w:r>
    </w:p>
    <w:p w14:paraId="0B79EBCE" w14:textId="1C782F95" w:rsidR="006F1BB0" w:rsidRPr="003D14C0" w:rsidRDefault="006F1BB0" w:rsidP="00DF0CE6">
      <w:pPr>
        <w:pStyle w:val="Heading3numbered"/>
        <w:rPr>
          <w:lang w:val="en-US"/>
        </w:rPr>
      </w:pPr>
      <w:r w:rsidRPr="003D14C0">
        <w:rPr>
          <w:lang w:val="en-US"/>
        </w:rPr>
        <w:t xml:space="preserve">Table </w:t>
      </w:r>
      <w:r>
        <w:rPr>
          <w:lang w:val="en-US"/>
        </w:rPr>
        <w:t>5.1</w:t>
      </w:r>
      <w:r w:rsidRPr="003D14C0">
        <w:rPr>
          <w:lang w:val="en-US"/>
        </w:rPr>
        <w:tab/>
      </w:r>
      <w:r>
        <w:rPr>
          <w:lang w:val="en-US"/>
        </w:rPr>
        <w:t>Current, p</w:t>
      </w:r>
      <w:r w:rsidRPr="003D14C0">
        <w:rPr>
          <w:lang w:val="en-US"/>
        </w:rPr>
        <w:t xml:space="preserve">roposed and modelled new customer contributions, </w:t>
      </w:r>
      <w:r>
        <w:rPr>
          <w:lang w:val="en-US"/>
        </w:rPr>
        <w:t>2023</w:t>
      </w:r>
      <w:r w:rsidR="00107CF3">
        <w:rPr>
          <w:lang w:val="en-US"/>
        </w:rPr>
        <w:noBreakHyphen/>
      </w:r>
      <w:r>
        <w:rPr>
          <w:lang w:val="en-US"/>
        </w:rPr>
        <w:t xml:space="preserve">24 to </w:t>
      </w:r>
      <w:r w:rsidRPr="003D14C0">
        <w:rPr>
          <w:lang w:val="en-US"/>
        </w:rPr>
        <w:t>2024</w:t>
      </w:r>
      <w:r>
        <w:rPr>
          <w:lang w:val="en-US"/>
        </w:rPr>
        <w:noBreakHyphen/>
      </w:r>
      <w:r w:rsidRPr="003D14C0">
        <w:rPr>
          <w:lang w:val="en-US"/>
        </w:rPr>
        <w:t>25</w:t>
      </w:r>
      <w:r w:rsidR="001E2964">
        <w:rPr>
          <w:lang w:val="en-US"/>
        </w:rPr>
        <w:t xml:space="preserve"> (</w:t>
      </w:r>
      <w:r w:rsidRPr="003D14C0">
        <w:rPr>
          <w:lang w:val="en-US"/>
        </w:rPr>
        <w:t>$2023</w:t>
      </w:r>
      <w:r>
        <w:rPr>
          <w:lang w:val="en-US"/>
        </w:rPr>
        <w:noBreakHyphen/>
      </w:r>
      <w:r w:rsidRPr="003D14C0">
        <w:rPr>
          <w:lang w:val="en-US"/>
        </w:rPr>
        <w:t>24</w:t>
      </w:r>
      <w:r w:rsidR="001E2964">
        <w:rPr>
          <w:lang w:val="en-US"/>
        </w:rPr>
        <w:t>)</w:t>
      </w:r>
      <w:r w:rsidRPr="003D14C0">
        <w:rPr>
          <w:lang w:val="en-US"/>
        </w:rPr>
        <w:tab/>
        <w:t xml:space="preserve"> </w:t>
      </w:r>
    </w:p>
    <w:tbl>
      <w:tblPr>
        <w:tblStyle w:val="TableGrid"/>
        <w:tblW w:w="0" w:type="auto"/>
        <w:tblLook w:val="04A0" w:firstRow="1" w:lastRow="0" w:firstColumn="1" w:lastColumn="0" w:noHBand="0" w:noVBand="1"/>
      </w:tblPr>
      <w:tblGrid>
        <w:gridCol w:w="2070"/>
        <w:gridCol w:w="1984"/>
        <w:gridCol w:w="1316"/>
        <w:gridCol w:w="1276"/>
        <w:gridCol w:w="1275"/>
        <w:gridCol w:w="1207"/>
      </w:tblGrid>
      <w:tr w:rsidR="006F1BB0" w:rsidRPr="003D14C0" w14:paraId="7242E258" w14:textId="77777777">
        <w:trPr>
          <w:cnfStyle w:val="100000000000" w:firstRow="1" w:lastRow="0" w:firstColumn="0" w:lastColumn="0" w:oddVBand="0" w:evenVBand="0" w:oddHBand="0" w:evenHBand="0" w:firstRowFirstColumn="0" w:firstRowLastColumn="0" w:lastRowFirstColumn="0" w:lastRowLastColumn="0"/>
        </w:trPr>
        <w:tc>
          <w:tcPr>
            <w:tcW w:w="2070" w:type="dxa"/>
          </w:tcPr>
          <w:p w14:paraId="5F57FBA6" w14:textId="77777777" w:rsidR="006F1BB0" w:rsidRPr="003D14C0" w:rsidRDefault="006F1BB0">
            <w:pPr>
              <w:keepNext/>
              <w:spacing w:before="0" w:line="240" w:lineRule="auto"/>
              <w:rPr>
                <w:lang w:val="en-US"/>
              </w:rPr>
            </w:pPr>
            <w:r>
              <w:rPr>
                <w:lang w:val="en-US"/>
              </w:rPr>
              <w:t>Current structure</w:t>
            </w:r>
          </w:p>
        </w:tc>
        <w:tc>
          <w:tcPr>
            <w:tcW w:w="1984" w:type="dxa"/>
          </w:tcPr>
          <w:p w14:paraId="4D5E09E3" w14:textId="77777777" w:rsidR="006F1BB0" w:rsidRPr="003D14C0" w:rsidRDefault="006F1BB0">
            <w:pPr>
              <w:keepNext/>
              <w:spacing w:before="0" w:line="240" w:lineRule="auto"/>
              <w:rPr>
                <w:lang w:val="en-US"/>
              </w:rPr>
            </w:pPr>
            <w:r>
              <w:rPr>
                <w:lang w:val="en-US"/>
              </w:rPr>
              <w:t xml:space="preserve">New structure </w:t>
            </w:r>
          </w:p>
        </w:tc>
        <w:tc>
          <w:tcPr>
            <w:tcW w:w="1316" w:type="dxa"/>
          </w:tcPr>
          <w:p w14:paraId="2BAE2999" w14:textId="77777777" w:rsidR="006F1BB0" w:rsidRDefault="006F1BB0">
            <w:pPr>
              <w:keepNext/>
              <w:spacing w:before="0" w:line="240" w:lineRule="auto"/>
              <w:rPr>
                <w:lang w:val="en-US"/>
              </w:rPr>
            </w:pPr>
            <w:r>
              <w:rPr>
                <w:lang w:val="en-US"/>
              </w:rPr>
              <w:t>Service connection</w:t>
            </w:r>
          </w:p>
        </w:tc>
        <w:tc>
          <w:tcPr>
            <w:tcW w:w="1276" w:type="dxa"/>
          </w:tcPr>
          <w:p w14:paraId="537EAE25" w14:textId="77777777" w:rsidR="006F1BB0" w:rsidRDefault="006F1BB0">
            <w:pPr>
              <w:keepNext/>
              <w:spacing w:before="0" w:line="240" w:lineRule="auto"/>
              <w:jc w:val="center"/>
              <w:rPr>
                <w:b w:val="0"/>
                <w:lang w:val="en-US"/>
              </w:rPr>
            </w:pPr>
            <w:r>
              <w:rPr>
                <w:lang w:val="en-US"/>
              </w:rPr>
              <w:t>Current</w:t>
            </w:r>
          </w:p>
          <w:p w14:paraId="3DEB99EF" w14:textId="77777777" w:rsidR="006F1BB0" w:rsidRPr="003D14C0" w:rsidRDefault="006F1BB0">
            <w:pPr>
              <w:keepNext/>
              <w:spacing w:before="0" w:line="240" w:lineRule="auto"/>
              <w:jc w:val="center"/>
              <w:rPr>
                <w:lang w:val="en-US"/>
              </w:rPr>
            </w:pPr>
            <w:r>
              <w:rPr>
                <w:lang w:val="en-US"/>
              </w:rPr>
              <w:t>2023-24</w:t>
            </w:r>
          </w:p>
        </w:tc>
        <w:tc>
          <w:tcPr>
            <w:tcW w:w="1275" w:type="dxa"/>
          </w:tcPr>
          <w:p w14:paraId="127D2D29" w14:textId="77777777" w:rsidR="006F1BB0" w:rsidRDefault="006F1BB0">
            <w:pPr>
              <w:keepNext/>
              <w:spacing w:before="0" w:line="240" w:lineRule="auto"/>
              <w:jc w:val="center"/>
              <w:rPr>
                <w:b w:val="0"/>
                <w:lang w:val="en-US"/>
              </w:rPr>
            </w:pPr>
            <w:r w:rsidRPr="003D14C0">
              <w:rPr>
                <w:lang w:val="en-US"/>
              </w:rPr>
              <w:t>Proposed</w:t>
            </w:r>
          </w:p>
          <w:p w14:paraId="673A2E5F" w14:textId="77777777" w:rsidR="006F1BB0" w:rsidRPr="003D14C0" w:rsidRDefault="006F1BB0">
            <w:pPr>
              <w:keepNext/>
              <w:spacing w:before="0" w:line="240" w:lineRule="auto"/>
              <w:jc w:val="center"/>
              <w:rPr>
                <w:lang w:val="en-US"/>
              </w:rPr>
            </w:pPr>
            <w:r>
              <w:rPr>
                <w:lang w:val="en-US"/>
              </w:rPr>
              <w:t>2024-25</w:t>
            </w:r>
          </w:p>
        </w:tc>
        <w:tc>
          <w:tcPr>
            <w:tcW w:w="1207" w:type="dxa"/>
          </w:tcPr>
          <w:p w14:paraId="3E11E05B" w14:textId="77777777" w:rsidR="006F1BB0" w:rsidRDefault="006F1BB0">
            <w:pPr>
              <w:keepNext/>
              <w:spacing w:before="0" w:line="240" w:lineRule="auto"/>
              <w:jc w:val="center"/>
              <w:rPr>
                <w:b w:val="0"/>
                <w:lang w:val="en-US"/>
              </w:rPr>
            </w:pPr>
            <w:r w:rsidRPr="003D14C0">
              <w:rPr>
                <w:lang w:val="en-US"/>
              </w:rPr>
              <w:t>Modelled</w:t>
            </w:r>
          </w:p>
          <w:p w14:paraId="4ED8E7D6" w14:textId="77777777" w:rsidR="006F1BB0" w:rsidRPr="003D14C0" w:rsidRDefault="006F1BB0">
            <w:pPr>
              <w:keepNext/>
              <w:spacing w:before="0" w:line="240" w:lineRule="auto"/>
              <w:jc w:val="center"/>
              <w:rPr>
                <w:lang w:val="en-US"/>
              </w:rPr>
            </w:pPr>
            <w:r>
              <w:rPr>
                <w:lang w:val="en-US"/>
              </w:rPr>
              <w:t>2024-25</w:t>
            </w:r>
          </w:p>
        </w:tc>
      </w:tr>
      <w:tr w:rsidR="006F1BB0" w:rsidRPr="003D14C0" w14:paraId="52271276" w14:textId="77777777">
        <w:trPr>
          <w:cnfStyle w:val="000000100000" w:firstRow="0" w:lastRow="0" w:firstColumn="0" w:lastColumn="0" w:oddVBand="0" w:evenVBand="0" w:oddHBand="1" w:evenHBand="0" w:firstRowFirstColumn="0" w:firstRowLastColumn="0" w:lastRowFirstColumn="0" w:lastRowLastColumn="0"/>
        </w:trPr>
        <w:tc>
          <w:tcPr>
            <w:tcW w:w="2070" w:type="dxa"/>
          </w:tcPr>
          <w:p w14:paraId="0AF22F80" w14:textId="77777777" w:rsidR="006F1BB0" w:rsidRPr="00CF1412" w:rsidRDefault="006F1BB0">
            <w:pPr>
              <w:keepNext/>
              <w:spacing w:before="0" w:line="240" w:lineRule="auto"/>
              <w:rPr>
                <w:lang w:val="en-US"/>
              </w:rPr>
            </w:pPr>
            <w:r w:rsidRPr="00CF1412">
              <w:rPr>
                <w:lang w:val="en-US"/>
              </w:rPr>
              <w:t>City West Water Standard</w:t>
            </w:r>
          </w:p>
        </w:tc>
        <w:tc>
          <w:tcPr>
            <w:tcW w:w="1984" w:type="dxa"/>
          </w:tcPr>
          <w:p w14:paraId="0814F9C6" w14:textId="77777777" w:rsidR="006F1BB0" w:rsidRPr="00CF1412" w:rsidRDefault="006F1BB0">
            <w:pPr>
              <w:keepNext/>
              <w:spacing w:before="0" w:line="240" w:lineRule="auto"/>
              <w:rPr>
                <w:lang w:val="en-US"/>
              </w:rPr>
            </w:pPr>
            <w:r w:rsidRPr="00CF1412">
              <w:rPr>
                <w:lang w:val="en-US"/>
              </w:rPr>
              <w:t>Greater Western Water Standard</w:t>
            </w:r>
          </w:p>
        </w:tc>
        <w:tc>
          <w:tcPr>
            <w:tcW w:w="1316" w:type="dxa"/>
          </w:tcPr>
          <w:p w14:paraId="27BEE438" w14:textId="77777777" w:rsidR="006F1BB0" w:rsidRPr="00CF1412" w:rsidRDefault="006F1BB0">
            <w:pPr>
              <w:keepNext/>
              <w:spacing w:before="0" w:line="240" w:lineRule="auto"/>
              <w:rPr>
                <w:lang w:val="en-US"/>
              </w:rPr>
            </w:pPr>
            <w:r>
              <w:rPr>
                <w:lang w:val="en-US"/>
              </w:rPr>
              <w:t>W</w:t>
            </w:r>
            <w:r w:rsidRPr="003D14C0">
              <w:rPr>
                <w:lang w:val="en-US"/>
              </w:rPr>
              <w:t>ater</w:t>
            </w:r>
          </w:p>
        </w:tc>
        <w:tc>
          <w:tcPr>
            <w:tcW w:w="1276" w:type="dxa"/>
          </w:tcPr>
          <w:p w14:paraId="6145F02A" w14:textId="77777777" w:rsidR="006F1BB0" w:rsidRPr="00E870B9" w:rsidRDefault="006F1BB0">
            <w:pPr>
              <w:keepNext/>
              <w:spacing w:before="0" w:line="240" w:lineRule="auto"/>
              <w:jc w:val="right"/>
              <w:rPr>
                <w:bCs/>
                <w:lang w:val="en-US"/>
              </w:rPr>
            </w:pPr>
            <w:r w:rsidRPr="00E870B9">
              <w:rPr>
                <w:bCs/>
                <w:lang w:val="en-US"/>
              </w:rPr>
              <w:t>8</w:t>
            </w:r>
            <w:r>
              <w:rPr>
                <w:bCs/>
                <w:lang w:val="en-US"/>
              </w:rPr>
              <w:t>30</w:t>
            </w:r>
          </w:p>
        </w:tc>
        <w:tc>
          <w:tcPr>
            <w:tcW w:w="1275" w:type="dxa"/>
          </w:tcPr>
          <w:p w14:paraId="531B6176" w14:textId="77777777" w:rsidR="006F1BB0" w:rsidRPr="00CF1412" w:rsidRDefault="006F1BB0">
            <w:pPr>
              <w:keepNext/>
              <w:spacing w:before="0" w:line="240" w:lineRule="auto"/>
              <w:jc w:val="right"/>
              <w:rPr>
                <w:lang w:val="en-US"/>
              </w:rPr>
            </w:pPr>
            <w:r w:rsidRPr="003D14C0">
              <w:rPr>
                <w:lang w:val="en-US"/>
              </w:rPr>
              <w:t>915</w:t>
            </w:r>
          </w:p>
        </w:tc>
        <w:tc>
          <w:tcPr>
            <w:tcW w:w="1207" w:type="dxa"/>
          </w:tcPr>
          <w:p w14:paraId="5C76BC6A" w14:textId="77777777" w:rsidR="006F1BB0" w:rsidRPr="00CF1412" w:rsidRDefault="006F1BB0">
            <w:pPr>
              <w:keepNext/>
              <w:spacing w:before="0" w:line="240" w:lineRule="auto"/>
              <w:jc w:val="right"/>
              <w:rPr>
                <w:lang w:val="en-US"/>
              </w:rPr>
            </w:pPr>
            <w:r w:rsidRPr="003D14C0">
              <w:rPr>
                <w:lang w:val="en-US"/>
              </w:rPr>
              <w:t>922</w:t>
            </w:r>
          </w:p>
        </w:tc>
      </w:tr>
      <w:tr w:rsidR="006F1BB0" w:rsidRPr="003D14C0" w14:paraId="257E6433" w14:textId="77777777">
        <w:trPr>
          <w:cnfStyle w:val="000000010000" w:firstRow="0" w:lastRow="0" w:firstColumn="0" w:lastColumn="0" w:oddVBand="0" w:evenVBand="0" w:oddHBand="0" w:evenHBand="1" w:firstRowFirstColumn="0" w:firstRowLastColumn="0" w:lastRowFirstColumn="0" w:lastRowLastColumn="0"/>
        </w:trPr>
        <w:tc>
          <w:tcPr>
            <w:tcW w:w="2070" w:type="dxa"/>
          </w:tcPr>
          <w:p w14:paraId="3FFC1E8C" w14:textId="77777777" w:rsidR="006F1BB0" w:rsidRPr="003D14C0" w:rsidRDefault="006F1BB0">
            <w:pPr>
              <w:keepNext/>
              <w:spacing w:before="0" w:line="240" w:lineRule="auto"/>
              <w:rPr>
                <w:lang w:val="en-US"/>
              </w:rPr>
            </w:pPr>
          </w:p>
        </w:tc>
        <w:tc>
          <w:tcPr>
            <w:tcW w:w="1984" w:type="dxa"/>
          </w:tcPr>
          <w:p w14:paraId="462CA6FE" w14:textId="77777777" w:rsidR="006F1BB0" w:rsidRPr="003D14C0" w:rsidRDefault="006F1BB0">
            <w:pPr>
              <w:keepNext/>
              <w:spacing w:before="0" w:line="240" w:lineRule="auto"/>
              <w:rPr>
                <w:lang w:val="en-US"/>
              </w:rPr>
            </w:pPr>
          </w:p>
        </w:tc>
        <w:tc>
          <w:tcPr>
            <w:tcW w:w="1316" w:type="dxa"/>
          </w:tcPr>
          <w:p w14:paraId="3A0F38B6" w14:textId="77777777" w:rsidR="006F1BB0" w:rsidRPr="003D14C0" w:rsidRDefault="006F1BB0">
            <w:pPr>
              <w:keepNext/>
              <w:spacing w:before="0" w:line="240" w:lineRule="auto"/>
              <w:rPr>
                <w:lang w:val="en-US"/>
              </w:rPr>
            </w:pPr>
            <w:r>
              <w:rPr>
                <w:lang w:val="en-US"/>
              </w:rPr>
              <w:t>S</w:t>
            </w:r>
            <w:r w:rsidRPr="003D14C0">
              <w:rPr>
                <w:lang w:val="en-US"/>
              </w:rPr>
              <w:t>ewer</w:t>
            </w:r>
          </w:p>
        </w:tc>
        <w:tc>
          <w:tcPr>
            <w:tcW w:w="1276" w:type="dxa"/>
          </w:tcPr>
          <w:p w14:paraId="74FF812B" w14:textId="77777777" w:rsidR="006F1BB0" w:rsidRPr="003D14C0" w:rsidRDefault="006F1BB0">
            <w:pPr>
              <w:keepNext/>
              <w:spacing w:before="0" w:line="240" w:lineRule="auto"/>
              <w:jc w:val="right"/>
              <w:rPr>
                <w:lang w:val="en-US"/>
              </w:rPr>
            </w:pPr>
            <w:r>
              <w:rPr>
                <w:lang w:val="en-US"/>
              </w:rPr>
              <w:t>830</w:t>
            </w:r>
          </w:p>
        </w:tc>
        <w:tc>
          <w:tcPr>
            <w:tcW w:w="1275" w:type="dxa"/>
          </w:tcPr>
          <w:p w14:paraId="090B53C6" w14:textId="77777777" w:rsidR="006F1BB0" w:rsidRPr="003D14C0" w:rsidRDefault="006F1BB0">
            <w:pPr>
              <w:keepNext/>
              <w:spacing w:before="0" w:line="240" w:lineRule="auto"/>
              <w:jc w:val="right"/>
              <w:rPr>
                <w:lang w:val="en-US"/>
              </w:rPr>
            </w:pPr>
            <w:r w:rsidRPr="003D14C0">
              <w:rPr>
                <w:lang w:val="en-US"/>
              </w:rPr>
              <w:t>915</w:t>
            </w:r>
          </w:p>
        </w:tc>
        <w:tc>
          <w:tcPr>
            <w:tcW w:w="1207" w:type="dxa"/>
          </w:tcPr>
          <w:p w14:paraId="12997DDE" w14:textId="77777777" w:rsidR="006F1BB0" w:rsidRPr="003D14C0" w:rsidRDefault="006F1BB0">
            <w:pPr>
              <w:keepNext/>
              <w:spacing w:before="0" w:line="240" w:lineRule="auto"/>
              <w:jc w:val="right"/>
              <w:rPr>
                <w:lang w:val="en-US"/>
              </w:rPr>
            </w:pPr>
            <w:r w:rsidRPr="003D14C0">
              <w:rPr>
                <w:lang w:val="en-US"/>
              </w:rPr>
              <w:t>2,863</w:t>
            </w:r>
          </w:p>
        </w:tc>
      </w:tr>
      <w:tr w:rsidR="006F1BB0" w:rsidRPr="00CF1412" w14:paraId="300B659E" w14:textId="77777777">
        <w:trPr>
          <w:cnfStyle w:val="000000100000" w:firstRow="0" w:lastRow="0" w:firstColumn="0" w:lastColumn="0" w:oddVBand="0" w:evenVBand="0" w:oddHBand="1" w:evenHBand="0" w:firstRowFirstColumn="0" w:firstRowLastColumn="0" w:lastRowFirstColumn="0" w:lastRowLastColumn="0"/>
        </w:trPr>
        <w:tc>
          <w:tcPr>
            <w:tcW w:w="2070" w:type="dxa"/>
          </w:tcPr>
          <w:p w14:paraId="7CD6B4FE" w14:textId="77777777" w:rsidR="006F1BB0" w:rsidRPr="00CF1412" w:rsidRDefault="006F1BB0">
            <w:pPr>
              <w:keepNext/>
              <w:spacing w:before="0" w:line="240" w:lineRule="auto"/>
              <w:rPr>
                <w:b/>
                <w:lang w:val="en-US"/>
              </w:rPr>
            </w:pPr>
          </w:p>
        </w:tc>
        <w:tc>
          <w:tcPr>
            <w:tcW w:w="1984" w:type="dxa"/>
          </w:tcPr>
          <w:p w14:paraId="53EA6484" w14:textId="77777777" w:rsidR="006F1BB0" w:rsidRPr="00CF1412" w:rsidRDefault="006F1BB0">
            <w:pPr>
              <w:keepNext/>
              <w:spacing w:before="0" w:line="240" w:lineRule="auto"/>
              <w:rPr>
                <w:b/>
                <w:lang w:val="en-US"/>
              </w:rPr>
            </w:pPr>
          </w:p>
        </w:tc>
        <w:tc>
          <w:tcPr>
            <w:tcW w:w="1316" w:type="dxa"/>
          </w:tcPr>
          <w:p w14:paraId="621EF9B0" w14:textId="5DBDCF63" w:rsidR="006F1BB0" w:rsidRPr="00CF1412" w:rsidRDefault="006F1BB0">
            <w:pPr>
              <w:keepNext/>
              <w:spacing w:before="0" w:line="240" w:lineRule="auto"/>
              <w:rPr>
                <w:b/>
                <w:lang w:val="en-US"/>
              </w:rPr>
            </w:pPr>
            <w:r>
              <w:rPr>
                <w:b/>
                <w:lang w:val="en-US"/>
              </w:rPr>
              <w:t>T</w:t>
            </w:r>
            <w:r w:rsidRPr="003D14C0">
              <w:rPr>
                <w:b/>
                <w:lang w:val="en-US"/>
              </w:rPr>
              <w:t>otal</w:t>
            </w:r>
          </w:p>
        </w:tc>
        <w:tc>
          <w:tcPr>
            <w:tcW w:w="1276" w:type="dxa"/>
          </w:tcPr>
          <w:p w14:paraId="595DB7B1" w14:textId="77777777" w:rsidR="006F1BB0" w:rsidRPr="00E870B9" w:rsidRDefault="006F1BB0">
            <w:pPr>
              <w:keepNext/>
              <w:spacing w:before="0" w:line="240" w:lineRule="auto"/>
              <w:jc w:val="right"/>
              <w:rPr>
                <w:b/>
                <w:bCs/>
                <w:lang w:val="en-US"/>
              </w:rPr>
            </w:pPr>
            <w:r w:rsidRPr="00E870B9">
              <w:rPr>
                <w:b/>
                <w:bCs/>
                <w:lang w:val="en-US"/>
              </w:rPr>
              <w:t>1,659</w:t>
            </w:r>
          </w:p>
        </w:tc>
        <w:tc>
          <w:tcPr>
            <w:tcW w:w="1275" w:type="dxa"/>
          </w:tcPr>
          <w:p w14:paraId="7B5CEA92" w14:textId="77777777" w:rsidR="006F1BB0" w:rsidRPr="00CF1412" w:rsidRDefault="006F1BB0">
            <w:pPr>
              <w:keepNext/>
              <w:spacing w:before="0" w:line="240" w:lineRule="auto"/>
              <w:jc w:val="right"/>
              <w:rPr>
                <w:b/>
                <w:lang w:val="en-US"/>
              </w:rPr>
            </w:pPr>
            <w:r w:rsidRPr="003D14C0">
              <w:rPr>
                <w:b/>
                <w:lang w:val="en-US"/>
              </w:rPr>
              <w:t>1,830</w:t>
            </w:r>
          </w:p>
        </w:tc>
        <w:tc>
          <w:tcPr>
            <w:tcW w:w="1207" w:type="dxa"/>
          </w:tcPr>
          <w:p w14:paraId="369FEB1C" w14:textId="77777777" w:rsidR="006F1BB0" w:rsidRPr="00CF1412" w:rsidRDefault="006F1BB0">
            <w:pPr>
              <w:keepNext/>
              <w:spacing w:before="0" w:line="240" w:lineRule="auto"/>
              <w:jc w:val="right"/>
              <w:rPr>
                <w:b/>
                <w:lang w:val="en-US"/>
              </w:rPr>
            </w:pPr>
            <w:r w:rsidRPr="003D14C0">
              <w:rPr>
                <w:b/>
                <w:lang w:val="en-US"/>
              </w:rPr>
              <w:t>3,776</w:t>
            </w:r>
          </w:p>
        </w:tc>
      </w:tr>
      <w:tr w:rsidR="006F1BB0" w:rsidRPr="003D14C0" w14:paraId="7E6DF7DE" w14:textId="77777777">
        <w:trPr>
          <w:cnfStyle w:val="000000010000" w:firstRow="0" w:lastRow="0" w:firstColumn="0" w:lastColumn="0" w:oddVBand="0" w:evenVBand="0" w:oddHBand="0" w:evenHBand="1" w:firstRowFirstColumn="0" w:firstRowLastColumn="0" w:lastRowFirstColumn="0" w:lastRowLastColumn="0"/>
        </w:trPr>
        <w:tc>
          <w:tcPr>
            <w:tcW w:w="2070" w:type="dxa"/>
          </w:tcPr>
          <w:p w14:paraId="40462D13" w14:textId="77777777" w:rsidR="006F1BB0" w:rsidRPr="00CF1412" w:rsidRDefault="006F1BB0">
            <w:pPr>
              <w:keepNext/>
              <w:spacing w:before="0" w:line="240" w:lineRule="auto"/>
              <w:rPr>
                <w:lang w:val="en-US"/>
              </w:rPr>
            </w:pPr>
            <w:r w:rsidRPr="00CF1412">
              <w:rPr>
                <w:lang w:val="en-US"/>
              </w:rPr>
              <w:t xml:space="preserve">Western Water </w:t>
            </w:r>
          </w:p>
          <w:p w14:paraId="5F3C011A" w14:textId="099C9E8E" w:rsidR="006F1BB0" w:rsidRPr="00CF1412" w:rsidRDefault="001D5597">
            <w:pPr>
              <w:keepNext/>
              <w:spacing w:before="0" w:line="240" w:lineRule="auto"/>
              <w:rPr>
                <w:lang w:val="en-US"/>
              </w:rPr>
            </w:pPr>
            <w:r w:rsidRPr="00CF1412">
              <w:rPr>
                <w:lang w:val="en-US"/>
              </w:rPr>
              <w:t>I</w:t>
            </w:r>
            <w:r w:rsidR="006F1BB0" w:rsidRPr="00CF1412">
              <w:rPr>
                <w:lang w:val="en-US"/>
              </w:rPr>
              <w:t>nfill</w:t>
            </w:r>
          </w:p>
        </w:tc>
        <w:tc>
          <w:tcPr>
            <w:tcW w:w="1984" w:type="dxa"/>
          </w:tcPr>
          <w:p w14:paraId="1C031C10" w14:textId="77777777" w:rsidR="006F1BB0" w:rsidRPr="00CF1412" w:rsidRDefault="006F1BB0">
            <w:pPr>
              <w:keepNext/>
              <w:spacing w:before="0" w:line="240" w:lineRule="auto"/>
              <w:rPr>
                <w:lang w:val="en-US"/>
              </w:rPr>
            </w:pPr>
            <w:r w:rsidRPr="00CF1412">
              <w:rPr>
                <w:lang w:val="en-US"/>
              </w:rPr>
              <w:t>Greater Western Water Standard</w:t>
            </w:r>
          </w:p>
        </w:tc>
        <w:tc>
          <w:tcPr>
            <w:tcW w:w="1316" w:type="dxa"/>
          </w:tcPr>
          <w:p w14:paraId="3E584E94" w14:textId="77777777" w:rsidR="006F1BB0" w:rsidRPr="003D14C0" w:rsidRDefault="006F1BB0">
            <w:pPr>
              <w:keepNext/>
              <w:spacing w:before="0" w:line="240" w:lineRule="auto"/>
              <w:rPr>
                <w:lang w:val="en-US"/>
              </w:rPr>
            </w:pPr>
            <w:r>
              <w:rPr>
                <w:lang w:val="en-US"/>
              </w:rPr>
              <w:t>W</w:t>
            </w:r>
            <w:r w:rsidRPr="003D14C0">
              <w:rPr>
                <w:lang w:val="en-US"/>
              </w:rPr>
              <w:t>ater</w:t>
            </w:r>
          </w:p>
        </w:tc>
        <w:tc>
          <w:tcPr>
            <w:tcW w:w="1276" w:type="dxa"/>
          </w:tcPr>
          <w:p w14:paraId="5CCB6984" w14:textId="77777777" w:rsidR="006F1BB0" w:rsidRPr="003D14C0" w:rsidRDefault="006F1BB0">
            <w:pPr>
              <w:keepNext/>
              <w:spacing w:before="0" w:line="240" w:lineRule="auto"/>
              <w:jc w:val="right"/>
              <w:rPr>
                <w:lang w:val="en-US"/>
              </w:rPr>
            </w:pPr>
            <w:r>
              <w:rPr>
                <w:lang w:val="en-US"/>
              </w:rPr>
              <w:t>1,567</w:t>
            </w:r>
          </w:p>
        </w:tc>
        <w:tc>
          <w:tcPr>
            <w:tcW w:w="1275" w:type="dxa"/>
          </w:tcPr>
          <w:p w14:paraId="029BE06C" w14:textId="77777777" w:rsidR="006F1BB0" w:rsidRPr="003D14C0" w:rsidRDefault="006F1BB0">
            <w:pPr>
              <w:keepNext/>
              <w:spacing w:before="0" w:line="240" w:lineRule="auto"/>
              <w:jc w:val="right"/>
              <w:rPr>
                <w:lang w:val="en-US"/>
              </w:rPr>
            </w:pPr>
            <w:r w:rsidRPr="003D14C0">
              <w:rPr>
                <w:lang w:val="en-US"/>
              </w:rPr>
              <w:t>915</w:t>
            </w:r>
          </w:p>
        </w:tc>
        <w:tc>
          <w:tcPr>
            <w:tcW w:w="1207" w:type="dxa"/>
          </w:tcPr>
          <w:p w14:paraId="30FD3F31" w14:textId="77777777" w:rsidR="006F1BB0" w:rsidRPr="003D14C0" w:rsidRDefault="006F1BB0">
            <w:pPr>
              <w:keepNext/>
              <w:spacing w:before="0" w:line="240" w:lineRule="auto"/>
              <w:jc w:val="right"/>
              <w:rPr>
                <w:lang w:val="en-US"/>
              </w:rPr>
            </w:pPr>
            <w:r w:rsidRPr="003D14C0">
              <w:rPr>
                <w:lang w:val="en-US"/>
              </w:rPr>
              <w:t>922</w:t>
            </w:r>
          </w:p>
        </w:tc>
      </w:tr>
      <w:tr w:rsidR="006F1BB0" w:rsidRPr="003D14C0" w14:paraId="121BCAB7" w14:textId="77777777">
        <w:trPr>
          <w:cnfStyle w:val="000000100000" w:firstRow="0" w:lastRow="0" w:firstColumn="0" w:lastColumn="0" w:oddVBand="0" w:evenVBand="0" w:oddHBand="1" w:evenHBand="0" w:firstRowFirstColumn="0" w:firstRowLastColumn="0" w:lastRowFirstColumn="0" w:lastRowLastColumn="0"/>
        </w:trPr>
        <w:tc>
          <w:tcPr>
            <w:tcW w:w="2070" w:type="dxa"/>
          </w:tcPr>
          <w:p w14:paraId="5BCAF1EA" w14:textId="77777777" w:rsidR="006F1BB0" w:rsidRPr="003D14C0" w:rsidRDefault="006F1BB0">
            <w:pPr>
              <w:keepNext/>
              <w:spacing w:before="0" w:line="240" w:lineRule="auto"/>
              <w:rPr>
                <w:lang w:val="en-US"/>
              </w:rPr>
            </w:pPr>
          </w:p>
        </w:tc>
        <w:tc>
          <w:tcPr>
            <w:tcW w:w="1984" w:type="dxa"/>
          </w:tcPr>
          <w:p w14:paraId="13AF7800" w14:textId="77777777" w:rsidR="006F1BB0" w:rsidRPr="003D14C0" w:rsidRDefault="006F1BB0">
            <w:pPr>
              <w:keepNext/>
              <w:spacing w:before="0" w:line="240" w:lineRule="auto"/>
              <w:rPr>
                <w:lang w:val="en-US"/>
              </w:rPr>
            </w:pPr>
          </w:p>
        </w:tc>
        <w:tc>
          <w:tcPr>
            <w:tcW w:w="1316" w:type="dxa"/>
          </w:tcPr>
          <w:p w14:paraId="4D9B513F" w14:textId="77777777" w:rsidR="006F1BB0" w:rsidRPr="003D14C0" w:rsidRDefault="006F1BB0">
            <w:pPr>
              <w:keepNext/>
              <w:spacing w:before="0" w:line="240" w:lineRule="auto"/>
              <w:rPr>
                <w:lang w:val="en-US"/>
              </w:rPr>
            </w:pPr>
            <w:r>
              <w:rPr>
                <w:lang w:val="en-US"/>
              </w:rPr>
              <w:t>S</w:t>
            </w:r>
            <w:r w:rsidRPr="003D14C0">
              <w:rPr>
                <w:lang w:val="en-US"/>
              </w:rPr>
              <w:t xml:space="preserve">ewer </w:t>
            </w:r>
          </w:p>
        </w:tc>
        <w:tc>
          <w:tcPr>
            <w:tcW w:w="1276" w:type="dxa"/>
          </w:tcPr>
          <w:p w14:paraId="5A88AF08" w14:textId="77777777" w:rsidR="006F1BB0" w:rsidRPr="003D14C0" w:rsidRDefault="006F1BB0">
            <w:pPr>
              <w:keepNext/>
              <w:spacing w:before="0" w:line="240" w:lineRule="auto"/>
              <w:jc w:val="right"/>
              <w:rPr>
                <w:lang w:val="en-US"/>
              </w:rPr>
            </w:pPr>
            <w:r>
              <w:rPr>
                <w:lang w:val="en-US"/>
              </w:rPr>
              <w:t>1,567</w:t>
            </w:r>
          </w:p>
        </w:tc>
        <w:tc>
          <w:tcPr>
            <w:tcW w:w="1275" w:type="dxa"/>
          </w:tcPr>
          <w:p w14:paraId="48AFBB3E" w14:textId="77777777" w:rsidR="006F1BB0" w:rsidRPr="003D14C0" w:rsidRDefault="006F1BB0">
            <w:pPr>
              <w:keepNext/>
              <w:spacing w:before="0" w:line="240" w:lineRule="auto"/>
              <w:jc w:val="right"/>
              <w:rPr>
                <w:lang w:val="en-US"/>
              </w:rPr>
            </w:pPr>
            <w:r w:rsidRPr="003D14C0">
              <w:rPr>
                <w:lang w:val="en-US"/>
              </w:rPr>
              <w:t>915</w:t>
            </w:r>
          </w:p>
        </w:tc>
        <w:tc>
          <w:tcPr>
            <w:tcW w:w="1207" w:type="dxa"/>
          </w:tcPr>
          <w:p w14:paraId="18AF2499" w14:textId="77777777" w:rsidR="006F1BB0" w:rsidRPr="003D14C0" w:rsidRDefault="006F1BB0">
            <w:pPr>
              <w:keepNext/>
              <w:spacing w:before="0" w:line="240" w:lineRule="auto"/>
              <w:jc w:val="right"/>
              <w:rPr>
                <w:lang w:val="en-US"/>
              </w:rPr>
            </w:pPr>
            <w:r w:rsidRPr="003D14C0">
              <w:rPr>
                <w:lang w:val="en-US"/>
              </w:rPr>
              <w:t>2,863</w:t>
            </w:r>
          </w:p>
        </w:tc>
      </w:tr>
      <w:tr w:rsidR="006F1BB0" w:rsidRPr="00CF1412" w14:paraId="0E47DF6B" w14:textId="77777777">
        <w:trPr>
          <w:cnfStyle w:val="000000010000" w:firstRow="0" w:lastRow="0" w:firstColumn="0" w:lastColumn="0" w:oddVBand="0" w:evenVBand="0" w:oddHBand="0" w:evenHBand="1" w:firstRowFirstColumn="0" w:firstRowLastColumn="0" w:lastRowFirstColumn="0" w:lastRowLastColumn="0"/>
        </w:trPr>
        <w:tc>
          <w:tcPr>
            <w:tcW w:w="2070" w:type="dxa"/>
          </w:tcPr>
          <w:p w14:paraId="4F3C8CBF" w14:textId="77777777" w:rsidR="006F1BB0" w:rsidRPr="00CF1412" w:rsidRDefault="006F1BB0">
            <w:pPr>
              <w:keepNext/>
              <w:spacing w:before="0" w:line="240" w:lineRule="auto"/>
              <w:rPr>
                <w:b/>
                <w:lang w:val="en-US"/>
              </w:rPr>
            </w:pPr>
          </w:p>
        </w:tc>
        <w:tc>
          <w:tcPr>
            <w:tcW w:w="1984" w:type="dxa"/>
          </w:tcPr>
          <w:p w14:paraId="60F0530D" w14:textId="77777777" w:rsidR="006F1BB0" w:rsidRPr="00CF1412" w:rsidRDefault="006F1BB0">
            <w:pPr>
              <w:keepNext/>
              <w:spacing w:before="0" w:line="240" w:lineRule="auto"/>
              <w:rPr>
                <w:b/>
                <w:lang w:val="en-US"/>
              </w:rPr>
            </w:pPr>
          </w:p>
        </w:tc>
        <w:tc>
          <w:tcPr>
            <w:tcW w:w="1316" w:type="dxa"/>
          </w:tcPr>
          <w:p w14:paraId="7EAF077D" w14:textId="55CA02A6" w:rsidR="006F1BB0" w:rsidRPr="00CF1412" w:rsidRDefault="006F1BB0">
            <w:pPr>
              <w:keepNext/>
              <w:spacing w:before="0" w:line="240" w:lineRule="auto"/>
              <w:rPr>
                <w:b/>
                <w:lang w:val="en-US"/>
              </w:rPr>
            </w:pPr>
            <w:r>
              <w:rPr>
                <w:b/>
                <w:lang w:val="en-US"/>
              </w:rPr>
              <w:t>T</w:t>
            </w:r>
            <w:r w:rsidRPr="003D14C0">
              <w:rPr>
                <w:b/>
                <w:lang w:val="en-US"/>
              </w:rPr>
              <w:t>otal</w:t>
            </w:r>
          </w:p>
        </w:tc>
        <w:tc>
          <w:tcPr>
            <w:tcW w:w="1276" w:type="dxa"/>
          </w:tcPr>
          <w:p w14:paraId="1BBF4A96" w14:textId="77777777" w:rsidR="006F1BB0" w:rsidRPr="00E870B9" w:rsidRDefault="006F1BB0">
            <w:pPr>
              <w:keepNext/>
              <w:spacing w:before="0" w:line="240" w:lineRule="auto"/>
              <w:jc w:val="right"/>
              <w:rPr>
                <w:b/>
                <w:bCs/>
                <w:lang w:val="en-US"/>
              </w:rPr>
            </w:pPr>
            <w:r w:rsidRPr="00E870B9">
              <w:rPr>
                <w:b/>
                <w:bCs/>
                <w:lang w:val="en-US"/>
              </w:rPr>
              <w:t>3,134</w:t>
            </w:r>
          </w:p>
        </w:tc>
        <w:tc>
          <w:tcPr>
            <w:tcW w:w="1275" w:type="dxa"/>
          </w:tcPr>
          <w:p w14:paraId="149D1FDB" w14:textId="77777777" w:rsidR="006F1BB0" w:rsidRPr="00E870B9" w:rsidRDefault="006F1BB0">
            <w:pPr>
              <w:keepNext/>
              <w:spacing w:before="0" w:line="240" w:lineRule="auto"/>
              <w:jc w:val="right"/>
              <w:rPr>
                <w:b/>
                <w:bCs/>
                <w:lang w:val="en-US"/>
              </w:rPr>
            </w:pPr>
            <w:r w:rsidRPr="00E870B9">
              <w:rPr>
                <w:b/>
                <w:bCs/>
                <w:lang w:val="en-US"/>
              </w:rPr>
              <w:t>1,830</w:t>
            </w:r>
          </w:p>
        </w:tc>
        <w:tc>
          <w:tcPr>
            <w:tcW w:w="1207" w:type="dxa"/>
          </w:tcPr>
          <w:p w14:paraId="6ADBD359" w14:textId="77777777" w:rsidR="006F1BB0" w:rsidRPr="00CF1412" w:rsidRDefault="006F1BB0">
            <w:pPr>
              <w:keepNext/>
              <w:spacing w:before="0" w:line="240" w:lineRule="auto"/>
              <w:jc w:val="right"/>
              <w:rPr>
                <w:b/>
                <w:lang w:val="en-US"/>
              </w:rPr>
            </w:pPr>
            <w:r w:rsidRPr="003D14C0">
              <w:rPr>
                <w:b/>
                <w:lang w:val="en-US"/>
              </w:rPr>
              <w:t>3,776</w:t>
            </w:r>
          </w:p>
        </w:tc>
      </w:tr>
      <w:tr w:rsidR="006F1BB0" w:rsidRPr="003D14C0" w14:paraId="65CD62B1" w14:textId="77777777">
        <w:trPr>
          <w:cnfStyle w:val="000000100000" w:firstRow="0" w:lastRow="0" w:firstColumn="0" w:lastColumn="0" w:oddVBand="0" w:evenVBand="0" w:oddHBand="1" w:evenHBand="0" w:firstRowFirstColumn="0" w:firstRowLastColumn="0" w:lastRowFirstColumn="0" w:lastRowLastColumn="0"/>
        </w:trPr>
        <w:tc>
          <w:tcPr>
            <w:tcW w:w="2070" w:type="dxa"/>
          </w:tcPr>
          <w:p w14:paraId="5E305A43" w14:textId="2CC190B1" w:rsidR="006F1BB0" w:rsidRPr="00CF1412" w:rsidRDefault="006F1BB0" w:rsidP="001D5597">
            <w:pPr>
              <w:keepNext/>
              <w:spacing w:before="0" w:line="240" w:lineRule="auto"/>
              <w:rPr>
                <w:lang w:val="en-US"/>
              </w:rPr>
            </w:pPr>
            <w:r w:rsidRPr="00CF1412">
              <w:rPr>
                <w:lang w:val="en-US"/>
              </w:rPr>
              <w:t>Western Water</w:t>
            </w:r>
            <w:r w:rsidR="001D5597">
              <w:rPr>
                <w:lang w:val="en-US"/>
              </w:rPr>
              <w:t xml:space="preserve"> </w:t>
            </w:r>
            <w:r w:rsidRPr="00CF1412">
              <w:rPr>
                <w:lang w:val="en-US"/>
              </w:rPr>
              <w:t>Greenfield</w:t>
            </w:r>
          </w:p>
        </w:tc>
        <w:tc>
          <w:tcPr>
            <w:tcW w:w="1984" w:type="dxa"/>
          </w:tcPr>
          <w:p w14:paraId="0003AFA9" w14:textId="77777777" w:rsidR="006F1BB0" w:rsidRPr="00CF1412" w:rsidRDefault="006F1BB0">
            <w:pPr>
              <w:keepNext/>
              <w:spacing w:before="0" w:line="240" w:lineRule="auto"/>
              <w:rPr>
                <w:lang w:val="en-US"/>
              </w:rPr>
            </w:pPr>
            <w:r w:rsidRPr="00CF1412">
              <w:rPr>
                <w:lang w:val="en-US"/>
              </w:rPr>
              <w:t>Western Greenfield</w:t>
            </w:r>
          </w:p>
        </w:tc>
        <w:tc>
          <w:tcPr>
            <w:tcW w:w="1316" w:type="dxa"/>
          </w:tcPr>
          <w:p w14:paraId="2876886A" w14:textId="77777777" w:rsidR="006F1BB0" w:rsidRPr="00DC795B" w:rsidRDefault="006F1BB0">
            <w:pPr>
              <w:keepNext/>
              <w:spacing w:before="0" w:line="240" w:lineRule="auto"/>
              <w:rPr>
                <w:bCs/>
                <w:lang w:val="en-US"/>
              </w:rPr>
            </w:pPr>
            <w:r w:rsidRPr="00DC795B">
              <w:rPr>
                <w:bCs/>
                <w:lang w:val="en-US"/>
              </w:rPr>
              <w:t>Water</w:t>
            </w:r>
          </w:p>
        </w:tc>
        <w:tc>
          <w:tcPr>
            <w:tcW w:w="1276" w:type="dxa"/>
          </w:tcPr>
          <w:p w14:paraId="665C0FD1" w14:textId="77777777" w:rsidR="006F1BB0" w:rsidRPr="00E870B9" w:rsidRDefault="006F1BB0">
            <w:pPr>
              <w:keepNext/>
              <w:spacing w:before="0" w:line="240" w:lineRule="auto"/>
              <w:jc w:val="right"/>
              <w:rPr>
                <w:bCs/>
                <w:lang w:val="en-US"/>
              </w:rPr>
            </w:pPr>
            <w:r w:rsidRPr="00E870B9">
              <w:rPr>
                <w:bCs/>
                <w:lang w:val="en-US"/>
              </w:rPr>
              <w:t>3,627</w:t>
            </w:r>
          </w:p>
        </w:tc>
        <w:tc>
          <w:tcPr>
            <w:tcW w:w="1275" w:type="dxa"/>
          </w:tcPr>
          <w:p w14:paraId="74D7AD43" w14:textId="77777777" w:rsidR="006F1BB0" w:rsidRPr="00CF1412" w:rsidRDefault="006F1BB0">
            <w:pPr>
              <w:keepNext/>
              <w:spacing w:before="0" w:line="240" w:lineRule="auto"/>
              <w:jc w:val="right"/>
              <w:rPr>
                <w:lang w:val="en-US"/>
              </w:rPr>
            </w:pPr>
            <w:r w:rsidRPr="003D14C0">
              <w:rPr>
                <w:lang w:val="en-US"/>
              </w:rPr>
              <w:t>3,808</w:t>
            </w:r>
          </w:p>
        </w:tc>
        <w:tc>
          <w:tcPr>
            <w:tcW w:w="1207" w:type="dxa"/>
          </w:tcPr>
          <w:p w14:paraId="111ECDE4" w14:textId="77777777" w:rsidR="006F1BB0" w:rsidRPr="00CF1412" w:rsidRDefault="006F1BB0">
            <w:pPr>
              <w:keepNext/>
              <w:spacing w:before="0" w:line="240" w:lineRule="auto"/>
              <w:jc w:val="right"/>
              <w:rPr>
                <w:lang w:val="en-US"/>
              </w:rPr>
            </w:pPr>
            <w:r w:rsidRPr="003D14C0">
              <w:rPr>
                <w:lang w:val="en-US"/>
              </w:rPr>
              <w:t>6,372</w:t>
            </w:r>
          </w:p>
        </w:tc>
      </w:tr>
      <w:tr w:rsidR="006F1BB0" w:rsidRPr="003D14C0" w14:paraId="301D5E64" w14:textId="77777777">
        <w:trPr>
          <w:cnfStyle w:val="000000010000" w:firstRow="0" w:lastRow="0" w:firstColumn="0" w:lastColumn="0" w:oddVBand="0" w:evenVBand="0" w:oddHBand="0" w:evenHBand="1" w:firstRowFirstColumn="0" w:firstRowLastColumn="0" w:lastRowFirstColumn="0" w:lastRowLastColumn="0"/>
        </w:trPr>
        <w:tc>
          <w:tcPr>
            <w:tcW w:w="2070" w:type="dxa"/>
          </w:tcPr>
          <w:p w14:paraId="1350095A" w14:textId="77777777" w:rsidR="006F1BB0" w:rsidRPr="00CF1412" w:rsidRDefault="006F1BB0">
            <w:pPr>
              <w:keepNext/>
              <w:spacing w:before="0" w:line="240" w:lineRule="auto"/>
              <w:rPr>
                <w:lang w:val="en-US"/>
              </w:rPr>
            </w:pPr>
          </w:p>
        </w:tc>
        <w:tc>
          <w:tcPr>
            <w:tcW w:w="1984" w:type="dxa"/>
          </w:tcPr>
          <w:p w14:paraId="00838E80" w14:textId="77777777" w:rsidR="006F1BB0" w:rsidRPr="00CF1412" w:rsidRDefault="006F1BB0">
            <w:pPr>
              <w:keepNext/>
              <w:spacing w:before="0" w:line="240" w:lineRule="auto"/>
              <w:rPr>
                <w:lang w:val="en-US"/>
              </w:rPr>
            </w:pPr>
          </w:p>
        </w:tc>
        <w:tc>
          <w:tcPr>
            <w:tcW w:w="1316" w:type="dxa"/>
          </w:tcPr>
          <w:p w14:paraId="51FE7EF1" w14:textId="77777777" w:rsidR="006F1BB0" w:rsidRPr="00DC795B" w:rsidRDefault="006F1BB0">
            <w:pPr>
              <w:keepNext/>
              <w:spacing w:before="0" w:line="240" w:lineRule="auto"/>
              <w:rPr>
                <w:bCs/>
                <w:lang w:val="en-US"/>
              </w:rPr>
            </w:pPr>
            <w:r w:rsidRPr="00DC795B">
              <w:rPr>
                <w:bCs/>
                <w:lang w:val="en-US"/>
              </w:rPr>
              <w:t>Sewer</w:t>
            </w:r>
          </w:p>
        </w:tc>
        <w:tc>
          <w:tcPr>
            <w:tcW w:w="1276" w:type="dxa"/>
          </w:tcPr>
          <w:p w14:paraId="2B58D778" w14:textId="77777777" w:rsidR="006F1BB0" w:rsidRPr="00E870B9" w:rsidRDefault="006F1BB0">
            <w:pPr>
              <w:keepNext/>
              <w:spacing w:before="0" w:line="240" w:lineRule="auto"/>
              <w:jc w:val="right"/>
              <w:rPr>
                <w:bCs/>
                <w:lang w:val="en-US"/>
              </w:rPr>
            </w:pPr>
            <w:r w:rsidRPr="00E870B9">
              <w:rPr>
                <w:bCs/>
                <w:lang w:val="en-US"/>
              </w:rPr>
              <w:t>3,627</w:t>
            </w:r>
          </w:p>
        </w:tc>
        <w:tc>
          <w:tcPr>
            <w:tcW w:w="1275" w:type="dxa"/>
          </w:tcPr>
          <w:p w14:paraId="0A4ED576" w14:textId="77777777" w:rsidR="006F1BB0" w:rsidRPr="00CF1412" w:rsidRDefault="006F1BB0">
            <w:pPr>
              <w:keepNext/>
              <w:spacing w:before="0" w:line="240" w:lineRule="auto"/>
              <w:jc w:val="right"/>
              <w:rPr>
                <w:lang w:val="en-US"/>
              </w:rPr>
            </w:pPr>
            <w:r w:rsidRPr="003D14C0">
              <w:rPr>
                <w:lang w:val="en-US"/>
              </w:rPr>
              <w:t>3,808</w:t>
            </w:r>
          </w:p>
        </w:tc>
        <w:tc>
          <w:tcPr>
            <w:tcW w:w="1207" w:type="dxa"/>
          </w:tcPr>
          <w:p w14:paraId="0D5FD28F" w14:textId="77777777" w:rsidR="006F1BB0" w:rsidRPr="003D14C0" w:rsidRDefault="006F1BB0">
            <w:pPr>
              <w:keepNext/>
              <w:spacing w:before="0" w:line="240" w:lineRule="auto"/>
              <w:jc w:val="right"/>
              <w:rPr>
                <w:lang w:val="en-US"/>
              </w:rPr>
            </w:pPr>
            <w:r w:rsidRPr="003D14C0">
              <w:rPr>
                <w:lang w:val="en-US"/>
              </w:rPr>
              <w:t>8,597</w:t>
            </w:r>
          </w:p>
        </w:tc>
      </w:tr>
      <w:tr w:rsidR="006F1BB0" w:rsidRPr="00CF1412" w14:paraId="0DF9EF1A" w14:textId="77777777">
        <w:trPr>
          <w:cnfStyle w:val="000000100000" w:firstRow="0" w:lastRow="0" w:firstColumn="0" w:lastColumn="0" w:oddVBand="0" w:evenVBand="0" w:oddHBand="1" w:evenHBand="0" w:firstRowFirstColumn="0" w:firstRowLastColumn="0" w:lastRowFirstColumn="0" w:lastRowLastColumn="0"/>
        </w:trPr>
        <w:tc>
          <w:tcPr>
            <w:tcW w:w="2070" w:type="dxa"/>
          </w:tcPr>
          <w:p w14:paraId="71BADCC5" w14:textId="77777777" w:rsidR="006F1BB0" w:rsidRPr="003D14C0" w:rsidRDefault="006F1BB0">
            <w:pPr>
              <w:keepNext/>
              <w:spacing w:before="0" w:line="240" w:lineRule="auto"/>
              <w:rPr>
                <w:b/>
                <w:lang w:val="en-US"/>
              </w:rPr>
            </w:pPr>
          </w:p>
        </w:tc>
        <w:tc>
          <w:tcPr>
            <w:tcW w:w="1984" w:type="dxa"/>
          </w:tcPr>
          <w:p w14:paraId="28B4657B" w14:textId="77777777" w:rsidR="006F1BB0" w:rsidRPr="003D14C0" w:rsidRDefault="006F1BB0">
            <w:pPr>
              <w:keepNext/>
              <w:spacing w:before="0" w:line="240" w:lineRule="auto"/>
              <w:rPr>
                <w:b/>
                <w:lang w:val="en-US"/>
              </w:rPr>
            </w:pPr>
          </w:p>
        </w:tc>
        <w:tc>
          <w:tcPr>
            <w:tcW w:w="1316" w:type="dxa"/>
          </w:tcPr>
          <w:p w14:paraId="2BA5F986" w14:textId="77777777" w:rsidR="006F1BB0" w:rsidRPr="003D14C0" w:rsidRDefault="006F1BB0">
            <w:pPr>
              <w:keepNext/>
              <w:spacing w:before="0" w:line="240" w:lineRule="auto"/>
              <w:rPr>
                <w:b/>
                <w:lang w:val="en-US"/>
              </w:rPr>
            </w:pPr>
            <w:r>
              <w:rPr>
                <w:b/>
                <w:lang w:val="en-US"/>
              </w:rPr>
              <w:t>Total</w:t>
            </w:r>
          </w:p>
        </w:tc>
        <w:tc>
          <w:tcPr>
            <w:tcW w:w="1276" w:type="dxa"/>
          </w:tcPr>
          <w:p w14:paraId="19625B5B" w14:textId="77777777" w:rsidR="006F1BB0" w:rsidRPr="003D14C0" w:rsidRDefault="006F1BB0">
            <w:pPr>
              <w:keepNext/>
              <w:spacing w:before="0" w:line="240" w:lineRule="auto"/>
              <w:jc w:val="right"/>
              <w:rPr>
                <w:b/>
                <w:lang w:val="en-US"/>
              </w:rPr>
            </w:pPr>
            <w:r>
              <w:rPr>
                <w:b/>
                <w:lang w:val="en-US"/>
              </w:rPr>
              <w:t>7,255</w:t>
            </w:r>
          </w:p>
        </w:tc>
        <w:tc>
          <w:tcPr>
            <w:tcW w:w="1275" w:type="dxa"/>
          </w:tcPr>
          <w:p w14:paraId="6D576515" w14:textId="77777777" w:rsidR="006F1BB0" w:rsidRPr="003D14C0" w:rsidRDefault="006F1BB0">
            <w:pPr>
              <w:keepNext/>
              <w:spacing w:before="0" w:line="240" w:lineRule="auto"/>
              <w:jc w:val="right"/>
              <w:rPr>
                <w:b/>
                <w:lang w:val="en-US"/>
              </w:rPr>
            </w:pPr>
            <w:r w:rsidRPr="003D14C0">
              <w:rPr>
                <w:b/>
                <w:lang w:val="en-US"/>
              </w:rPr>
              <w:t>7,616</w:t>
            </w:r>
          </w:p>
        </w:tc>
        <w:tc>
          <w:tcPr>
            <w:tcW w:w="1207" w:type="dxa"/>
          </w:tcPr>
          <w:p w14:paraId="4CCDCB38" w14:textId="77777777" w:rsidR="006F1BB0" w:rsidRPr="00CF1412" w:rsidRDefault="006F1BB0">
            <w:pPr>
              <w:keepNext/>
              <w:spacing w:before="0" w:line="240" w:lineRule="auto"/>
              <w:jc w:val="right"/>
              <w:rPr>
                <w:b/>
                <w:lang w:val="en-US"/>
              </w:rPr>
            </w:pPr>
            <w:r w:rsidRPr="003D14C0">
              <w:rPr>
                <w:b/>
                <w:lang w:val="en-US"/>
              </w:rPr>
              <w:t>14,831</w:t>
            </w:r>
          </w:p>
        </w:tc>
      </w:tr>
      <w:tr w:rsidR="006F1BB0" w:rsidRPr="003D14C0" w14:paraId="239075B8" w14:textId="77777777">
        <w:trPr>
          <w:cnfStyle w:val="000000010000" w:firstRow="0" w:lastRow="0" w:firstColumn="0" w:lastColumn="0" w:oddVBand="0" w:evenVBand="0" w:oddHBand="0" w:evenHBand="1" w:firstRowFirstColumn="0" w:firstRowLastColumn="0" w:lastRowFirstColumn="0" w:lastRowLastColumn="0"/>
        </w:trPr>
        <w:tc>
          <w:tcPr>
            <w:tcW w:w="2070" w:type="dxa"/>
          </w:tcPr>
          <w:p w14:paraId="48565E0F" w14:textId="77777777" w:rsidR="006F1BB0" w:rsidRPr="00CF1412" w:rsidRDefault="006F1BB0">
            <w:pPr>
              <w:keepNext/>
              <w:spacing w:before="0" w:line="240" w:lineRule="auto"/>
              <w:rPr>
                <w:lang w:val="en-US"/>
              </w:rPr>
            </w:pPr>
            <w:r w:rsidRPr="00CF1412">
              <w:rPr>
                <w:lang w:val="en-US"/>
              </w:rPr>
              <w:t>West Werribee and Greek Hill</w:t>
            </w:r>
          </w:p>
        </w:tc>
        <w:tc>
          <w:tcPr>
            <w:tcW w:w="1984" w:type="dxa"/>
          </w:tcPr>
          <w:p w14:paraId="34634655" w14:textId="77777777" w:rsidR="006F1BB0" w:rsidRPr="00CF1412" w:rsidRDefault="006F1BB0">
            <w:pPr>
              <w:keepNext/>
              <w:spacing w:before="0" w:line="240" w:lineRule="auto"/>
              <w:rPr>
                <w:lang w:val="en-US"/>
              </w:rPr>
            </w:pPr>
            <w:r w:rsidRPr="00CF1412">
              <w:rPr>
                <w:lang w:val="en-US"/>
              </w:rPr>
              <w:t>West Werribee and Greek Hill</w:t>
            </w:r>
          </w:p>
        </w:tc>
        <w:tc>
          <w:tcPr>
            <w:tcW w:w="1316" w:type="dxa"/>
          </w:tcPr>
          <w:p w14:paraId="5F8DFF65" w14:textId="77777777" w:rsidR="006F1BB0" w:rsidRPr="00CF1412" w:rsidRDefault="006F1BB0">
            <w:pPr>
              <w:keepNext/>
              <w:spacing w:before="0" w:line="240" w:lineRule="auto"/>
              <w:rPr>
                <w:lang w:val="en-US"/>
              </w:rPr>
            </w:pPr>
            <w:r w:rsidRPr="003D14C0">
              <w:rPr>
                <w:lang w:val="en-US"/>
              </w:rPr>
              <w:t>Recycled water</w:t>
            </w:r>
          </w:p>
        </w:tc>
        <w:tc>
          <w:tcPr>
            <w:tcW w:w="1276" w:type="dxa"/>
          </w:tcPr>
          <w:p w14:paraId="658BC1B2" w14:textId="77777777" w:rsidR="006F1BB0" w:rsidRPr="00CF1412" w:rsidRDefault="006F1BB0">
            <w:pPr>
              <w:keepNext/>
              <w:spacing w:before="0" w:line="240" w:lineRule="auto"/>
              <w:jc w:val="right"/>
              <w:rPr>
                <w:lang w:val="en-US"/>
              </w:rPr>
            </w:pPr>
            <w:r w:rsidRPr="00CF1412">
              <w:rPr>
                <w:lang w:val="en-US"/>
              </w:rPr>
              <w:t>3,000</w:t>
            </w:r>
          </w:p>
        </w:tc>
        <w:tc>
          <w:tcPr>
            <w:tcW w:w="1275" w:type="dxa"/>
          </w:tcPr>
          <w:p w14:paraId="3D92BB1B" w14:textId="77777777" w:rsidR="006F1BB0" w:rsidRPr="00CF1412" w:rsidRDefault="006F1BB0">
            <w:pPr>
              <w:keepNext/>
              <w:spacing w:before="0" w:line="240" w:lineRule="auto"/>
              <w:jc w:val="right"/>
              <w:rPr>
                <w:lang w:val="en-US"/>
              </w:rPr>
            </w:pPr>
            <w:r w:rsidRPr="00CF1412">
              <w:rPr>
                <w:lang w:val="en-US"/>
              </w:rPr>
              <w:t>3,149</w:t>
            </w:r>
          </w:p>
        </w:tc>
        <w:tc>
          <w:tcPr>
            <w:tcW w:w="1207" w:type="dxa"/>
          </w:tcPr>
          <w:p w14:paraId="4120D4CC" w14:textId="77777777" w:rsidR="006F1BB0" w:rsidRPr="00CF1412" w:rsidRDefault="006F1BB0">
            <w:pPr>
              <w:keepNext/>
              <w:spacing w:before="0" w:line="240" w:lineRule="auto"/>
              <w:jc w:val="right"/>
              <w:rPr>
                <w:lang w:val="en-US"/>
              </w:rPr>
            </w:pPr>
            <w:r w:rsidRPr="00CF1412">
              <w:rPr>
                <w:lang w:val="en-US"/>
              </w:rPr>
              <w:t>12,390</w:t>
            </w:r>
          </w:p>
        </w:tc>
      </w:tr>
    </w:tbl>
    <w:p w14:paraId="7800E4FD" w14:textId="77777777" w:rsidR="006F1BB0" w:rsidRPr="00854970" w:rsidRDefault="006F1BB0" w:rsidP="00ED06E8"/>
    <w:p w14:paraId="288AE8D3" w14:textId="77777777" w:rsidR="004E1DA2" w:rsidRDefault="001A2955" w:rsidP="004E1DA2">
      <w:r w:rsidRPr="00D52783">
        <w:t>We have reviewed Greater Western Water’s proposed new customer contributions and our preliminary view based on the information that has been provided to date is that Greater Western Water</w:t>
      </w:r>
      <w:r w:rsidR="004E1DA2">
        <w:t xml:space="preserve"> </w:t>
      </w:r>
      <w:r w:rsidRPr="00854970">
        <w:t xml:space="preserve">has not provided us with adequate information or justification for us to be satisfied that its proposal regarding </w:t>
      </w:r>
      <w:r w:rsidR="00210773" w:rsidRPr="00854970">
        <w:t xml:space="preserve">uniform </w:t>
      </w:r>
      <w:r w:rsidRPr="00854970">
        <w:t xml:space="preserve">standard new customer contributions </w:t>
      </w:r>
      <w:r w:rsidR="00141CE3" w:rsidRPr="00854970">
        <w:t>for</w:t>
      </w:r>
      <w:r w:rsidR="00141CE3" w:rsidRPr="007D1971">
        <w:t xml:space="preserve"> </w:t>
      </w:r>
      <w:r w:rsidR="00141CE3" w:rsidRPr="00854970">
        <w:t>both infill and greenfield</w:t>
      </w:r>
      <w:r w:rsidRPr="00854970">
        <w:t xml:space="preserve"> </w:t>
      </w:r>
      <w:r w:rsidR="00694A9F">
        <w:t>is</w:t>
      </w:r>
      <w:r w:rsidR="0035273D" w:rsidRPr="00854970">
        <w:t xml:space="preserve"> </w:t>
      </w:r>
      <w:r w:rsidRPr="00854970">
        <w:t xml:space="preserve">compliant with the </w:t>
      </w:r>
      <w:r w:rsidR="00BD69A8">
        <w:t>assessment criteria in</w:t>
      </w:r>
      <w:r w:rsidR="00907514">
        <w:t xml:space="preserve"> our </w:t>
      </w:r>
      <w:r w:rsidRPr="00854970">
        <w:t>guidance.</w:t>
      </w:r>
      <w:r w:rsidRPr="00854970">
        <w:rPr>
          <w:rStyle w:val="FootnoteReference"/>
        </w:rPr>
        <w:footnoteReference w:id="108"/>
      </w:r>
      <w:r w:rsidRPr="00854970">
        <w:t xml:space="preserve"> </w:t>
      </w:r>
    </w:p>
    <w:p w14:paraId="2F83DF71" w14:textId="7F263922" w:rsidR="00C33CD6" w:rsidRPr="00854970" w:rsidRDefault="008B75D9" w:rsidP="004E1DA2">
      <w:r w:rsidRPr="00854970">
        <w:t xml:space="preserve">We are concerned </w:t>
      </w:r>
      <w:r w:rsidR="009D1AA0" w:rsidRPr="00854970">
        <w:t xml:space="preserve">the current proposal has </w:t>
      </w:r>
      <w:r w:rsidR="00E166C5">
        <w:t xml:space="preserve">prioritised </w:t>
      </w:r>
      <w:r w:rsidR="006C0AB2" w:rsidRPr="00854970">
        <w:t>uniformity</w:t>
      </w:r>
      <w:r w:rsidR="00E166C5">
        <w:t xml:space="preserve"> an</w:t>
      </w:r>
      <w:r w:rsidR="006A712F">
        <w:t>d</w:t>
      </w:r>
      <w:r w:rsidR="00E166C5">
        <w:t xml:space="preserve"> alignment of charges over its regions </w:t>
      </w:r>
      <w:r w:rsidR="0077001F">
        <w:t xml:space="preserve">rather than </w:t>
      </w:r>
      <w:r w:rsidR="00550CCB">
        <w:t xml:space="preserve">justify its proposal having regard to </w:t>
      </w:r>
      <w:r w:rsidR="0077001F">
        <w:t>the guidance criteria</w:t>
      </w:r>
      <w:r w:rsidR="00AE745D" w:rsidRPr="00854970" w:rsidDel="00E35A4B">
        <w:t>.</w:t>
      </w:r>
      <w:r w:rsidR="00C33CD6" w:rsidRPr="00854970" w:rsidDel="00E35A4B">
        <w:t xml:space="preserve"> </w:t>
      </w:r>
    </w:p>
    <w:p w14:paraId="1DEB2067" w14:textId="27E0A52C" w:rsidR="001A2955" w:rsidRPr="00854970" w:rsidRDefault="001A2955" w:rsidP="001A2955">
      <w:r w:rsidRPr="00854970">
        <w:lastRenderedPageBreak/>
        <w:t xml:space="preserve">Greater Western Water sought to justify its proposed standard and greenfield new customer contributions by reference to potential changes to the commission’s new customer contributions framework and consistency with Yarra Valley Water and </w:t>
      </w:r>
      <w:proofErr w:type="gramStart"/>
      <w:r w:rsidRPr="00854970">
        <w:t>South East</w:t>
      </w:r>
      <w:proofErr w:type="gramEnd"/>
      <w:r w:rsidRPr="00854970">
        <w:t xml:space="preserve"> Water’s price path. However, these matters are not relevant to the compliance of the proposal with the new customer contributions principles in our guidance. </w:t>
      </w:r>
    </w:p>
    <w:p w14:paraId="46869725" w14:textId="77777777" w:rsidR="002362C5" w:rsidRPr="00854970" w:rsidRDefault="002362C5" w:rsidP="002362C5">
      <w:pPr>
        <w:keepNext/>
        <w:keepLines/>
        <w:spacing w:before="200" w:after="120"/>
        <w:outlineLvl w:val="2"/>
        <w:rPr>
          <w:rFonts w:ascii="Tahoma" w:eastAsiaTheme="majorEastAsia" w:hAnsi="Tahoma" w:cstheme="majorBidi"/>
          <w:b/>
          <w:color w:val="4986A0" w:themeColor="text2"/>
          <w:szCs w:val="24"/>
        </w:rPr>
      </w:pPr>
      <w:r w:rsidRPr="00854970">
        <w:rPr>
          <w:rFonts w:ascii="Tahoma" w:eastAsiaTheme="majorEastAsia" w:hAnsi="Tahoma" w:cstheme="majorBidi"/>
          <w:b/>
          <w:color w:val="4986A0" w:themeColor="text2"/>
          <w:szCs w:val="24"/>
        </w:rPr>
        <w:t xml:space="preserve">There is insufficient justification for a uniform greenfield new customer </w:t>
      </w:r>
      <w:proofErr w:type="gramStart"/>
      <w:r w:rsidRPr="00854970">
        <w:rPr>
          <w:rFonts w:ascii="Tahoma" w:eastAsiaTheme="majorEastAsia" w:hAnsi="Tahoma" w:cstheme="majorBidi"/>
          <w:b/>
          <w:color w:val="4986A0" w:themeColor="text2"/>
          <w:szCs w:val="24"/>
        </w:rPr>
        <w:t>contribution</w:t>
      </w:r>
      <w:proofErr w:type="gramEnd"/>
    </w:p>
    <w:p w14:paraId="34613617" w14:textId="256C1A0E" w:rsidR="002362C5" w:rsidRPr="00854970" w:rsidRDefault="002362C5" w:rsidP="002362C5">
      <w:pPr>
        <w:spacing w:before="240"/>
      </w:pPr>
      <w:r w:rsidRPr="00854970">
        <w:t>On the information provided to us at the time of this draft decision, Greater Western Water has not sufficiently justified the application of a uniform greenfield new customer contribution in the western region</w:t>
      </w:r>
      <w:r w:rsidR="00547AAE">
        <w:t xml:space="preserve"> (Western Greenfield tariff in Table 5.1 above)</w:t>
      </w:r>
      <w:r w:rsidRPr="00854970">
        <w:t>.</w:t>
      </w:r>
      <w:r w:rsidR="009968F9">
        <w:rPr>
          <w:rStyle w:val="FootnoteReference"/>
        </w:rPr>
        <w:footnoteReference w:id="109"/>
      </w:r>
    </w:p>
    <w:p w14:paraId="1064ED6B" w14:textId="77777777" w:rsidR="002362C5" w:rsidRPr="00854970" w:rsidRDefault="002362C5" w:rsidP="002362C5">
      <w:pPr>
        <w:spacing w:before="240"/>
      </w:pPr>
      <w:r w:rsidRPr="00854970">
        <w:t xml:space="preserve">We asked Greater Western Water to provide us with its cost analysis of providing services to new connections within the different western region greenfield areas. Greater Western Water was unable to provide this and stated that:  </w:t>
      </w:r>
    </w:p>
    <w:p w14:paraId="0AF4EC47" w14:textId="570220CE" w:rsidR="002362C5" w:rsidRPr="00854970" w:rsidRDefault="002362C5" w:rsidP="00ED1290">
      <w:pPr>
        <w:pStyle w:val="ListBullet"/>
      </w:pPr>
      <w:r w:rsidRPr="00854970">
        <w:t xml:space="preserve">in many of the western greenfield areas, water and sewerage are treated locally, [so different] locations are similar with regard to the service that is </w:t>
      </w:r>
      <w:proofErr w:type="gramStart"/>
      <w:r w:rsidRPr="00854970">
        <w:t>provided</w:t>
      </w:r>
      <w:proofErr w:type="gramEnd"/>
    </w:p>
    <w:p w14:paraId="7119216D" w14:textId="77777777" w:rsidR="002362C5" w:rsidRPr="00854970" w:rsidRDefault="002362C5" w:rsidP="00ED1290">
      <w:pPr>
        <w:pStyle w:val="ListBullet"/>
      </w:pPr>
      <w:r w:rsidRPr="00854970">
        <w:t xml:space="preserve">some greenfield locations had very low forecast connections, driving the modelled charge unreasonably </w:t>
      </w:r>
      <w:proofErr w:type="gramStart"/>
      <w:r w:rsidRPr="00854970">
        <w:t>high</w:t>
      </w:r>
      <w:proofErr w:type="gramEnd"/>
    </w:p>
    <w:p w14:paraId="6C24574B" w14:textId="77777777" w:rsidR="002362C5" w:rsidRPr="00854970" w:rsidRDefault="002362C5" w:rsidP="00ED1290">
      <w:pPr>
        <w:pStyle w:val="ListBullet"/>
      </w:pPr>
      <w:r w:rsidRPr="00854970">
        <w:t xml:space="preserve">developers indicated they want an easy to administer charging structure and are keen to avoid location-based charging as it can bring unfair advantages and </w:t>
      </w:r>
      <w:proofErr w:type="gramStart"/>
      <w:r w:rsidRPr="00854970">
        <w:t>disadvantages</w:t>
      </w:r>
      <w:proofErr w:type="gramEnd"/>
    </w:p>
    <w:p w14:paraId="4935CC76" w14:textId="77777777" w:rsidR="002362C5" w:rsidRPr="00854970" w:rsidRDefault="002362C5" w:rsidP="00ED1290">
      <w:pPr>
        <w:pStyle w:val="ListBullet"/>
      </w:pPr>
      <w:r w:rsidRPr="00854970">
        <w:t>the approach is a continuation of the existing tariff structures.</w:t>
      </w:r>
    </w:p>
    <w:p w14:paraId="2FF19A38" w14:textId="46263DEB" w:rsidR="002362C5" w:rsidRPr="00854970" w:rsidRDefault="002362C5" w:rsidP="002362C5">
      <w:r w:rsidRPr="00854970">
        <w:t xml:space="preserve">We have not yet seen quantitative evidence from Greater Western Water to demonstrate that the costs of providing services to new connections in its western greenfield areas are </w:t>
      </w:r>
      <w:r w:rsidR="003177C4">
        <w:t xml:space="preserve">sufficiently </w:t>
      </w:r>
      <w:r w:rsidRPr="00854970">
        <w:t xml:space="preserve">consistent </w:t>
      </w:r>
      <w:r w:rsidR="00422BC8">
        <w:t xml:space="preserve">such that </w:t>
      </w:r>
      <w:r w:rsidR="003177C4">
        <w:t>a common</w:t>
      </w:r>
      <w:r w:rsidRPr="00854970">
        <w:t xml:space="preserve"> charge</w:t>
      </w:r>
      <w:r w:rsidR="00422BC8">
        <w:t xml:space="preserve"> is justifiable</w:t>
      </w:r>
      <w:r w:rsidRPr="00854970">
        <w:t>.</w:t>
      </w:r>
      <w:r w:rsidR="00870342" w:rsidRPr="00854970">
        <w:t xml:space="preserve"> </w:t>
      </w:r>
      <w:r w:rsidR="00367639" w:rsidRPr="00854970">
        <w:t>D</w:t>
      </w:r>
      <w:r w:rsidR="00170DA3" w:rsidRPr="00854970">
        <w:t xml:space="preserve">uring its engagement with developers, Greater Western Water </w:t>
      </w:r>
      <w:r w:rsidR="003A2F2A" w:rsidRPr="00854970">
        <w:t>indicated that</w:t>
      </w:r>
      <w:r w:rsidR="000779D1" w:rsidRPr="00854970">
        <w:t xml:space="preserve"> it </w:t>
      </w:r>
      <w:proofErr w:type="gramStart"/>
      <w:r w:rsidR="000779D1" w:rsidRPr="00854970">
        <w:t>will</w:t>
      </w:r>
      <w:proofErr w:type="gramEnd"/>
      <w:r w:rsidR="000779D1" w:rsidRPr="00854970">
        <w:t xml:space="preserve"> investigate the costs for major greenfield development areas in Hume, Melton and Wy</w:t>
      </w:r>
      <w:r w:rsidR="00531FBE" w:rsidRPr="00854970">
        <w:t>n</w:t>
      </w:r>
      <w:r w:rsidR="000779D1" w:rsidRPr="00854970">
        <w:t>dham</w:t>
      </w:r>
      <w:r w:rsidR="009D6C47" w:rsidRPr="00D21ADD">
        <w:t>.</w:t>
      </w:r>
      <w:r w:rsidR="00833528" w:rsidRPr="00D21ADD">
        <w:rPr>
          <w:rStyle w:val="FootnoteReference"/>
        </w:rPr>
        <w:footnoteReference w:id="110"/>
      </w:r>
    </w:p>
    <w:p w14:paraId="7EB1974A" w14:textId="0BDA01EB" w:rsidR="002362C5" w:rsidRPr="003D14C0" w:rsidRDefault="002362C5" w:rsidP="002362C5">
      <w:pPr>
        <w:rPr>
          <w:color w:val="000000" w:themeColor="text1"/>
        </w:rPr>
      </w:pPr>
      <w:r w:rsidRPr="00854970">
        <w:lastRenderedPageBreak/>
        <w:t xml:space="preserve">Accordingly, our preliminary view is that Greater Western Water’s proposed greenfield new customer contribution has not met our guidance requirements, </w:t>
      </w:r>
      <w:r w:rsidR="001A2955" w:rsidRPr="00854970">
        <w:t>because</w:t>
      </w:r>
      <w:r w:rsidRPr="00854970">
        <w:t xml:space="preserve"> it has not demonstrated that it meets the pricing principle to have regard to the incremental infrastructure and associated costs attributable to a given connection.</w:t>
      </w:r>
      <w:r w:rsidRPr="00854970">
        <w:rPr>
          <w:vertAlign w:val="superscript"/>
        </w:rPr>
        <w:footnoteReference w:id="111"/>
      </w:r>
      <w:r w:rsidRPr="00854970">
        <w:t xml:space="preserve"> Greater Western Water has the opportunity to respond to our draft decision with information to support how its proposal is compliant with the new customer contribution pricing principle</w:t>
      </w:r>
      <w:r w:rsidR="00527337">
        <w:t>s</w:t>
      </w:r>
      <w:r w:rsidRPr="00854970">
        <w:t>.</w:t>
      </w:r>
    </w:p>
    <w:p w14:paraId="4F1D7B05" w14:textId="672867AF" w:rsidR="0012261E" w:rsidRPr="00854970" w:rsidRDefault="000D54F9" w:rsidP="0012261E">
      <w:pPr>
        <w:keepNext/>
        <w:keepLines/>
        <w:spacing w:before="200" w:after="120"/>
        <w:outlineLvl w:val="2"/>
        <w:rPr>
          <w:rFonts w:ascii="Tahoma" w:eastAsiaTheme="majorEastAsia" w:hAnsi="Tahoma" w:cstheme="majorBidi"/>
          <w:b/>
          <w:color w:val="4986A0" w:themeColor="text2"/>
          <w:szCs w:val="24"/>
        </w:rPr>
      </w:pPr>
      <w:r>
        <w:rPr>
          <w:rFonts w:ascii="Tahoma" w:eastAsiaTheme="majorEastAsia" w:hAnsi="Tahoma" w:cstheme="majorBidi"/>
          <w:b/>
          <w:color w:val="4986A0" w:themeColor="text2"/>
          <w:szCs w:val="24"/>
        </w:rPr>
        <w:t>P</w:t>
      </w:r>
      <w:r w:rsidR="0012261E" w:rsidRPr="00854970">
        <w:rPr>
          <w:rFonts w:ascii="Tahoma" w:eastAsiaTheme="majorEastAsia" w:hAnsi="Tahoma" w:cstheme="majorBidi"/>
          <w:b/>
          <w:color w:val="4986A0" w:themeColor="text2"/>
          <w:szCs w:val="24"/>
        </w:rPr>
        <w:t xml:space="preserve">roposed standard new customer contributions do not appear cost </w:t>
      </w:r>
      <w:proofErr w:type="gramStart"/>
      <w:r w:rsidR="0012261E" w:rsidRPr="00854970">
        <w:rPr>
          <w:rFonts w:ascii="Tahoma" w:eastAsiaTheme="majorEastAsia" w:hAnsi="Tahoma" w:cstheme="majorBidi"/>
          <w:b/>
          <w:color w:val="4986A0" w:themeColor="text2"/>
          <w:szCs w:val="24"/>
        </w:rPr>
        <w:t>reflective</w:t>
      </w:r>
      <w:proofErr w:type="gramEnd"/>
      <w:r w:rsidR="0012261E" w:rsidRPr="00854970">
        <w:rPr>
          <w:rFonts w:ascii="Tahoma" w:eastAsiaTheme="majorEastAsia" w:hAnsi="Tahoma" w:cstheme="majorBidi"/>
          <w:b/>
          <w:color w:val="4986A0" w:themeColor="text2"/>
          <w:szCs w:val="24"/>
        </w:rPr>
        <w:t xml:space="preserve"> </w:t>
      </w:r>
    </w:p>
    <w:p w14:paraId="390549EE" w14:textId="77777777" w:rsidR="0012261E" w:rsidRPr="00854970" w:rsidRDefault="0012261E" w:rsidP="0012261E">
      <w:pPr>
        <w:spacing w:before="240"/>
        <w:rPr>
          <w:rFonts w:ascii="Arial" w:eastAsia="Arial" w:hAnsi="Arial" w:cs="Arial"/>
        </w:rPr>
      </w:pPr>
      <w:r w:rsidRPr="00854970">
        <w:rPr>
          <w:rFonts w:ascii="Arial" w:eastAsia="Arial" w:hAnsi="Arial" w:cs="Arial"/>
        </w:rPr>
        <w:t>Our guidance sets out the pricing principles, and states that “Standard and negotiated new customer contribution charges will have regard to the incremental infrastructure and associated costs in one or more of the statutory cost categories attributable to a given connection”. In essence, this requires new customer contributions to be cost reflective.</w:t>
      </w:r>
    </w:p>
    <w:p w14:paraId="68236541" w14:textId="2FFBC522" w:rsidR="00500FB0" w:rsidRDefault="0012261E" w:rsidP="00D75A38">
      <w:pPr>
        <w:spacing w:before="240"/>
      </w:pPr>
      <w:r w:rsidRPr="00854970">
        <w:t>We have reviewed Greater Western Water’s proposed standard new customer contribution</w:t>
      </w:r>
      <w:r w:rsidR="005A2A30">
        <w:t>s</w:t>
      </w:r>
      <w:r w:rsidRPr="00854970">
        <w:t xml:space="preserve"> and </w:t>
      </w:r>
      <w:r w:rsidR="00912F64" w:rsidRPr="00854970">
        <w:t xml:space="preserve">we observe that </w:t>
      </w:r>
      <w:r w:rsidR="00317930">
        <w:t xml:space="preserve">most </w:t>
      </w:r>
      <w:r w:rsidRPr="00854970">
        <w:t>are</w:t>
      </w:r>
      <w:r w:rsidR="003A104E">
        <w:t xml:space="preserve"> </w:t>
      </w:r>
      <w:r w:rsidRPr="00854970">
        <w:t>lower than the charges calculated in its new customer contributions pricing model</w:t>
      </w:r>
      <w:r w:rsidR="006A5A3A">
        <w:t xml:space="preserve"> (</w:t>
      </w:r>
      <w:r w:rsidR="0034694F">
        <w:t xml:space="preserve">see </w:t>
      </w:r>
      <w:r w:rsidR="006A5A3A">
        <w:t>Table 5.1 above)</w:t>
      </w:r>
      <w:r w:rsidRPr="00854970">
        <w:t xml:space="preserve">. </w:t>
      </w:r>
      <w:r w:rsidR="00500FB0" w:rsidRPr="00854970">
        <w:t>Greater Western Water estimates, based on its current assumptions on expenditure and demand, that its new customer contributions will be</w:t>
      </w:r>
      <w:r w:rsidR="00500FB0" w:rsidRPr="00854970" w:rsidDel="00B5386D">
        <w:t xml:space="preserve"> </w:t>
      </w:r>
      <w:r w:rsidR="00500FB0" w:rsidRPr="00854970">
        <w:t xml:space="preserve">cost reflective by 2040, and potentially longer for recycled water. </w:t>
      </w:r>
    </w:p>
    <w:p w14:paraId="46DF1073" w14:textId="2CF39278" w:rsidR="00BF1870" w:rsidRPr="00854970" w:rsidRDefault="00BF1870" w:rsidP="00BF1870">
      <w:r w:rsidRPr="00854970">
        <w:t xml:space="preserve">Regarding the alignment of standard new customer contributions between the central and western regions, </w:t>
      </w:r>
      <w:r w:rsidR="00335C78">
        <w:t xml:space="preserve">we consider </w:t>
      </w:r>
      <w:r w:rsidRPr="00854970">
        <w:t xml:space="preserve">Greater Western Water </w:t>
      </w:r>
      <w:r w:rsidR="00335C78">
        <w:t xml:space="preserve">has not sufficiently justified its proposals against the guidance </w:t>
      </w:r>
      <w:r w:rsidR="006255AC">
        <w:t>principles</w:t>
      </w:r>
      <w:r w:rsidR="00847B2B">
        <w:t xml:space="preserve">, noting a proposed </w:t>
      </w:r>
      <w:r w:rsidR="00CB222D">
        <w:t>42</w:t>
      </w:r>
      <w:r w:rsidR="00D71B67">
        <w:t> </w:t>
      </w:r>
      <w:r w:rsidR="00CB222D">
        <w:t xml:space="preserve">per cent reduction </w:t>
      </w:r>
      <w:r w:rsidR="00E71983">
        <w:t>of the current</w:t>
      </w:r>
      <w:r w:rsidR="00CB222D">
        <w:t xml:space="preserve"> western infill charge</w:t>
      </w:r>
      <w:r w:rsidR="00464EEA">
        <w:t xml:space="preserve"> </w:t>
      </w:r>
      <w:r w:rsidR="00344ECD">
        <w:t xml:space="preserve">which was approved as meeting the guidance principles at Western Water’s 2020 price review. </w:t>
      </w:r>
    </w:p>
    <w:p w14:paraId="5819BB70" w14:textId="1C4BEB6F" w:rsidR="004042B8" w:rsidRDefault="00BF1870" w:rsidP="008C078B">
      <w:r>
        <w:t xml:space="preserve">We </w:t>
      </w:r>
      <w:r w:rsidRPr="00854970">
        <w:t>understand</w:t>
      </w:r>
      <w:r>
        <w:t xml:space="preserve"> </w:t>
      </w:r>
      <w:r w:rsidRPr="00854970">
        <w:t xml:space="preserve">that moving to cost reflectivity </w:t>
      </w:r>
      <w:r>
        <w:t xml:space="preserve">often </w:t>
      </w:r>
      <w:r w:rsidRPr="00854970">
        <w:t>requires transition</w:t>
      </w:r>
      <w:r>
        <w:t xml:space="preserve"> over a reasonable </w:t>
      </w:r>
      <w:proofErr w:type="gramStart"/>
      <w:r>
        <w:t>period of time</w:t>
      </w:r>
      <w:proofErr w:type="gramEnd"/>
      <w:r w:rsidR="001B738E">
        <w:t>,</w:t>
      </w:r>
      <w:r>
        <w:t xml:space="preserve"> </w:t>
      </w:r>
      <w:r w:rsidR="001E6D9E">
        <w:t xml:space="preserve">particularly where </w:t>
      </w:r>
      <w:r w:rsidR="00813724">
        <w:t xml:space="preserve">the gap from current </w:t>
      </w:r>
      <w:r w:rsidR="001E6D9E">
        <w:t xml:space="preserve">charges </w:t>
      </w:r>
      <w:r w:rsidR="007A4433">
        <w:t>is large</w:t>
      </w:r>
      <w:r w:rsidR="001E6D9E">
        <w:t xml:space="preserve">, </w:t>
      </w:r>
      <w:r>
        <w:t xml:space="preserve">to </w:t>
      </w:r>
      <w:r w:rsidR="00364BC4">
        <w:t xml:space="preserve">better </w:t>
      </w:r>
      <w:r>
        <w:t xml:space="preserve">enable stakeholders </w:t>
      </w:r>
      <w:r w:rsidR="001E6D9E">
        <w:t xml:space="preserve">to </w:t>
      </w:r>
      <w:r>
        <w:t>adjust to new arrangements</w:t>
      </w:r>
      <w:r w:rsidRPr="00854970">
        <w:t>.</w:t>
      </w:r>
      <w:r w:rsidR="00D321D6">
        <w:t xml:space="preserve"> </w:t>
      </w:r>
    </w:p>
    <w:p w14:paraId="1BA412A5" w14:textId="33E6AE35" w:rsidR="00A329F7" w:rsidRDefault="004042B8" w:rsidP="008C078B">
      <w:r>
        <w:t xml:space="preserve">For </w:t>
      </w:r>
      <w:r w:rsidR="00ED3E6A">
        <w:t xml:space="preserve">its future price submissions, </w:t>
      </w:r>
      <w:r w:rsidR="0028367E" w:rsidRPr="00854970">
        <w:t xml:space="preserve">Greater Western Water </w:t>
      </w:r>
      <w:r w:rsidR="00ED3E6A">
        <w:t xml:space="preserve">should provide additional detail on </w:t>
      </w:r>
      <w:r w:rsidR="00486EFF">
        <w:t>its transition plans for new customer contributions</w:t>
      </w:r>
      <w:r w:rsidR="004512E6">
        <w:t>, informed by engagement,</w:t>
      </w:r>
      <w:r w:rsidR="00486EFF">
        <w:t xml:space="preserve"> to </w:t>
      </w:r>
      <w:r w:rsidR="00E022D9">
        <w:t>achiev</w:t>
      </w:r>
      <w:r w:rsidR="00A329F7">
        <w:t>e more cost reflective charges</w:t>
      </w:r>
      <w:r w:rsidR="0066640D">
        <w:t xml:space="preserve">. </w:t>
      </w:r>
      <w:r w:rsidR="00187743">
        <w:t xml:space="preserve">This may be informed by our upcoming review of the new customer contribution framework. </w:t>
      </w:r>
      <w:r w:rsidR="00BE3312">
        <w:t>As noted below, we are seeking further information from Greater Western Water to inform our final decision.</w:t>
      </w:r>
    </w:p>
    <w:p w14:paraId="7E05FEBF" w14:textId="77777777" w:rsidR="002362C5" w:rsidRPr="003D14C0" w:rsidRDefault="002362C5" w:rsidP="002362C5">
      <w:pPr>
        <w:keepNext/>
        <w:keepLines/>
        <w:spacing w:before="200" w:after="120"/>
        <w:outlineLvl w:val="2"/>
        <w:rPr>
          <w:rFonts w:ascii="Tahoma" w:eastAsiaTheme="majorEastAsia" w:hAnsi="Tahoma" w:cstheme="majorBidi"/>
          <w:b/>
          <w:color w:val="4986A0" w:themeColor="text2"/>
          <w:szCs w:val="24"/>
        </w:rPr>
      </w:pPr>
      <w:r w:rsidRPr="003D14C0">
        <w:rPr>
          <w:rFonts w:ascii="Tahoma" w:eastAsiaTheme="majorEastAsia" w:hAnsi="Tahoma" w:cstheme="majorBidi"/>
          <w:b/>
          <w:color w:val="4986A0" w:themeColor="text2"/>
          <w:szCs w:val="24"/>
        </w:rPr>
        <w:lastRenderedPageBreak/>
        <w:t>Draft decision</w:t>
      </w:r>
    </w:p>
    <w:p w14:paraId="0AD4B423" w14:textId="77777777" w:rsidR="001A2955" w:rsidRPr="00854970" w:rsidRDefault="001A2955" w:rsidP="001A2955">
      <w:r w:rsidRPr="00854970">
        <w:t xml:space="preserve">Our draft decision is to not approve Greater Western Water’s proposed standard new customer contributions because, based on the information provided to date, our preliminary view is that they do not meet our guidance. </w:t>
      </w:r>
    </w:p>
    <w:p w14:paraId="1D0F51FF" w14:textId="77777777" w:rsidR="001A2955" w:rsidRPr="00854970" w:rsidRDefault="001A2955" w:rsidP="001A2955">
      <w:r w:rsidRPr="00854970">
        <w:t>In response to our draft decision in relation to standard new customer contributions, Greater Western Water must:</w:t>
      </w:r>
    </w:p>
    <w:p w14:paraId="10C68F6E" w14:textId="4564B268" w:rsidR="00101C64" w:rsidRPr="00854970" w:rsidRDefault="009B25F5" w:rsidP="00ED1290">
      <w:pPr>
        <w:pStyle w:val="ListBullet"/>
      </w:pPr>
      <w:r>
        <w:t>explain how</w:t>
      </w:r>
      <w:r w:rsidR="00101C64" w:rsidRPr="00854970">
        <w:t xml:space="preserve"> </w:t>
      </w:r>
      <w:r w:rsidR="001255B2" w:rsidRPr="00854970">
        <w:t xml:space="preserve">its </w:t>
      </w:r>
      <w:r w:rsidR="001404D7">
        <w:t>proposed</w:t>
      </w:r>
      <w:r w:rsidR="0095596C">
        <w:t xml:space="preserve"> </w:t>
      </w:r>
      <w:r w:rsidR="00BB1C1E" w:rsidRPr="00854970">
        <w:t xml:space="preserve">uniform </w:t>
      </w:r>
      <w:r w:rsidR="00467AE2" w:rsidRPr="00854970">
        <w:t>standard new customer contribution</w:t>
      </w:r>
      <w:r w:rsidR="004C7598">
        <w:t>s</w:t>
      </w:r>
      <w:r w:rsidR="00467AE2" w:rsidRPr="00854970">
        <w:t xml:space="preserve"> </w:t>
      </w:r>
      <w:r w:rsidR="008B1749">
        <w:t xml:space="preserve">consider the guidance </w:t>
      </w:r>
      <w:proofErr w:type="gramStart"/>
      <w:r w:rsidR="008B1749">
        <w:t>principles</w:t>
      </w:r>
      <w:proofErr w:type="gramEnd"/>
    </w:p>
    <w:p w14:paraId="2EF1F82B" w14:textId="5881DBAA" w:rsidR="002362C5" w:rsidRPr="00854970" w:rsidRDefault="002362C5" w:rsidP="00ED1290">
      <w:pPr>
        <w:pStyle w:val="ListBullet"/>
      </w:pPr>
      <w:r w:rsidRPr="00854970">
        <w:t>provide its justification, including the cost analysis it is based on, to support a uniform greenfield new customer contribution in the western greenfield areas</w:t>
      </w:r>
      <w:r w:rsidR="00AC1BCA">
        <w:t>.</w:t>
      </w:r>
      <w:r w:rsidRPr="00854970">
        <w:t xml:space="preserve"> </w:t>
      </w:r>
    </w:p>
    <w:p w14:paraId="5667B6C3" w14:textId="77777777" w:rsidR="002362C5" w:rsidRPr="003D14C0" w:rsidRDefault="002362C5" w:rsidP="002362C5">
      <w:r w:rsidRPr="00854970">
        <w:t>We are seeking further views from stakeholders – including customers and developers – about Greater Western Water’s proposed standard new customer contributions and transition path to higher charges.</w:t>
      </w:r>
    </w:p>
    <w:p w14:paraId="63DB3DDD" w14:textId="77777777" w:rsidR="002362C5" w:rsidRPr="003D14C0" w:rsidRDefault="002362C5" w:rsidP="002362C5">
      <w:pPr>
        <w:keepNext/>
        <w:keepLines/>
        <w:spacing w:before="200" w:after="120"/>
        <w:outlineLvl w:val="2"/>
        <w:rPr>
          <w:rFonts w:ascii="Tahoma" w:eastAsiaTheme="majorEastAsia" w:hAnsi="Tahoma" w:cstheme="majorBidi"/>
          <w:b/>
          <w:color w:val="4986A0" w:themeColor="text2"/>
          <w:szCs w:val="24"/>
        </w:rPr>
      </w:pPr>
      <w:r w:rsidRPr="003D14C0">
        <w:rPr>
          <w:rFonts w:ascii="Tahoma" w:eastAsiaTheme="majorEastAsia" w:hAnsi="Tahoma" w:cstheme="majorBidi"/>
          <w:b/>
          <w:color w:val="4986A0" w:themeColor="text2"/>
          <w:szCs w:val="24"/>
        </w:rPr>
        <w:t xml:space="preserve">Negotiated new customer contributions </w:t>
      </w:r>
      <w:proofErr w:type="gramStart"/>
      <w:r w:rsidRPr="003D14C0">
        <w:rPr>
          <w:rFonts w:ascii="Tahoma" w:eastAsiaTheme="majorEastAsia" w:hAnsi="Tahoma" w:cstheme="majorBidi"/>
          <w:b/>
          <w:color w:val="4986A0" w:themeColor="text2"/>
          <w:szCs w:val="24"/>
        </w:rPr>
        <w:t>framework</w:t>
      </w:r>
      <w:proofErr w:type="gramEnd"/>
    </w:p>
    <w:p w14:paraId="6CE13E1E" w14:textId="7D5C6473" w:rsidR="002362C5" w:rsidRPr="006D037F" w:rsidRDefault="002362C5" w:rsidP="002362C5">
      <w:r w:rsidRPr="007C664D">
        <w:t>We reviewed Greater Western Water’s proposed negotiated new customer contributions framework. Our draft decision accepts Greater Western Water’s proposed framework for negotiated new customer contributions because it complies with our new customer contributions pricing principles.</w:t>
      </w:r>
    </w:p>
    <w:p w14:paraId="7F68C38D" w14:textId="1369B2CE" w:rsidR="00765356" w:rsidRDefault="00022DAC" w:rsidP="00F22C01">
      <w:pPr>
        <w:pStyle w:val="Heading2"/>
      </w:pPr>
      <w:bookmarkStart w:id="122" w:name="_Toc161401006"/>
      <w:r w:rsidRPr="007C664D">
        <w:t>5.</w:t>
      </w:r>
      <w:r w:rsidR="00670DC7" w:rsidRPr="007C664D">
        <w:t>5</w:t>
      </w:r>
      <w:r w:rsidRPr="007C664D">
        <w:tab/>
      </w:r>
      <w:r w:rsidR="00765356" w:rsidRPr="007C664D">
        <w:t xml:space="preserve">Adjusting </w:t>
      </w:r>
      <w:proofErr w:type="gramStart"/>
      <w:r w:rsidR="00765356" w:rsidRPr="007C664D">
        <w:t>prices</w:t>
      </w:r>
      <w:bookmarkEnd w:id="122"/>
      <w:proofErr w:type="gramEnd"/>
    </w:p>
    <w:p w14:paraId="4FA505C8" w14:textId="44E967DC" w:rsidR="00042429" w:rsidRPr="007C664D" w:rsidRDefault="00042429" w:rsidP="00EA47F1">
      <w:pPr>
        <w:pStyle w:val="Pull-out"/>
      </w:pPr>
      <w:r w:rsidRPr="007C664D">
        <w:t>Our draft decision is to accept Greater Western Water’s proposed price adjustment mechanisms.</w:t>
      </w:r>
    </w:p>
    <w:p w14:paraId="08DBBBED" w14:textId="631BE429" w:rsidR="00042429" w:rsidRPr="007C664D" w:rsidRDefault="00042429" w:rsidP="00042429">
      <w:r w:rsidRPr="007C664D">
        <w:t>Greater Western Water’s proposed price adjustment mechanisms are set out on page</w:t>
      </w:r>
      <w:r w:rsidR="00A46556" w:rsidRPr="007C664D">
        <w:t> </w:t>
      </w:r>
      <w:r w:rsidRPr="007C664D">
        <w:t xml:space="preserve">114 of its price submission. It proposed the following price adjustment mechanisms, which are </w:t>
      </w:r>
      <w:proofErr w:type="gramStart"/>
      <w:r w:rsidRPr="007C664D">
        <w:t>similar to</w:t>
      </w:r>
      <w:proofErr w:type="gramEnd"/>
      <w:r w:rsidRPr="007C664D">
        <w:t xml:space="preserve"> those in the current regulatory period with some minor adjustments:</w:t>
      </w:r>
    </w:p>
    <w:p w14:paraId="70C526A5" w14:textId="77777777" w:rsidR="00042429" w:rsidRPr="007C664D" w:rsidRDefault="00042429" w:rsidP="00ED1290">
      <w:pPr>
        <w:pStyle w:val="ListBullet"/>
      </w:pPr>
      <w:r w:rsidRPr="007C664D">
        <w:t>a rolling 10-year average cost of debt</w:t>
      </w:r>
    </w:p>
    <w:p w14:paraId="566886F2" w14:textId="77223A40" w:rsidR="00042429" w:rsidRPr="007C664D" w:rsidRDefault="00042429" w:rsidP="00ED1290">
      <w:pPr>
        <w:pStyle w:val="ListBullet"/>
      </w:pPr>
      <w:r w:rsidRPr="007C664D">
        <w:t>to pass</w:t>
      </w:r>
      <w:r w:rsidR="007D42FC" w:rsidRPr="007C664D">
        <w:t xml:space="preserve"> </w:t>
      </w:r>
      <w:r w:rsidRPr="007C664D">
        <w:t>through the annual desalination water order and changes to the security charge</w:t>
      </w:r>
    </w:p>
    <w:p w14:paraId="030DC743" w14:textId="4417D9D7" w:rsidR="00042429" w:rsidRPr="007C664D" w:rsidRDefault="00042429" w:rsidP="00ED1290">
      <w:pPr>
        <w:pStyle w:val="ListBullet"/>
      </w:pPr>
      <w:r w:rsidRPr="007C664D">
        <w:t>to pass</w:t>
      </w:r>
      <w:r w:rsidR="007D42FC" w:rsidRPr="007C664D">
        <w:t xml:space="preserve"> </w:t>
      </w:r>
      <w:r w:rsidRPr="007C664D">
        <w:t>through other annual changes to Melbourne Water’s bulk water and sewerage prices including cost of debt adjustments where applicable.</w:t>
      </w:r>
    </w:p>
    <w:p w14:paraId="42A2048B" w14:textId="3F33A619" w:rsidR="00042429" w:rsidRPr="007C664D" w:rsidRDefault="00042429" w:rsidP="00042429">
      <w:r w:rsidRPr="007C664D">
        <w:lastRenderedPageBreak/>
        <w:t>Greater Western Water proposed to extend its cost of debt adjustment to water and sewage usage tariffs.</w:t>
      </w:r>
      <w:r w:rsidR="00FB635A" w:rsidRPr="007C664D">
        <w:rPr>
          <w:rStyle w:val="FootnoteReference"/>
        </w:rPr>
        <w:footnoteReference w:id="112"/>
      </w:r>
      <w:r w:rsidRPr="007C664D">
        <w:t xml:space="preserve"> This will allow it to pass through the savings from falling cost of debt to </w:t>
      </w:r>
      <w:r w:rsidR="003E3BB8" w:rsidRPr="007C664D">
        <w:t>tenants.</w:t>
      </w:r>
      <w:r w:rsidRPr="007C664D">
        <w:t xml:space="preserve"> </w:t>
      </w:r>
    </w:p>
    <w:p w14:paraId="6C25E57D" w14:textId="4F2716BE" w:rsidR="00BB45EB" w:rsidRPr="00BB45EB" w:rsidRDefault="00042429" w:rsidP="00472DD3">
      <w:r w:rsidRPr="007C664D">
        <w:t>Our preliminary assessment is that Greater Western Water’s proposed price adjustment mechanisms satisfy the requirements of our guidance. Further, they are mainly a continuation of Greater Western Water’s current arrangements. Therefore, our draft decision accepts Greater Western Water’s proposed price adjustment mechanisms</w:t>
      </w:r>
      <w:r w:rsidR="00472DD3" w:rsidRPr="007C664D">
        <w:t>.</w:t>
      </w:r>
    </w:p>
    <w:p w14:paraId="16191EF0" w14:textId="77777777" w:rsidR="00104608" w:rsidRDefault="00104608" w:rsidP="00BB45EB">
      <w:pPr>
        <w:sectPr w:rsidR="00104608" w:rsidSect="00736B75">
          <w:footerReference w:type="default" r:id="rId39"/>
          <w:pgSz w:w="11906" w:h="16838" w:code="9"/>
          <w:pgMar w:top="1134" w:right="1134" w:bottom="1134" w:left="1134" w:header="709" w:footer="692" w:gutter="0"/>
          <w:cols w:space="708"/>
          <w:docGrid w:linePitch="360"/>
        </w:sectPr>
      </w:pPr>
    </w:p>
    <w:p w14:paraId="2B101CF2" w14:textId="60DA88C2" w:rsidR="00BF7DEC" w:rsidRDefault="00EF4F01" w:rsidP="00F22C01">
      <w:pPr>
        <w:pStyle w:val="Heading1"/>
        <w:ind w:left="709" w:hanging="709"/>
      </w:pPr>
      <w:bookmarkStart w:id="123" w:name="_Toc161401007"/>
      <w:r w:rsidRPr="007C664D">
        <w:lastRenderedPageBreak/>
        <w:t>6.</w:t>
      </w:r>
      <w:r w:rsidRPr="007C664D">
        <w:tab/>
      </w:r>
      <w:r w:rsidR="00BF7DEC" w:rsidRPr="007C664D">
        <w:t>Financial position</w:t>
      </w:r>
      <w:bookmarkEnd w:id="123"/>
    </w:p>
    <w:p w14:paraId="206E7ED1" w14:textId="77777777" w:rsidR="00BF7DEC" w:rsidRDefault="00BF7DEC" w:rsidP="00BF7DEC">
      <w:pPr>
        <w:pStyle w:val="Pull-out"/>
      </w:pPr>
      <w:r w:rsidRPr="007C664D">
        <w:t xml:space="preserve">We have reviewed key indicators of </w:t>
      </w:r>
      <w:r w:rsidR="00AA1D9F" w:rsidRPr="007C664D">
        <w:t>Greater Western Water</w:t>
      </w:r>
      <w:r w:rsidRPr="007C664D">
        <w:t xml:space="preserve">’s financial </w:t>
      </w:r>
      <w:proofErr w:type="gramStart"/>
      <w:r w:rsidRPr="007C664D">
        <w:t>performance</w:t>
      </w:r>
      <w:proofErr w:type="gramEnd"/>
      <w:r w:rsidRPr="007C664D">
        <w:t xml:space="preserve"> and our preliminary view is that </w:t>
      </w:r>
      <w:r w:rsidR="00AA1D9F" w:rsidRPr="007C664D">
        <w:t>Greater Western Water</w:t>
      </w:r>
      <w:r w:rsidRPr="007C664D">
        <w:t xml:space="preserve"> will generate sufficient cash flow to deliver on </w:t>
      </w:r>
      <w:r w:rsidR="0036010C" w:rsidRPr="007C664D">
        <w:t xml:space="preserve">its </w:t>
      </w:r>
      <w:r w:rsidRPr="007C664D">
        <w:t>service commitments.</w:t>
      </w:r>
    </w:p>
    <w:p w14:paraId="4A03D55E" w14:textId="77777777" w:rsidR="00BF7DEC" w:rsidRDefault="00BF7DEC" w:rsidP="00BF7DEC">
      <w:r>
        <w:t>In approving prices, we must have regard to the financial viability of the water industry.</w:t>
      </w:r>
      <w:r w:rsidR="008706A9">
        <w:rPr>
          <w:rStyle w:val="FootnoteReference"/>
        </w:rPr>
        <w:footnoteReference w:id="113"/>
      </w:r>
      <w:r w:rsidR="00392C6B">
        <w:t xml:space="preserve"> </w:t>
      </w:r>
      <w:r>
        <w:t xml:space="preserve">We interpret the financial viability requirements under the </w:t>
      </w:r>
      <w:r w:rsidRPr="00C57C0E">
        <w:rPr>
          <w:i/>
          <w:iCs/>
        </w:rPr>
        <w:t xml:space="preserve">Essential Services Commission Act </w:t>
      </w:r>
      <w:r w:rsidR="00C57C0E" w:rsidRPr="00C57C0E">
        <w:rPr>
          <w:i/>
          <w:iCs/>
        </w:rPr>
        <w:t>2001</w:t>
      </w:r>
      <w:r w:rsidR="00C57C0E">
        <w:t xml:space="preserve"> </w:t>
      </w:r>
      <w:r>
        <w:t xml:space="preserve">and the Water Industry Regulatory Order (2014) to mean that the prices we approve should provide a high level of certainty that each water corporation can generate sufficient cash flow to deliver on </w:t>
      </w:r>
      <w:r w:rsidR="00E04075">
        <w:t xml:space="preserve">its </w:t>
      </w:r>
      <w:r>
        <w:t>service commitments, including financing costs arising from investments to meet service expectations.</w:t>
      </w:r>
    </w:p>
    <w:p w14:paraId="101D4EE5" w14:textId="44971230" w:rsidR="00D31808" w:rsidRPr="007C664D" w:rsidRDefault="00D31808" w:rsidP="00D31808">
      <w:r w:rsidRPr="007C664D">
        <w:t xml:space="preserve">Greater Western Water’s 2024 price submission </w:t>
      </w:r>
      <w:r w:rsidR="00D02425" w:rsidRPr="007C664D">
        <w:t>(pages</w:t>
      </w:r>
      <w:r w:rsidR="009D4A3A">
        <w:t> </w:t>
      </w:r>
      <w:r w:rsidR="00D02425" w:rsidRPr="007C664D">
        <w:t xml:space="preserve">125 to 126) </w:t>
      </w:r>
      <w:r w:rsidRPr="007C664D">
        <w:t xml:space="preserve">and the supporting financial model provided estimates for key indicators of financial performance. These estimates were based on Greater Western Water’s assumptions about its revenue and expenditure. </w:t>
      </w:r>
    </w:p>
    <w:p w14:paraId="59A11CCE" w14:textId="4AE390BC" w:rsidR="003D7C77" w:rsidRPr="007C664D" w:rsidRDefault="003D7C77" w:rsidP="00D31808">
      <w:r>
        <w:t xml:space="preserve">Our draft decision proposes a different revenue requirement to Greater Western Water. Accordingly, </w:t>
      </w:r>
      <w:r w:rsidR="00E278DC">
        <w:t>the estimates for the key indicators are different under our draft decision to those estimated by Greater Western Water, but as shown in Table</w:t>
      </w:r>
      <w:r w:rsidR="00587532">
        <w:t> </w:t>
      </w:r>
      <w:r w:rsidR="00E278DC">
        <w:t xml:space="preserve">6.1, </w:t>
      </w:r>
      <w:r w:rsidR="00C4281A">
        <w:t>the</w:t>
      </w:r>
      <w:r w:rsidR="00072472">
        <w:t xml:space="preserve"> differences are small</w:t>
      </w:r>
      <w:r w:rsidR="00E278DC">
        <w:t>.</w:t>
      </w:r>
    </w:p>
    <w:p w14:paraId="7D7985D5" w14:textId="10A18B1F" w:rsidR="00C4281A" w:rsidRDefault="00C371EF" w:rsidP="00D31808">
      <w:r>
        <w:t>As noted in our guidance, the prima</w:t>
      </w:r>
      <w:r w:rsidR="00072472">
        <w:t xml:space="preserve">ry indicator </w:t>
      </w:r>
      <w:r w:rsidR="0062103F">
        <w:t xml:space="preserve">in our assessment of </w:t>
      </w:r>
      <w:r w:rsidR="00F77F5B">
        <w:t xml:space="preserve">the </w:t>
      </w:r>
      <w:r w:rsidR="00072472">
        <w:t xml:space="preserve">financial </w:t>
      </w:r>
      <w:r w:rsidR="00F77F5B">
        <w:t>position</w:t>
      </w:r>
      <w:r w:rsidR="00072472">
        <w:t xml:space="preserve"> </w:t>
      </w:r>
      <w:r w:rsidR="00F77F5B">
        <w:t xml:space="preserve">of a business </w:t>
      </w:r>
      <w:r w:rsidR="00072472">
        <w:t xml:space="preserve">is </w:t>
      </w:r>
      <w:r w:rsidR="00F77F5B" w:rsidRPr="007C664D">
        <w:t>Funds from Operations (FFO) interest cover</w:t>
      </w:r>
      <w:r w:rsidR="00F77F5B">
        <w:t>.</w:t>
      </w:r>
      <w:r w:rsidR="000B5438" w:rsidRPr="000B5438">
        <w:t xml:space="preserve"> </w:t>
      </w:r>
      <w:r w:rsidR="000B5438">
        <w:t xml:space="preserve">Under our draft decision, Greater Western Water </w:t>
      </w:r>
      <w:r w:rsidR="007455E0">
        <w:t xml:space="preserve">is projected to </w:t>
      </w:r>
      <w:r w:rsidR="000B5438">
        <w:t xml:space="preserve">remain above the </w:t>
      </w:r>
      <w:r w:rsidR="007455E0">
        <w:t xml:space="preserve">minimum </w:t>
      </w:r>
      <w:r w:rsidR="000B5438">
        <w:t xml:space="preserve">benchmark for FFO interest cover. </w:t>
      </w:r>
    </w:p>
    <w:p w14:paraId="181C6389" w14:textId="51A5978E" w:rsidR="00AA6CAD" w:rsidRDefault="005B40E3" w:rsidP="00086826">
      <w:r>
        <w:t>G</w:t>
      </w:r>
      <w:r w:rsidR="00F22B7E">
        <w:t xml:space="preserve">earing </w:t>
      </w:r>
      <w:r>
        <w:t>(</w:t>
      </w:r>
      <w:r w:rsidR="00FE04CE">
        <w:t>Net debt / R</w:t>
      </w:r>
      <w:r>
        <w:t>egulatory asset value)</w:t>
      </w:r>
      <w:r w:rsidR="00985C57">
        <w:t xml:space="preserve"> is forecast to remain above the </w:t>
      </w:r>
      <w:r w:rsidR="00453777">
        <w:t>maximum</w:t>
      </w:r>
      <w:r w:rsidR="00985C57">
        <w:t xml:space="preserve"> threshold of 70</w:t>
      </w:r>
      <w:r w:rsidR="0051684B">
        <w:t> </w:t>
      </w:r>
      <w:r w:rsidR="00985C57">
        <w:t xml:space="preserve">per cent. </w:t>
      </w:r>
      <w:r w:rsidR="0069744B">
        <w:t>U</w:t>
      </w:r>
      <w:r w:rsidR="00AA6CAD">
        <w:t xml:space="preserve">tility businesses commonly operate at gearing levels above this </w:t>
      </w:r>
      <w:proofErr w:type="gramStart"/>
      <w:r w:rsidR="00AA6CAD">
        <w:t>threshold</w:t>
      </w:r>
      <w:proofErr w:type="gramEnd"/>
      <w:r w:rsidR="00AA6CAD">
        <w:t xml:space="preserve"> and </w:t>
      </w:r>
      <w:r w:rsidR="00BB7C38">
        <w:t xml:space="preserve">this </w:t>
      </w:r>
      <w:r w:rsidR="00015BF5">
        <w:t xml:space="preserve">is influenced by the capital program </w:t>
      </w:r>
      <w:r w:rsidR="00BB73F6">
        <w:t>proposed by Greater Western Water (which we acknowledge is partly driven by the integration needs of the business).</w:t>
      </w:r>
      <w:r w:rsidR="00193281">
        <w:t xml:space="preserve"> Similarly, outcomes for </w:t>
      </w:r>
      <w:r w:rsidR="008B3251">
        <w:t xml:space="preserve">Funds from Operations / Net Debt, and </w:t>
      </w:r>
      <w:r w:rsidR="00197F78">
        <w:t xml:space="preserve">the internal financing ratio, </w:t>
      </w:r>
      <w:r w:rsidR="00BE10D0">
        <w:t xml:space="preserve">are sensitive to the scope and timing of the increases in capital expenditure proposed by Greater Western Water. </w:t>
      </w:r>
    </w:p>
    <w:p w14:paraId="3F56D870" w14:textId="1B882767" w:rsidR="007B3A79" w:rsidRPr="007C664D" w:rsidRDefault="007B3A79" w:rsidP="008B3DD4">
      <w:r w:rsidRPr="007C664D">
        <w:t xml:space="preserve">Businesses are primarily responsible for managing their financial performance and our expectation is they will explore avenues to address any concerns prior to seeking a financial viability adjustment to their maximum prices, which is a last resort safeguard available in the pricing framework. Moreover, the financial viability metrics are likely to change in the lead up to our final </w:t>
      </w:r>
      <w:r w:rsidRPr="007C664D">
        <w:lastRenderedPageBreak/>
        <w:t>decision, given upcoming adjustments including the long-term inflation rate. We will undertake a further assessment at the time of our final decision.</w:t>
      </w:r>
    </w:p>
    <w:p w14:paraId="16EEC666" w14:textId="02572033" w:rsidR="00346A08" w:rsidRDefault="00346A08" w:rsidP="00346A08">
      <w:r>
        <w:t xml:space="preserve">For our draft decision, consistent with our primary focus on </w:t>
      </w:r>
      <w:r w:rsidR="00A013FE" w:rsidRPr="007C664D">
        <w:t>F</w:t>
      </w:r>
      <w:r w:rsidR="005C57BA" w:rsidRPr="007C664D">
        <w:t xml:space="preserve">unds from </w:t>
      </w:r>
      <w:r w:rsidR="00F66C0B" w:rsidRPr="007C664D">
        <w:t>O</w:t>
      </w:r>
      <w:r w:rsidR="005C57BA" w:rsidRPr="007C664D">
        <w:t>perations (FFO)</w:t>
      </w:r>
      <w:r w:rsidR="00D31808" w:rsidRPr="007C664D">
        <w:t xml:space="preserve"> interest cover</w:t>
      </w:r>
      <w:r>
        <w:t xml:space="preserve">, we consider </w:t>
      </w:r>
      <w:r w:rsidR="00E16B95">
        <w:t>Greater Western Water</w:t>
      </w:r>
      <w:r w:rsidR="007F136D" w:rsidRPr="007C664D">
        <w:t xml:space="preserve"> will generate sufficient cash flow to </w:t>
      </w:r>
      <w:r w:rsidR="00D67A75" w:rsidRPr="007C664D">
        <w:t>deliver its services</w:t>
      </w:r>
      <w:r w:rsidR="00D31808" w:rsidRPr="007C664D">
        <w:t xml:space="preserve"> and </w:t>
      </w:r>
      <w:r w:rsidR="00D67A75" w:rsidRPr="007C664D">
        <w:t xml:space="preserve">meet </w:t>
      </w:r>
      <w:r w:rsidR="00E146F0" w:rsidRPr="007C664D">
        <w:t xml:space="preserve">its </w:t>
      </w:r>
      <w:r w:rsidR="00D67A75" w:rsidRPr="007C664D">
        <w:t>obligations</w:t>
      </w:r>
      <w:r w:rsidR="00D31808" w:rsidRPr="007C664D">
        <w:t xml:space="preserve"> in the </w:t>
      </w:r>
      <w:r w:rsidR="00D67A75" w:rsidRPr="007C664D">
        <w:t>next regulatory period.</w:t>
      </w:r>
    </w:p>
    <w:p w14:paraId="18811078" w14:textId="77777777" w:rsidR="00082A58" w:rsidRDefault="00BC2EDE" w:rsidP="00B05555">
      <w:pPr>
        <w:ind w:left="1418" w:hanging="1418"/>
        <w:rPr>
          <w:rFonts w:asciiTheme="majorHAnsi" w:eastAsiaTheme="majorEastAsia" w:hAnsiTheme="majorHAnsi" w:cstheme="majorBidi"/>
          <w:b/>
          <w:color w:val="4986A0" w:themeColor="text2"/>
          <w:szCs w:val="24"/>
          <w:lang w:val="en-US"/>
        </w:rPr>
      </w:pPr>
      <w:r w:rsidRPr="003D14C0">
        <w:rPr>
          <w:rFonts w:asciiTheme="majorHAnsi" w:eastAsiaTheme="majorEastAsia" w:hAnsiTheme="majorHAnsi" w:cstheme="majorBidi"/>
          <w:b/>
          <w:color w:val="4986A0" w:themeColor="text2"/>
          <w:szCs w:val="24"/>
          <w:lang w:val="en-US"/>
        </w:rPr>
        <w:t xml:space="preserve">Table </w:t>
      </w:r>
      <w:r>
        <w:rPr>
          <w:rFonts w:asciiTheme="majorHAnsi" w:eastAsiaTheme="majorEastAsia" w:hAnsiTheme="majorHAnsi" w:cstheme="majorBidi"/>
          <w:b/>
          <w:color w:val="4986A0" w:themeColor="text2"/>
          <w:szCs w:val="24"/>
          <w:lang w:val="en-US"/>
        </w:rPr>
        <w:t>6.1</w:t>
      </w:r>
      <w:r w:rsidR="006A1C11">
        <w:rPr>
          <w:rFonts w:asciiTheme="majorHAnsi" w:eastAsiaTheme="majorEastAsia" w:hAnsiTheme="majorHAnsi" w:cstheme="majorBidi"/>
          <w:b/>
          <w:color w:val="4986A0" w:themeColor="text2"/>
          <w:szCs w:val="24"/>
          <w:lang w:val="en-US"/>
        </w:rPr>
        <w:tab/>
      </w:r>
      <w:r w:rsidR="00457BE9">
        <w:rPr>
          <w:rFonts w:asciiTheme="majorHAnsi" w:eastAsiaTheme="majorEastAsia" w:hAnsiTheme="majorHAnsi" w:cstheme="majorBidi"/>
          <w:b/>
          <w:color w:val="4986A0" w:themeColor="text2"/>
          <w:szCs w:val="24"/>
          <w:lang w:val="en-US"/>
        </w:rPr>
        <w:t>Financial indicator</w:t>
      </w:r>
      <w:r w:rsidR="003763D1">
        <w:rPr>
          <w:rFonts w:asciiTheme="majorHAnsi" w:eastAsiaTheme="majorEastAsia" w:hAnsiTheme="majorHAnsi" w:cstheme="majorBidi"/>
          <w:b/>
          <w:color w:val="4986A0" w:themeColor="text2"/>
          <w:szCs w:val="24"/>
          <w:lang w:val="en-US"/>
        </w:rPr>
        <w:t xml:space="preserve"> scores calculated from Greater Western Water’s proposal</w:t>
      </w:r>
      <w:r w:rsidR="00EB4019">
        <w:rPr>
          <w:rFonts w:asciiTheme="majorHAnsi" w:eastAsiaTheme="majorEastAsia" w:hAnsiTheme="majorHAnsi" w:cstheme="majorBidi"/>
          <w:b/>
          <w:color w:val="4986A0" w:themeColor="text2"/>
          <w:szCs w:val="24"/>
          <w:lang w:val="en-US"/>
        </w:rPr>
        <w:t xml:space="preserve">, </w:t>
      </w:r>
      <w:r w:rsidR="006A1C11">
        <w:rPr>
          <w:rFonts w:asciiTheme="majorHAnsi" w:eastAsiaTheme="majorEastAsia" w:hAnsiTheme="majorHAnsi" w:cstheme="majorBidi"/>
          <w:b/>
          <w:color w:val="4986A0" w:themeColor="text2"/>
          <w:szCs w:val="24"/>
          <w:lang w:val="en-US"/>
        </w:rPr>
        <w:t xml:space="preserve">our draft decision and our </w:t>
      </w:r>
      <w:proofErr w:type="gramStart"/>
      <w:r w:rsidR="006A1C11">
        <w:rPr>
          <w:rFonts w:asciiTheme="majorHAnsi" w:eastAsiaTheme="majorEastAsia" w:hAnsiTheme="majorHAnsi" w:cstheme="majorBidi"/>
          <w:b/>
          <w:color w:val="4986A0" w:themeColor="text2"/>
          <w:szCs w:val="24"/>
          <w:lang w:val="en-US"/>
        </w:rPr>
        <w:t>benchmarks</w:t>
      </w:r>
      <w:proofErr w:type="gramEnd"/>
    </w:p>
    <w:tbl>
      <w:tblPr>
        <w:tblStyle w:val="TableGrid1"/>
        <w:tblW w:w="5023" w:type="pct"/>
        <w:tblLook w:val="04A0" w:firstRow="1" w:lastRow="0" w:firstColumn="1" w:lastColumn="0" w:noHBand="0" w:noVBand="1"/>
      </w:tblPr>
      <w:tblGrid>
        <w:gridCol w:w="3266"/>
        <w:gridCol w:w="1876"/>
        <w:gridCol w:w="1135"/>
        <w:gridCol w:w="1135"/>
        <w:gridCol w:w="1135"/>
        <w:gridCol w:w="1135"/>
      </w:tblGrid>
      <w:tr w:rsidR="00630ACB" w:rsidRPr="009E6286" w14:paraId="0E5516F7" w14:textId="77777777">
        <w:trPr>
          <w:cnfStyle w:val="100000000000" w:firstRow="1" w:lastRow="0" w:firstColumn="0" w:lastColumn="0" w:oddVBand="0" w:evenVBand="0" w:oddHBand="0" w:evenHBand="0" w:firstRowFirstColumn="0" w:firstRowLastColumn="0" w:lastRowFirstColumn="0" w:lastRowLastColumn="0"/>
        </w:trPr>
        <w:tc>
          <w:tcPr>
            <w:tcW w:w="1687" w:type="pct"/>
          </w:tcPr>
          <w:p w14:paraId="2D8716FB" w14:textId="77777777" w:rsidR="00630ACB" w:rsidRPr="009E6286" w:rsidRDefault="00630ACB">
            <w:pPr>
              <w:rPr>
                <w:rFonts w:ascii="Arial" w:eastAsia="Arial" w:hAnsi="Arial" w:cs="Arial"/>
              </w:rPr>
            </w:pPr>
          </w:p>
        </w:tc>
        <w:tc>
          <w:tcPr>
            <w:tcW w:w="969" w:type="pct"/>
          </w:tcPr>
          <w:p w14:paraId="32896716" w14:textId="77777777" w:rsidR="00630ACB" w:rsidRPr="009E6286" w:rsidRDefault="00630ACB">
            <w:pPr>
              <w:ind w:right="113"/>
              <w:jc w:val="right"/>
              <w:rPr>
                <w:rFonts w:ascii="Arial" w:eastAsia="Arial" w:hAnsi="Arial" w:cs="Arial"/>
                <w:b w:val="0"/>
              </w:rPr>
            </w:pPr>
          </w:p>
        </w:tc>
        <w:tc>
          <w:tcPr>
            <w:tcW w:w="586" w:type="pct"/>
          </w:tcPr>
          <w:p w14:paraId="5C4490E8" w14:textId="77777777" w:rsidR="00630ACB" w:rsidRPr="009E6286" w:rsidRDefault="00630ACB">
            <w:pPr>
              <w:ind w:right="113"/>
              <w:jc w:val="right"/>
              <w:rPr>
                <w:rFonts w:ascii="Arial" w:eastAsia="Arial" w:hAnsi="Arial" w:cs="Arial"/>
              </w:rPr>
            </w:pPr>
            <w:r w:rsidRPr="009E6286">
              <w:rPr>
                <w:rFonts w:ascii="Arial" w:eastAsia="Arial" w:hAnsi="Arial" w:cs="Arial"/>
              </w:rPr>
              <w:t>2024</w:t>
            </w:r>
            <w:r w:rsidRPr="009E6286">
              <w:rPr>
                <w:rFonts w:ascii="Arial" w:eastAsia="Arial" w:hAnsi="Arial" w:cs="Arial"/>
              </w:rPr>
              <w:noBreakHyphen/>
              <w:t>25</w:t>
            </w:r>
          </w:p>
        </w:tc>
        <w:tc>
          <w:tcPr>
            <w:tcW w:w="586" w:type="pct"/>
          </w:tcPr>
          <w:p w14:paraId="4D77ECEC" w14:textId="77777777" w:rsidR="00630ACB" w:rsidRPr="009E6286" w:rsidRDefault="00630ACB">
            <w:pPr>
              <w:ind w:right="113"/>
              <w:jc w:val="right"/>
              <w:rPr>
                <w:rFonts w:ascii="Arial" w:eastAsia="Arial" w:hAnsi="Arial" w:cs="Arial"/>
              </w:rPr>
            </w:pPr>
            <w:r w:rsidRPr="009E6286">
              <w:rPr>
                <w:rFonts w:ascii="Arial" w:eastAsia="Arial" w:hAnsi="Arial" w:cs="Arial"/>
              </w:rPr>
              <w:t>2025</w:t>
            </w:r>
            <w:r w:rsidRPr="009E6286">
              <w:rPr>
                <w:rFonts w:ascii="Arial" w:eastAsia="Arial" w:hAnsi="Arial" w:cs="Arial"/>
              </w:rPr>
              <w:noBreakHyphen/>
              <w:t>26</w:t>
            </w:r>
          </w:p>
        </w:tc>
        <w:tc>
          <w:tcPr>
            <w:tcW w:w="586" w:type="pct"/>
          </w:tcPr>
          <w:p w14:paraId="0CC8EF02" w14:textId="77777777" w:rsidR="00630ACB" w:rsidRPr="009E6286" w:rsidRDefault="00630ACB">
            <w:pPr>
              <w:ind w:right="113"/>
              <w:jc w:val="right"/>
              <w:rPr>
                <w:rFonts w:ascii="Arial" w:eastAsia="Arial" w:hAnsi="Arial" w:cs="Arial"/>
              </w:rPr>
            </w:pPr>
            <w:r w:rsidRPr="009E6286">
              <w:rPr>
                <w:rFonts w:ascii="Arial" w:eastAsia="Arial" w:hAnsi="Arial" w:cs="Arial"/>
              </w:rPr>
              <w:t>2026</w:t>
            </w:r>
            <w:r w:rsidRPr="009E6286">
              <w:rPr>
                <w:rFonts w:ascii="Arial" w:eastAsia="Arial" w:hAnsi="Arial" w:cs="Arial"/>
              </w:rPr>
              <w:noBreakHyphen/>
              <w:t>27</w:t>
            </w:r>
          </w:p>
        </w:tc>
        <w:tc>
          <w:tcPr>
            <w:tcW w:w="586" w:type="pct"/>
          </w:tcPr>
          <w:p w14:paraId="1385C7F7" w14:textId="77777777" w:rsidR="00630ACB" w:rsidRPr="009E6286" w:rsidRDefault="00630ACB">
            <w:pPr>
              <w:ind w:right="113"/>
              <w:jc w:val="right"/>
              <w:rPr>
                <w:rFonts w:ascii="Arial" w:eastAsia="Arial" w:hAnsi="Arial" w:cs="Arial"/>
              </w:rPr>
            </w:pPr>
            <w:r w:rsidRPr="009E6286">
              <w:rPr>
                <w:rFonts w:ascii="Arial" w:eastAsia="Arial" w:hAnsi="Arial" w:cs="Arial"/>
              </w:rPr>
              <w:t>2027</w:t>
            </w:r>
            <w:r w:rsidRPr="009E6286">
              <w:rPr>
                <w:rFonts w:ascii="Arial" w:eastAsia="Arial" w:hAnsi="Arial" w:cs="Arial"/>
              </w:rPr>
              <w:noBreakHyphen/>
              <w:t>28</w:t>
            </w:r>
          </w:p>
        </w:tc>
      </w:tr>
      <w:tr w:rsidR="00630ACB" w:rsidRPr="00C055B4" w14:paraId="1F4F8132" w14:textId="77777777">
        <w:trPr>
          <w:cnfStyle w:val="000000100000" w:firstRow="0" w:lastRow="0" w:firstColumn="0" w:lastColumn="0" w:oddVBand="0" w:evenVBand="0" w:oddHBand="1" w:evenHBand="0" w:firstRowFirstColumn="0" w:firstRowLastColumn="0" w:lastRowFirstColumn="0" w:lastRowLastColumn="0"/>
        </w:trPr>
        <w:tc>
          <w:tcPr>
            <w:tcW w:w="1687" w:type="pct"/>
          </w:tcPr>
          <w:p w14:paraId="715EB91A" w14:textId="77777777" w:rsidR="00630ACB" w:rsidRPr="00C055B4" w:rsidRDefault="00630ACB">
            <w:pPr>
              <w:spacing w:line="240" w:lineRule="auto"/>
              <w:rPr>
                <w:rFonts w:ascii="Arial" w:eastAsia="Arial" w:hAnsi="Arial" w:cs="Arial"/>
                <w:b/>
                <w:lang w:val="en-US"/>
              </w:rPr>
            </w:pPr>
            <w:r w:rsidRPr="00C055B4">
              <w:rPr>
                <w:rFonts w:ascii="Arial" w:eastAsia="Arial" w:hAnsi="Arial" w:cs="Arial"/>
                <w:b/>
              </w:rPr>
              <w:t>FFO interest cover (times)</w:t>
            </w:r>
          </w:p>
        </w:tc>
        <w:tc>
          <w:tcPr>
            <w:tcW w:w="969" w:type="pct"/>
          </w:tcPr>
          <w:p w14:paraId="59EFFD33" w14:textId="77777777" w:rsidR="00630ACB" w:rsidRPr="00C055B4" w:rsidRDefault="00630ACB">
            <w:pPr>
              <w:spacing w:line="240" w:lineRule="auto"/>
              <w:rPr>
                <w:rFonts w:ascii="Arial" w:eastAsia="Arial" w:hAnsi="Arial" w:cs="Arial"/>
                <w:b/>
                <w:i/>
                <w:iCs/>
                <w:lang w:val="en-US"/>
              </w:rPr>
            </w:pPr>
            <w:r w:rsidRPr="00C055B4">
              <w:rPr>
                <w:rFonts w:ascii="Arial" w:eastAsia="Arial" w:hAnsi="Arial" w:cs="Arial"/>
                <w:b/>
                <w:i/>
                <w:iCs/>
              </w:rPr>
              <w:t>ESC benchmark</w:t>
            </w:r>
          </w:p>
        </w:tc>
        <w:tc>
          <w:tcPr>
            <w:tcW w:w="586" w:type="pct"/>
          </w:tcPr>
          <w:p w14:paraId="66D176F3" w14:textId="77777777" w:rsidR="00630ACB" w:rsidRPr="00C055B4" w:rsidRDefault="00630ACB">
            <w:pPr>
              <w:tabs>
                <w:tab w:val="center" w:pos="460"/>
                <w:tab w:val="right" w:pos="921"/>
              </w:tabs>
              <w:spacing w:line="240" w:lineRule="auto"/>
              <w:jc w:val="right"/>
              <w:rPr>
                <w:rFonts w:ascii="Arial" w:eastAsia="Arial" w:hAnsi="Arial" w:cs="Arial"/>
                <w:b/>
                <w:i/>
                <w:iCs/>
                <w:lang w:val="en-US"/>
              </w:rPr>
            </w:pPr>
            <w:r w:rsidRPr="00C055B4">
              <w:rPr>
                <w:rFonts w:ascii="Arial" w:eastAsia="Arial" w:hAnsi="Arial" w:cs="Arial"/>
                <w:b/>
                <w:i/>
                <w:iCs/>
              </w:rPr>
              <w:tab/>
              <w:t>&gt;1.5</w:t>
            </w:r>
          </w:p>
        </w:tc>
        <w:tc>
          <w:tcPr>
            <w:tcW w:w="586" w:type="pct"/>
          </w:tcPr>
          <w:p w14:paraId="0CCD37ED" w14:textId="77777777" w:rsidR="00630ACB" w:rsidRPr="00C055B4" w:rsidRDefault="00630ACB">
            <w:pPr>
              <w:spacing w:line="240" w:lineRule="auto"/>
              <w:jc w:val="right"/>
              <w:rPr>
                <w:rFonts w:ascii="Arial" w:eastAsia="Arial" w:hAnsi="Arial" w:cs="Arial"/>
                <w:b/>
                <w:i/>
                <w:iCs/>
                <w:lang w:val="en-US"/>
              </w:rPr>
            </w:pPr>
            <w:r w:rsidRPr="00C055B4">
              <w:rPr>
                <w:rFonts w:ascii="Arial" w:eastAsia="Arial" w:hAnsi="Arial" w:cs="Arial"/>
                <w:b/>
                <w:i/>
                <w:iCs/>
              </w:rPr>
              <w:t>&gt;1.5</w:t>
            </w:r>
          </w:p>
        </w:tc>
        <w:tc>
          <w:tcPr>
            <w:tcW w:w="586" w:type="pct"/>
          </w:tcPr>
          <w:p w14:paraId="37E724F0" w14:textId="77777777" w:rsidR="00630ACB" w:rsidRPr="00C055B4" w:rsidRDefault="00630ACB">
            <w:pPr>
              <w:spacing w:line="240" w:lineRule="auto"/>
              <w:jc w:val="right"/>
              <w:rPr>
                <w:rFonts w:ascii="Arial" w:eastAsia="Arial" w:hAnsi="Arial" w:cs="Arial"/>
                <w:b/>
                <w:i/>
                <w:iCs/>
                <w:lang w:val="en-US"/>
              </w:rPr>
            </w:pPr>
            <w:r w:rsidRPr="00C055B4">
              <w:rPr>
                <w:rFonts w:ascii="Arial" w:eastAsia="Arial" w:hAnsi="Arial" w:cs="Arial"/>
                <w:b/>
                <w:i/>
                <w:iCs/>
              </w:rPr>
              <w:t>&gt;1.5</w:t>
            </w:r>
          </w:p>
        </w:tc>
        <w:tc>
          <w:tcPr>
            <w:tcW w:w="586" w:type="pct"/>
          </w:tcPr>
          <w:p w14:paraId="3980DA9D" w14:textId="77777777" w:rsidR="00630ACB" w:rsidRPr="00C055B4" w:rsidRDefault="00630ACB">
            <w:pPr>
              <w:spacing w:line="240" w:lineRule="auto"/>
              <w:jc w:val="right"/>
              <w:rPr>
                <w:rFonts w:ascii="Arial" w:eastAsia="Arial" w:hAnsi="Arial" w:cs="Arial"/>
                <w:b/>
                <w:i/>
                <w:iCs/>
                <w:lang w:val="en-US"/>
              </w:rPr>
            </w:pPr>
            <w:r w:rsidRPr="00C055B4">
              <w:rPr>
                <w:rFonts w:ascii="Arial" w:eastAsia="Arial" w:hAnsi="Arial" w:cs="Arial"/>
                <w:b/>
                <w:i/>
                <w:iCs/>
              </w:rPr>
              <w:t>&gt;1.5</w:t>
            </w:r>
          </w:p>
        </w:tc>
      </w:tr>
      <w:tr w:rsidR="00630ACB" w:rsidRPr="009E6286" w14:paraId="1756EFEE" w14:textId="77777777">
        <w:trPr>
          <w:cnfStyle w:val="000000010000" w:firstRow="0" w:lastRow="0" w:firstColumn="0" w:lastColumn="0" w:oddVBand="0" w:evenVBand="0" w:oddHBand="0" w:evenHBand="1" w:firstRowFirstColumn="0" w:firstRowLastColumn="0" w:lastRowFirstColumn="0" w:lastRowLastColumn="0"/>
        </w:trPr>
        <w:tc>
          <w:tcPr>
            <w:tcW w:w="1687" w:type="pct"/>
          </w:tcPr>
          <w:p w14:paraId="481C0B91" w14:textId="77777777" w:rsidR="00630ACB" w:rsidRPr="009E6286" w:rsidRDefault="00630ACB">
            <w:pPr>
              <w:spacing w:line="240" w:lineRule="auto"/>
              <w:rPr>
                <w:rFonts w:ascii="Arial" w:eastAsia="Arial" w:hAnsi="Arial" w:cs="Arial"/>
                <w:b/>
              </w:rPr>
            </w:pPr>
          </w:p>
        </w:tc>
        <w:tc>
          <w:tcPr>
            <w:tcW w:w="969" w:type="pct"/>
          </w:tcPr>
          <w:p w14:paraId="76F4A08D" w14:textId="77777777" w:rsidR="00630ACB" w:rsidRPr="009E6286" w:rsidRDefault="00630ACB">
            <w:pPr>
              <w:spacing w:line="240" w:lineRule="auto"/>
              <w:rPr>
                <w:rFonts w:ascii="Arial" w:eastAsia="Arial" w:hAnsi="Arial" w:cs="Arial"/>
                <w:bCs/>
              </w:rPr>
            </w:pPr>
            <w:r w:rsidRPr="009E6286">
              <w:rPr>
                <w:rFonts w:ascii="Arial" w:eastAsia="Arial" w:hAnsi="Arial" w:cs="Arial"/>
                <w:bCs/>
              </w:rPr>
              <w:t>GWW proposal</w:t>
            </w:r>
          </w:p>
        </w:tc>
        <w:tc>
          <w:tcPr>
            <w:tcW w:w="586" w:type="pct"/>
          </w:tcPr>
          <w:p w14:paraId="21C02A20" w14:textId="77777777" w:rsidR="00630ACB" w:rsidRPr="00FB2CCB" w:rsidRDefault="00630ACB">
            <w:pPr>
              <w:spacing w:line="240" w:lineRule="auto"/>
              <w:jc w:val="right"/>
              <w:rPr>
                <w:rFonts w:ascii="Arial" w:eastAsia="Arial" w:hAnsi="Arial" w:cs="Arial"/>
                <w:bCs/>
                <w:lang w:val="en-US"/>
              </w:rPr>
            </w:pPr>
            <w:r>
              <w:rPr>
                <w:rFonts w:ascii="Arial" w:eastAsia="Arial" w:hAnsi="Arial" w:cs="Arial"/>
                <w:bCs/>
              </w:rPr>
              <w:t>1.87</w:t>
            </w:r>
          </w:p>
        </w:tc>
        <w:tc>
          <w:tcPr>
            <w:tcW w:w="586" w:type="pct"/>
          </w:tcPr>
          <w:p w14:paraId="641CCC7D" w14:textId="77777777" w:rsidR="00630ACB" w:rsidRPr="00FB2CCB" w:rsidRDefault="00630ACB">
            <w:pPr>
              <w:spacing w:line="240" w:lineRule="auto"/>
              <w:jc w:val="right"/>
              <w:rPr>
                <w:rFonts w:ascii="Arial" w:eastAsia="Arial" w:hAnsi="Arial" w:cs="Arial"/>
                <w:bCs/>
                <w:lang w:val="en-US"/>
              </w:rPr>
            </w:pPr>
            <w:r>
              <w:rPr>
                <w:rFonts w:ascii="Arial" w:eastAsia="Arial" w:hAnsi="Arial" w:cs="Arial"/>
                <w:bCs/>
              </w:rPr>
              <w:t>1.87</w:t>
            </w:r>
          </w:p>
        </w:tc>
        <w:tc>
          <w:tcPr>
            <w:tcW w:w="586" w:type="pct"/>
          </w:tcPr>
          <w:p w14:paraId="3FDDC076" w14:textId="77777777" w:rsidR="00630ACB" w:rsidRPr="00FB2CCB" w:rsidRDefault="00630ACB">
            <w:pPr>
              <w:spacing w:line="240" w:lineRule="auto"/>
              <w:jc w:val="right"/>
              <w:rPr>
                <w:rFonts w:ascii="Arial" w:eastAsia="Arial" w:hAnsi="Arial" w:cs="Arial"/>
                <w:bCs/>
                <w:lang w:val="en-US"/>
              </w:rPr>
            </w:pPr>
            <w:r>
              <w:rPr>
                <w:rFonts w:ascii="Arial" w:eastAsia="Arial" w:hAnsi="Arial" w:cs="Arial"/>
                <w:bCs/>
              </w:rPr>
              <w:t>1.75</w:t>
            </w:r>
          </w:p>
        </w:tc>
        <w:tc>
          <w:tcPr>
            <w:tcW w:w="586" w:type="pct"/>
          </w:tcPr>
          <w:p w14:paraId="392D3BAB" w14:textId="77777777" w:rsidR="00630ACB" w:rsidRPr="00FB2CCB" w:rsidRDefault="00630ACB">
            <w:pPr>
              <w:spacing w:line="240" w:lineRule="auto"/>
              <w:jc w:val="right"/>
              <w:rPr>
                <w:rFonts w:ascii="Arial" w:eastAsia="Arial" w:hAnsi="Arial" w:cs="Arial"/>
                <w:bCs/>
                <w:lang w:val="en-US"/>
              </w:rPr>
            </w:pPr>
            <w:r>
              <w:rPr>
                <w:rFonts w:ascii="Arial" w:eastAsia="Arial" w:hAnsi="Arial" w:cs="Arial"/>
                <w:bCs/>
              </w:rPr>
              <w:t>1.71</w:t>
            </w:r>
          </w:p>
        </w:tc>
      </w:tr>
      <w:tr w:rsidR="00630ACB" w:rsidRPr="009E6286" w14:paraId="7DB81F2D" w14:textId="77777777">
        <w:trPr>
          <w:cnfStyle w:val="000000100000" w:firstRow="0" w:lastRow="0" w:firstColumn="0" w:lastColumn="0" w:oddVBand="0" w:evenVBand="0" w:oddHBand="1" w:evenHBand="0" w:firstRowFirstColumn="0" w:firstRowLastColumn="0" w:lastRowFirstColumn="0" w:lastRowLastColumn="0"/>
        </w:trPr>
        <w:tc>
          <w:tcPr>
            <w:tcW w:w="1687" w:type="pct"/>
          </w:tcPr>
          <w:p w14:paraId="7D3F4B02" w14:textId="77777777" w:rsidR="00630ACB" w:rsidRPr="009E6286" w:rsidRDefault="00630ACB">
            <w:pPr>
              <w:spacing w:line="240" w:lineRule="auto"/>
              <w:rPr>
                <w:rFonts w:ascii="Arial" w:eastAsia="Arial" w:hAnsi="Arial" w:cs="Arial"/>
                <w:lang w:val="en-US"/>
              </w:rPr>
            </w:pPr>
          </w:p>
        </w:tc>
        <w:tc>
          <w:tcPr>
            <w:tcW w:w="969" w:type="pct"/>
          </w:tcPr>
          <w:p w14:paraId="002D8BDC" w14:textId="77777777" w:rsidR="00630ACB" w:rsidRPr="009E6286" w:rsidRDefault="00630ACB">
            <w:pPr>
              <w:spacing w:line="240" w:lineRule="auto"/>
              <w:rPr>
                <w:rFonts w:ascii="Arial" w:eastAsia="Arial" w:hAnsi="Arial" w:cs="Arial"/>
                <w:bCs/>
                <w:lang w:val="en-US"/>
              </w:rPr>
            </w:pPr>
            <w:r w:rsidRPr="009E6286">
              <w:rPr>
                <w:rFonts w:ascii="Arial" w:eastAsia="Arial" w:hAnsi="Arial" w:cs="Arial"/>
                <w:bCs/>
              </w:rPr>
              <w:t>Draft Decision</w:t>
            </w:r>
          </w:p>
        </w:tc>
        <w:tc>
          <w:tcPr>
            <w:tcW w:w="586" w:type="pct"/>
          </w:tcPr>
          <w:p w14:paraId="6E5B1B69" w14:textId="77777777" w:rsidR="00630ACB" w:rsidRPr="009E6286" w:rsidRDefault="00630ACB">
            <w:pPr>
              <w:spacing w:line="240" w:lineRule="auto"/>
              <w:jc w:val="right"/>
              <w:rPr>
                <w:rFonts w:ascii="Arial" w:eastAsia="Arial" w:hAnsi="Arial" w:cs="Arial"/>
                <w:bCs/>
                <w:lang w:val="en-US"/>
              </w:rPr>
            </w:pPr>
            <w:r>
              <w:rPr>
                <w:rFonts w:ascii="Arial" w:eastAsia="Arial" w:hAnsi="Arial" w:cs="Arial"/>
                <w:bCs/>
              </w:rPr>
              <w:t>1.98</w:t>
            </w:r>
          </w:p>
        </w:tc>
        <w:tc>
          <w:tcPr>
            <w:tcW w:w="586" w:type="pct"/>
          </w:tcPr>
          <w:p w14:paraId="38377698" w14:textId="77777777" w:rsidR="00630ACB" w:rsidRPr="009E6286" w:rsidRDefault="00630ACB">
            <w:pPr>
              <w:spacing w:line="240" w:lineRule="auto"/>
              <w:jc w:val="right"/>
              <w:rPr>
                <w:rFonts w:ascii="Arial" w:eastAsia="Arial" w:hAnsi="Arial" w:cs="Arial"/>
                <w:bCs/>
                <w:lang w:val="en-US"/>
              </w:rPr>
            </w:pPr>
            <w:r>
              <w:rPr>
                <w:rFonts w:ascii="Arial" w:eastAsia="Arial" w:hAnsi="Arial" w:cs="Arial"/>
                <w:bCs/>
              </w:rPr>
              <w:t>1.98</w:t>
            </w:r>
          </w:p>
        </w:tc>
        <w:tc>
          <w:tcPr>
            <w:tcW w:w="586" w:type="pct"/>
          </w:tcPr>
          <w:p w14:paraId="42CD7937" w14:textId="77777777" w:rsidR="00630ACB" w:rsidRPr="009E6286" w:rsidRDefault="00630ACB">
            <w:pPr>
              <w:spacing w:line="240" w:lineRule="auto"/>
              <w:jc w:val="right"/>
              <w:rPr>
                <w:rFonts w:ascii="Arial" w:eastAsia="Arial" w:hAnsi="Arial" w:cs="Arial"/>
                <w:bCs/>
                <w:lang w:val="en-US"/>
              </w:rPr>
            </w:pPr>
            <w:r>
              <w:rPr>
                <w:rFonts w:ascii="Arial" w:eastAsia="Arial" w:hAnsi="Arial" w:cs="Arial"/>
                <w:bCs/>
              </w:rPr>
              <w:t>1.87</w:t>
            </w:r>
          </w:p>
        </w:tc>
        <w:tc>
          <w:tcPr>
            <w:tcW w:w="586" w:type="pct"/>
          </w:tcPr>
          <w:p w14:paraId="5FAFFE35" w14:textId="77777777" w:rsidR="00630ACB" w:rsidRPr="009E6286" w:rsidRDefault="00630ACB">
            <w:pPr>
              <w:spacing w:line="240" w:lineRule="auto"/>
              <w:jc w:val="right"/>
              <w:rPr>
                <w:rFonts w:ascii="Arial" w:eastAsia="Arial" w:hAnsi="Arial" w:cs="Arial"/>
                <w:bCs/>
                <w:lang w:val="en-US"/>
              </w:rPr>
            </w:pPr>
            <w:r>
              <w:rPr>
                <w:rFonts w:ascii="Arial" w:eastAsia="Arial" w:hAnsi="Arial" w:cs="Arial"/>
                <w:bCs/>
              </w:rPr>
              <w:t>1.82</w:t>
            </w:r>
          </w:p>
        </w:tc>
      </w:tr>
      <w:tr w:rsidR="00630ACB" w:rsidRPr="00C055B4" w14:paraId="0B9F7FBC" w14:textId="77777777">
        <w:trPr>
          <w:cnfStyle w:val="000000010000" w:firstRow="0" w:lastRow="0" w:firstColumn="0" w:lastColumn="0" w:oddVBand="0" w:evenVBand="0" w:oddHBand="0" w:evenHBand="1" w:firstRowFirstColumn="0" w:firstRowLastColumn="0" w:lastRowFirstColumn="0" w:lastRowLastColumn="0"/>
        </w:trPr>
        <w:tc>
          <w:tcPr>
            <w:tcW w:w="1687" w:type="pct"/>
          </w:tcPr>
          <w:p w14:paraId="1B90FF14" w14:textId="77777777" w:rsidR="00630ACB" w:rsidRPr="00C055B4" w:rsidRDefault="00630ACB">
            <w:pPr>
              <w:spacing w:line="240" w:lineRule="auto"/>
              <w:rPr>
                <w:rFonts w:ascii="Arial" w:eastAsia="Arial" w:hAnsi="Arial" w:cs="Arial"/>
                <w:b/>
                <w:bCs/>
                <w:lang w:val="en-US"/>
              </w:rPr>
            </w:pPr>
            <w:r w:rsidRPr="00C055B4">
              <w:rPr>
                <w:rFonts w:ascii="Arial" w:eastAsia="Arial" w:hAnsi="Arial" w:cs="Arial"/>
                <w:b/>
                <w:bCs/>
              </w:rPr>
              <w:t>Net Debt / RAV (Gearing) (%)</w:t>
            </w:r>
          </w:p>
        </w:tc>
        <w:tc>
          <w:tcPr>
            <w:tcW w:w="969" w:type="pct"/>
          </w:tcPr>
          <w:p w14:paraId="24967450" w14:textId="77777777" w:rsidR="00630ACB" w:rsidRPr="00C055B4" w:rsidRDefault="00630ACB">
            <w:pPr>
              <w:spacing w:line="240" w:lineRule="auto"/>
              <w:rPr>
                <w:rFonts w:ascii="Arial" w:eastAsia="Arial" w:hAnsi="Arial" w:cs="Arial"/>
                <w:b/>
                <w:bCs/>
                <w:i/>
                <w:iCs/>
                <w:lang w:val="en-US"/>
              </w:rPr>
            </w:pPr>
            <w:r w:rsidRPr="00C055B4">
              <w:rPr>
                <w:rFonts w:ascii="Arial" w:eastAsia="Arial" w:hAnsi="Arial" w:cs="Arial"/>
                <w:b/>
                <w:bCs/>
                <w:i/>
                <w:iCs/>
              </w:rPr>
              <w:t>ESC benchmark</w:t>
            </w:r>
          </w:p>
        </w:tc>
        <w:tc>
          <w:tcPr>
            <w:tcW w:w="586" w:type="pct"/>
          </w:tcPr>
          <w:p w14:paraId="3AF8F6EE" w14:textId="77777777" w:rsidR="00630ACB" w:rsidRPr="00C055B4" w:rsidRDefault="00630ACB">
            <w:pPr>
              <w:spacing w:line="240" w:lineRule="auto"/>
              <w:jc w:val="right"/>
              <w:rPr>
                <w:rFonts w:ascii="Arial" w:eastAsia="Arial" w:hAnsi="Arial" w:cs="Arial"/>
                <w:b/>
                <w:bCs/>
                <w:i/>
                <w:iCs/>
                <w:lang w:val="en-US"/>
              </w:rPr>
            </w:pPr>
            <w:r w:rsidRPr="00C055B4">
              <w:rPr>
                <w:rFonts w:ascii="Arial" w:eastAsia="Arial" w:hAnsi="Arial" w:cs="Arial"/>
                <w:b/>
                <w:bCs/>
                <w:i/>
                <w:iCs/>
              </w:rPr>
              <w:t>&lt;70%</w:t>
            </w:r>
          </w:p>
        </w:tc>
        <w:tc>
          <w:tcPr>
            <w:tcW w:w="586" w:type="pct"/>
          </w:tcPr>
          <w:p w14:paraId="7C25E871" w14:textId="77777777" w:rsidR="00630ACB" w:rsidRPr="00C055B4" w:rsidRDefault="00630ACB">
            <w:pPr>
              <w:spacing w:line="240" w:lineRule="auto"/>
              <w:jc w:val="right"/>
              <w:rPr>
                <w:rFonts w:ascii="Arial" w:eastAsia="Arial" w:hAnsi="Arial" w:cs="Arial"/>
                <w:b/>
                <w:bCs/>
                <w:i/>
                <w:iCs/>
                <w:lang w:val="en-US"/>
              </w:rPr>
            </w:pPr>
            <w:r w:rsidRPr="00C055B4">
              <w:rPr>
                <w:rFonts w:ascii="Arial" w:eastAsia="Arial" w:hAnsi="Arial" w:cs="Arial"/>
                <w:b/>
                <w:bCs/>
                <w:i/>
                <w:iCs/>
              </w:rPr>
              <w:t>&lt;70%</w:t>
            </w:r>
          </w:p>
        </w:tc>
        <w:tc>
          <w:tcPr>
            <w:tcW w:w="586" w:type="pct"/>
          </w:tcPr>
          <w:p w14:paraId="55532B0A" w14:textId="77777777" w:rsidR="00630ACB" w:rsidRPr="00C055B4" w:rsidRDefault="00630ACB">
            <w:pPr>
              <w:spacing w:line="240" w:lineRule="auto"/>
              <w:jc w:val="right"/>
              <w:rPr>
                <w:rFonts w:ascii="Arial" w:eastAsia="Arial" w:hAnsi="Arial" w:cs="Arial"/>
                <w:b/>
                <w:bCs/>
                <w:i/>
                <w:iCs/>
                <w:lang w:val="en-US"/>
              </w:rPr>
            </w:pPr>
            <w:r w:rsidRPr="00C055B4">
              <w:rPr>
                <w:rFonts w:ascii="Arial" w:eastAsia="Arial" w:hAnsi="Arial" w:cs="Arial"/>
                <w:b/>
                <w:bCs/>
                <w:i/>
                <w:iCs/>
              </w:rPr>
              <w:t>&lt;70%</w:t>
            </w:r>
          </w:p>
        </w:tc>
        <w:tc>
          <w:tcPr>
            <w:tcW w:w="586" w:type="pct"/>
          </w:tcPr>
          <w:p w14:paraId="72A6FF5D" w14:textId="77777777" w:rsidR="00630ACB" w:rsidRPr="00C055B4" w:rsidRDefault="00630ACB">
            <w:pPr>
              <w:spacing w:line="240" w:lineRule="auto"/>
              <w:jc w:val="right"/>
              <w:rPr>
                <w:rFonts w:ascii="Arial" w:eastAsia="Arial" w:hAnsi="Arial" w:cs="Arial"/>
                <w:b/>
                <w:bCs/>
                <w:i/>
                <w:iCs/>
                <w:lang w:val="en-US"/>
              </w:rPr>
            </w:pPr>
            <w:r w:rsidRPr="00C055B4">
              <w:rPr>
                <w:rFonts w:ascii="Arial" w:eastAsia="Arial" w:hAnsi="Arial" w:cs="Arial"/>
                <w:b/>
                <w:bCs/>
                <w:i/>
                <w:iCs/>
              </w:rPr>
              <w:t>&lt;70%</w:t>
            </w:r>
          </w:p>
        </w:tc>
      </w:tr>
      <w:tr w:rsidR="00630ACB" w:rsidRPr="009E6286" w14:paraId="2E6F1869" w14:textId="77777777">
        <w:trPr>
          <w:cnfStyle w:val="000000100000" w:firstRow="0" w:lastRow="0" w:firstColumn="0" w:lastColumn="0" w:oddVBand="0" w:evenVBand="0" w:oddHBand="1" w:evenHBand="0" w:firstRowFirstColumn="0" w:firstRowLastColumn="0" w:lastRowFirstColumn="0" w:lastRowLastColumn="0"/>
        </w:trPr>
        <w:tc>
          <w:tcPr>
            <w:tcW w:w="1687" w:type="pct"/>
          </w:tcPr>
          <w:p w14:paraId="00F406F9" w14:textId="77777777" w:rsidR="00630ACB" w:rsidRPr="009E6286" w:rsidRDefault="00630ACB">
            <w:pPr>
              <w:spacing w:line="240" w:lineRule="auto"/>
              <w:rPr>
                <w:rFonts w:ascii="Arial" w:eastAsia="Arial" w:hAnsi="Arial" w:cs="Arial"/>
                <w:lang w:val="en-US"/>
              </w:rPr>
            </w:pPr>
          </w:p>
        </w:tc>
        <w:tc>
          <w:tcPr>
            <w:tcW w:w="969" w:type="pct"/>
          </w:tcPr>
          <w:p w14:paraId="2CBC305C" w14:textId="77777777" w:rsidR="00630ACB" w:rsidRPr="009E6286" w:rsidRDefault="00630ACB">
            <w:pPr>
              <w:spacing w:line="240" w:lineRule="auto"/>
              <w:rPr>
                <w:rFonts w:ascii="Arial" w:eastAsia="Arial" w:hAnsi="Arial" w:cs="Arial"/>
                <w:lang w:val="en-US"/>
              </w:rPr>
            </w:pPr>
            <w:r w:rsidRPr="009E6286">
              <w:rPr>
                <w:rFonts w:ascii="Arial" w:eastAsia="Arial" w:hAnsi="Arial" w:cs="Arial"/>
                <w:bCs/>
              </w:rPr>
              <w:t>GWW proposal</w:t>
            </w:r>
          </w:p>
        </w:tc>
        <w:tc>
          <w:tcPr>
            <w:tcW w:w="586" w:type="pct"/>
          </w:tcPr>
          <w:p w14:paraId="4A981236" w14:textId="77777777" w:rsidR="00630ACB" w:rsidRPr="009E6286" w:rsidRDefault="00630ACB">
            <w:pPr>
              <w:spacing w:line="240" w:lineRule="auto"/>
              <w:jc w:val="right"/>
              <w:rPr>
                <w:rFonts w:ascii="Arial" w:eastAsia="Arial" w:hAnsi="Arial" w:cs="Arial"/>
                <w:bCs/>
                <w:lang w:val="en-US"/>
              </w:rPr>
            </w:pPr>
            <w:r>
              <w:rPr>
                <w:rFonts w:ascii="Arial" w:eastAsia="Arial" w:hAnsi="Arial" w:cs="Arial"/>
                <w:bCs/>
              </w:rPr>
              <w:t>75.6%</w:t>
            </w:r>
          </w:p>
        </w:tc>
        <w:tc>
          <w:tcPr>
            <w:tcW w:w="586" w:type="pct"/>
          </w:tcPr>
          <w:p w14:paraId="46FF9053" w14:textId="77777777" w:rsidR="00630ACB" w:rsidRPr="009E6286" w:rsidRDefault="00630ACB">
            <w:pPr>
              <w:spacing w:line="240" w:lineRule="auto"/>
              <w:jc w:val="right"/>
              <w:rPr>
                <w:rFonts w:ascii="Arial" w:eastAsia="Arial" w:hAnsi="Arial" w:cs="Arial"/>
                <w:bCs/>
                <w:lang w:val="en-US"/>
              </w:rPr>
            </w:pPr>
            <w:r>
              <w:rPr>
                <w:rFonts w:ascii="Arial" w:eastAsia="Arial" w:hAnsi="Arial" w:cs="Arial"/>
                <w:bCs/>
              </w:rPr>
              <w:t>78.4%</w:t>
            </w:r>
          </w:p>
        </w:tc>
        <w:tc>
          <w:tcPr>
            <w:tcW w:w="586" w:type="pct"/>
          </w:tcPr>
          <w:p w14:paraId="5550951F" w14:textId="77777777" w:rsidR="00630ACB" w:rsidRPr="009E6286" w:rsidRDefault="00630ACB">
            <w:pPr>
              <w:spacing w:line="240" w:lineRule="auto"/>
              <w:jc w:val="right"/>
              <w:rPr>
                <w:rFonts w:ascii="Arial" w:eastAsia="Arial" w:hAnsi="Arial" w:cs="Arial"/>
                <w:bCs/>
                <w:lang w:val="en-US"/>
              </w:rPr>
            </w:pPr>
            <w:r>
              <w:rPr>
                <w:rFonts w:ascii="Arial" w:eastAsia="Arial" w:hAnsi="Arial" w:cs="Arial"/>
                <w:bCs/>
              </w:rPr>
              <w:t>80.4%</w:t>
            </w:r>
          </w:p>
        </w:tc>
        <w:tc>
          <w:tcPr>
            <w:tcW w:w="586" w:type="pct"/>
          </w:tcPr>
          <w:p w14:paraId="0F759F5B" w14:textId="77777777" w:rsidR="00630ACB" w:rsidRPr="009E6286" w:rsidRDefault="00630ACB">
            <w:pPr>
              <w:spacing w:line="240" w:lineRule="auto"/>
              <w:jc w:val="right"/>
              <w:rPr>
                <w:rFonts w:ascii="Arial" w:eastAsia="Arial" w:hAnsi="Arial" w:cs="Arial"/>
                <w:bCs/>
                <w:lang w:val="en-US"/>
              </w:rPr>
            </w:pPr>
            <w:r>
              <w:rPr>
                <w:rFonts w:ascii="Arial" w:eastAsia="Arial" w:hAnsi="Arial" w:cs="Arial"/>
                <w:bCs/>
              </w:rPr>
              <w:t>82.9%</w:t>
            </w:r>
          </w:p>
        </w:tc>
      </w:tr>
      <w:tr w:rsidR="00630ACB" w:rsidRPr="009E6286" w14:paraId="4EC51989" w14:textId="77777777">
        <w:trPr>
          <w:cnfStyle w:val="000000010000" w:firstRow="0" w:lastRow="0" w:firstColumn="0" w:lastColumn="0" w:oddVBand="0" w:evenVBand="0" w:oddHBand="0" w:evenHBand="1" w:firstRowFirstColumn="0" w:firstRowLastColumn="0" w:lastRowFirstColumn="0" w:lastRowLastColumn="0"/>
        </w:trPr>
        <w:tc>
          <w:tcPr>
            <w:tcW w:w="1687" w:type="pct"/>
          </w:tcPr>
          <w:p w14:paraId="77085061" w14:textId="77777777" w:rsidR="00630ACB" w:rsidRPr="009E6286" w:rsidRDefault="00630ACB">
            <w:pPr>
              <w:spacing w:line="240" w:lineRule="auto"/>
              <w:rPr>
                <w:rFonts w:ascii="Arial" w:eastAsia="Arial" w:hAnsi="Arial" w:cs="Arial"/>
                <w:b/>
                <w:lang w:val="en-US"/>
              </w:rPr>
            </w:pPr>
          </w:p>
        </w:tc>
        <w:tc>
          <w:tcPr>
            <w:tcW w:w="969" w:type="pct"/>
          </w:tcPr>
          <w:p w14:paraId="15008A15" w14:textId="77777777" w:rsidR="00630ACB" w:rsidRPr="009E6286" w:rsidRDefault="00630ACB">
            <w:pPr>
              <w:spacing w:line="240" w:lineRule="auto"/>
              <w:rPr>
                <w:rFonts w:ascii="Arial" w:eastAsia="Arial" w:hAnsi="Arial" w:cs="Arial"/>
                <w:b/>
                <w:lang w:val="en-US"/>
              </w:rPr>
            </w:pPr>
            <w:r w:rsidRPr="009E6286">
              <w:rPr>
                <w:rFonts w:ascii="Arial" w:eastAsia="Arial" w:hAnsi="Arial" w:cs="Arial"/>
                <w:bCs/>
              </w:rPr>
              <w:t>Draft Decision</w:t>
            </w:r>
          </w:p>
        </w:tc>
        <w:tc>
          <w:tcPr>
            <w:tcW w:w="586" w:type="pct"/>
          </w:tcPr>
          <w:p w14:paraId="50BE1062" w14:textId="77777777" w:rsidR="00630ACB" w:rsidRPr="009E6286" w:rsidRDefault="00630ACB">
            <w:pPr>
              <w:spacing w:line="240" w:lineRule="auto"/>
              <w:jc w:val="right"/>
              <w:rPr>
                <w:rFonts w:ascii="Arial" w:eastAsia="Arial" w:hAnsi="Arial" w:cs="Arial"/>
                <w:bCs/>
                <w:lang w:val="en-US"/>
              </w:rPr>
            </w:pPr>
            <w:r>
              <w:rPr>
                <w:rFonts w:ascii="Arial" w:eastAsia="Arial" w:hAnsi="Arial" w:cs="Arial"/>
                <w:bCs/>
              </w:rPr>
              <w:t>76.0%</w:t>
            </w:r>
          </w:p>
        </w:tc>
        <w:tc>
          <w:tcPr>
            <w:tcW w:w="586" w:type="pct"/>
          </w:tcPr>
          <w:p w14:paraId="268767C1" w14:textId="77777777" w:rsidR="00630ACB" w:rsidRPr="009E6286" w:rsidRDefault="00630ACB">
            <w:pPr>
              <w:spacing w:line="240" w:lineRule="auto"/>
              <w:jc w:val="right"/>
              <w:rPr>
                <w:rFonts w:ascii="Arial" w:eastAsia="Arial" w:hAnsi="Arial" w:cs="Arial"/>
                <w:bCs/>
                <w:lang w:val="en-US"/>
              </w:rPr>
            </w:pPr>
            <w:r>
              <w:rPr>
                <w:rFonts w:ascii="Arial" w:eastAsia="Arial" w:hAnsi="Arial" w:cs="Arial"/>
                <w:bCs/>
              </w:rPr>
              <w:t>78.8%</w:t>
            </w:r>
          </w:p>
        </w:tc>
        <w:tc>
          <w:tcPr>
            <w:tcW w:w="586" w:type="pct"/>
          </w:tcPr>
          <w:p w14:paraId="33A41D06" w14:textId="77777777" w:rsidR="00630ACB" w:rsidRPr="009E6286" w:rsidRDefault="00630ACB">
            <w:pPr>
              <w:spacing w:line="240" w:lineRule="auto"/>
              <w:jc w:val="right"/>
              <w:rPr>
                <w:rFonts w:ascii="Arial" w:eastAsia="Arial" w:hAnsi="Arial" w:cs="Arial"/>
                <w:bCs/>
                <w:lang w:val="en-US"/>
              </w:rPr>
            </w:pPr>
            <w:r>
              <w:rPr>
                <w:rFonts w:ascii="Arial" w:eastAsia="Arial" w:hAnsi="Arial" w:cs="Arial"/>
                <w:bCs/>
              </w:rPr>
              <w:t>80.7%</w:t>
            </w:r>
          </w:p>
        </w:tc>
        <w:tc>
          <w:tcPr>
            <w:tcW w:w="586" w:type="pct"/>
          </w:tcPr>
          <w:p w14:paraId="39FA34B7" w14:textId="77777777" w:rsidR="00630ACB" w:rsidRPr="009E6286" w:rsidRDefault="00630ACB">
            <w:pPr>
              <w:spacing w:line="240" w:lineRule="auto"/>
              <w:jc w:val="right"/>
              <w:rPr>
                <w:rFonts w:ascii="Arial" w:eastAsia="Arial" w:hAnsi="Arial" w:cs="Arial"/>
                <w:bCs/>
                <w:lang w:val="en-US"/>
              </w:rPr>
            </w:pPr>
            <w:r>
              <w:rPr>
                <w:rFonts w:ascii="Arial" w:eastAsia="Arial" w:hAnsi="Arial" w:cs="Arial"/>
                <w:bCs/>
              </w:rPr>
              <w:t>83.3%</w:t>
            </w:r>
          </w:p>
        </w:tc>
      </w:tr>
      <w:tr w:rsidR="00630ACB" w:rsidRPr="00C055B4" w14:paraId="4F61CCEE" w14:textId="77777777">
        <w:trPr>
          <w:cnfStyle w:val="000000100000" w:firstRow="0" w:lastRow="0" w:firstColumn="0" w:lastColumn="0" w:oddVBand="0" w:evenVBand="0" w:oddHBand="1" w:evenHBand="0" w:firstRowFirstColumn="0" w:firstRowLastColumn="0" w:lastRowFirstColumn="0" w:lastRowLastColumn="0"/>
        </w:trPr>
        <w:tc>
          <w:tcPr>
            <w:tcW w:w="1687" w:type="pct"/>
          </w:tcPr>
          <w:p w14:paraId="7A717A6D" w14:textId="77777777" w:rsidR="00630ACB" w:rsidRPr="00C055B4" w:rsidRDefault="00630ACB">
            <w:pPr>
              <w:spacing w:line="240" w:lineRule="auto"/>
              <w:rPr>
                <w:rFonts w:ascii="Arial" w:eastAsia="Arial" w:hAnsi="Arial" w:cs="Arial"/>
                <w:b/>
                <w:lang w:val="en-US"/>
              </w:rPr>
            </w:pPr>
            <w:r w:rsidRPr="00C055B4">
              <w:rPr>
                <w:rFonts w:ascii="Arial" w:eastAsia="Arial" w:hAnsi="Arial" w:cs="Arial"/>
                <w:b/>
              </w:rPr>
              <w:t>FFO / Net debt (%)</w:t>
            </w:r>
          </w:p>
        </w:tc>
        <w:tc>
          <w:tcPr>
            <w:tcW w:w="969" w:type="pct"/>
          </w:tcPr>
          <w:p w14:paraId="6E72A9BF" w14:textId="77777777" w:rsidR="00630ACB" w:rsidRPr="00C055B4" w:rsidRDefault="00630ACB">
            <w:pPr>
              <w:spacing w:line="240" w:lineRule="auto"/>
              <w:rPr>
                <w:rFonts w:ascii="Arial" w:eastAsia="Arial" w:hAnsi="Arial" w:cs="Arial"/>
                <w:b/>
                <w:i/>
                <w:iCs/>
                <w:lang w:val="en-US"/>
              </w:rPr>
            </w:pPr>
            <w:r w:rsidRPr="00C055B4">
              <w:rPr>
                <w:rFonts w:ascii="Arial" w:eastAsia="Arial" w:hAnsi="Arial" w:cs="Arial"/>
                <w:b/>
                <w:i/>
                <w:iCs/>
              </w:rPr>
              <w:t>ESC benchmark</w:t>
            </w:r>
          </w:p>
        </w:tc>
        <w:tc>
          <w:tcPr>
            <w:tcW w:w="586" w:type="pct"/>
          </w:tcPr>
          <w:p w14:paraId="3FE6F1DB" w14:textId="77777777" w:rsidR="00630ACB" w:rsidRPr="00C055B4" w:rsidRDefault="00630ACB">
            <w:pPr>
              <w:tabs>
                <w:tab w:val="center" w:pos="460"/>
                <w:tab w:val="right" w:pos="921"/>
              </w:tabs>
              <w:spacing w:line="240" w:lineRule="auto"/>
              <w:jc w:val="right"/>
              <w:rPr>
                <w:rFonts w:ascii="Arial" w:eastAsia="Arial" w:hAnsi="Arial" w:cs="Arial"/>
                <w:b/>
                <w:i/>
                <w:iCs/>
                <w:lang w:val="en-US"/>
              </w:rPr>
            </w:pPr>
            <w:r w:rsidRPr="00C055B4">
              <w:rPr>
                <w:rFonts w:ascii="Arial" w:eastAsia="Arial" w:hAnsi="Arial" w:cs="Arial"/>
                <w:b/>
                <w:i/>
                <w:iCs/>
              </w:rPr>
              <w:tab/>
              <w:t>&gt;10%</w:t>
            </w:r>
          </w:p>
        </w:tc>
        <w:tc>
          <w:tcPr>
            <w:tcW w:w="586" w:type="pct"/>
          </w:tcPr>
          <w:p w14:paraId="19D946F0" w14:textId="77777777" w:rsidR="00630ACB" w:rsidRPr="00C055B4" w:rsidRDefault="00630ACB">
            <w:pPr>
              <w:spacing w:line="240" w:lineRule="auto"/>
              <w:jc w:val="right"/>
              <w:rPr>
                <w:rFonts w:ascii="Arial" w:eastAsia="Arial" w:hAnsi="Arial" w:cs="Arial"/>
                <w:b/>
                <w:i/>
                <w:iCs/>
                <w:lang w:val="en-US"/>
              </w:rPr>
            </w:pPr>
            <w:r w:rsidRPr="00C055B4">
              <w:rPr>
                <w:rFonts w:ascii="Arial" w:eastAsia="Arial" w:hAnsi="Arial" w:cs="Arial"/>
                <w:b/>
                <w:i/>
                <w:iCs/>
              </w:rPr>
              <w:t>&gt;10%</w:t>
            </w:r>
          </w:p>
        </w:tc>
        <w:tc>
          <w:tcPr>
            <w:tcW w:w="586" w:type="pct"/>
          </w:tcPr>
          <w:p w14:paraId="3F8319A3" w14:textId="77777777" w:rsidR="00630ACB" w:rsidRPr="00C055B4" w:rsidRDefault="00630ACB">
            <w:pPr>
              <w:spacing w:line="240" w:lineRule="auto"/>
              <w:jc w:val="right"/>
              <w:rPr>
                <w:rFonts w:ascii="Arial" w:eastAsia="Arial" w:hAnsi="Arial" w:cs="Arial"/>
                <w:b/>
                <w:i/>
                <w:iCs/>
                <w:lang w:val="en-US"/>
              </w:rPr>
            </w:pPr>
            <w:r w:rsidRPr="00C055B4">
              <w:rPr>
                <w:rFonts w:ascii="Arial" w:eastAsia="Arial" w:hAnsi="Arial" w:cs="Arial"/>
                <w:b/>
                <w:i/>
                <w:iCs/>
              </w:rPr>
              <w:t>&gt;10%</w:t>
            </w:r>
          </w:p>
        </w:tc>
        <w:tc>
          <w:tcPr>
            <w:tcW w:w="586" w:type="pct"/>
          </w:tcPr>
          <w:p w14:paraId="237B61C0" w14:textId="77777777" w:rsidR="00630ACB" w:rsidRPr="00C055B4" w:rsidRDefault="00630ACB">
            <w:pPr>
              <w:spacing w:line="240" w:lineRule="auto"/>
              <w:jc w:val="right"/>
              <w:rPr>
                <w:rFonts w:ascii="Arial" w:eastAsia="Arial" w:hAnsi="Arial" w:cs="Arial"/>
                <w:b/>
                <w:i/>
                <w:iCs/>
                <w:lang w:val="en-US"/>
              </w:rPr>
            </w:pPr>
            <w:r w:rsidRPr="00C055B4">
              <w:rPr>
                <w:rFonts w:ascii="Arial" w:eastAsia="Arial" w:hAnsi="Arial" w:cs="Arial"/>
                <w:b/>
                <w:i/>
                <w:iCs/>
              </w:rPr>
              <w:t>&gt;10%</w:t>
            </w:r>
          </w:p>
        </w:tc>
      </w:tr>
      <w:tr w:rsidR="00630ACB" w:rsidRPr="009E6286" w14:paraId="42C091BC" w14:textId="77777777">
        <w:trPr>
          <w:cnfStyle w:val="000000010000" w:firstRow="0" w:lastRow="0" w:firstColumn="0" w:lastColumn="0" w:oddVBand="0" w:evenVBand="0" w:oddHBand="0" w:evenHBand="1" w:firstRowFirstColumn="0" w:firstRowLastColumn="0" w:lastRowFirstColumn="0" w:lastRowLastColumn="0"/>
        </w:trPr>
        <w:tc>
          <w:tcPr>
            <w:tcW w:w="1687" w:type="pct"/>
          </w:tcPr>
          <w:p w14:paraId="75FF998E" w14:textId="77777777" w:rsidR="00630ACB" w:rsidRPr="009E6286" w:rsidRDefault="00630ACB">
            <w:pPr>
              <w:spacing w:line="240" w:lineRule="auto"/>
              <w:rPr>
                <w:rFonts w:ascii="Arial" w:eastAsia="Arial" w:hAnsi="Arial" w:cs="Arial"/>
                <w:bCs/>
                <w:lang w:val="en-US"/>
              </w:rPr>
            </w:pPr>
          </w:p>
        </w:tc>
        <w:tc>
          <w:tcPr>
            <w:tcW w:w="969" w:type="pct"/>
          </w:tcPr>
          <w:p w14:paraId="69B2C748" w14:textId="77777777" w:rsidR="00630ACB" w:rsidRPr="009E6286" w:rsidRDefault="00630ACB">
            <w:pPr>
              <w:spacing w:line="240" w:lineRule="auto"/>
              <w:rPr>
                <w:rFonts w:ascii="Arial" w:eastAsia="Arial" w:hAnsi="Arial" w:cs="Arial"/>
                <w:b/>
                <w:lang w:val="en-US"/>
              </w:rPr>
            </w:pPr>
            <w:r w:rsidRPr="009E6286">
              <w:rPr>
                <w:rFonts w:ascii="Arial" w:eastAsia="Arial" w:hAnsi="Arial" w:cs="Arial"/>
                <w:bCs/>
              </w:rPr>
              <w:t>GWW proposal</w:t>
            </w:r>
          </w:p>
        </w:tc>
        <w:tc>
          <w:tcPr>
            <w:tcW w:w="586" w:type="pct"/>
          </w:tcPr>
          <w:p w14:paraId="0A94082D" w14:textId="77777777" w:rsidR="00630ACB" w:rsidRPr="00FB2CCB" w:rsidRDefault="00630ACB">
            <w:pPr>
              <w:spacing w:line="240" w:lineRule="auto"/>
              <w:jc w:val="right"/>
              <w:rPr>
                <w:rFonts w:ascii="Arial" w:eastAsia="Arial" w:hAnsi="Arial" w:cs="Arial"/>
                <w:bCs/>
                <w:lang w:val="en-US"/>
              </w:rPr>
            </w:pPr>
            <w:r>
              <w:rPr>
                <w:rFonts w:ascii="Arial" w:eastAsia="Arial" w:hAnsi="Arial" w:cs="Arial"/>
                <w:bCs/>
              </w:rPr>
              <w:t>4.1%</w:t>
            </w:r>
          </w:p>
        </w:tc>
        <w:tc>
          <w:tcPr>
            <w:tcW w:w="586" w:type="pct"/>
          </w:tcPr>
          <w:p w14:paraId="6C0A52DA" w14:textId="77777777" w:rsidR="00630ACB" w:rsidRPr="00FB2CCB" w:rsidRDefault="00630ACB">
            <w:pPr>
              <w:spacing w:line="240" w:lineRule="auto"/>
              <w:jc w:val="right"/>
              <w:rPr>
                <w:rFonts w:ascii="Arial" w:eastAsia="Arial" w:hAnsi="Arial" w:cs="Arial"/>
                <w:bCs/>
                <w:lang w:val="en-US"/>
              </w:rPr>
            </w:pPr>
            <w:r>
              <w:rPr>
                <w:rFonts w:ascii="Arial" w:eastAsia="Arial" w:hAnsi="Arial" w:cs="Arial"/>
                <w:bCs/>
              </w:rPr>
              <w:t>4.2%</w:t>
            </w:r>
          </w:p>
        </w:tc>
        <w:tc>
          <w:tcPr>
            <w:tcW w:w="586" w:type="pct"/>
          </w:tcPr>
          <w:p w14:paraId="6319715A" w14:textId="77777777" w:rsidR="00630ACB" w:rsidRPr="00FB2CCB" w:rsidRDefault="00630ACB">
            <w:pPr>
              <w:spacing w:line="240" w:lineRule="auto"/>
              <w:jc w:val="right"/>
              <w:rPr>
                <w:rFonts w:ascii="Arial" w:eastAsia="Arial" w:hAnsi="Arial" w:cs="Arial"/>
                <w:bCs/>
                <w:lang w:val="en-US"/>
              </w:rPr>
            </w:pPr>
            <w:r>
              <w:rPr>
                <w:rFonts w:ascii="Arial" w:eastAsia="Arial" w:hAnsi="Arial" w:cs="Arial"/>
                <w:bCs/>
              </w:rPr>
              <w:t>3.7%</w:t>
            </w:r>
          </w:p>
        </w:tc>
        <w:tc>
          <w:tcPr>
            <w:tcW w:w="586" w:type="pct"/>
          </w:tcPr>
          <w:p w14:paraId="621E62C9" w14:textId="77777777" w:rsidR="00630ACB" w:rsidRPr="00FB2CCB" w:rsidRDefault="00630ACB">
            <w:pPr>
              <w:spacing w:line="240" w:lineRule="auto"/>
              <w:jc w:val="right"/>
              <w:rPr>
                <w:rFonts w:ascii="Arial" w:eastAsia="Arial" w:hAnsi="Arial" w:cs="Arial"/>
                <w:bCs/>
                <w:lang w:val="en-US"/>
              </w:rPr>
            </w:pPr>
            <w:r>
              <w:rPr>
                <w:rFonts w:ascii="Arial" w:eastAsia="Arial" w:hAnsi="Arial" w:cs="Arial"/>
                <w:bCs/>
              </w:rPr>
              <w:t>3.6%</w:t>
            </w:r>
          </w:p>
        </w:tc>
      </w:tr>
      <w:tr w:rsidR="00630ACB" w:rsidRPr="009E6286" w14:paraId="1264AA59" w14:textId="77777777">
        <w:trPr>
          <w:cnfStyle w:val="000000100000" w:firstRow="0" w:lastRow="0" w:firstColumn="0" w:lastColumn="0" w:oddVBand="0" w:evenVBand="0" w:oddHBand="1" w:evenHBand="0" w:firstRowFirstColumn="0" w:firstRowLastColumn="0" w:lastRowFirstColumn="0" w:lastRowLastColumn="0"/>
        </w:trPr>
        <w:tc>
          <w:tcPr>
            <w:tcW w:w="1687" w:type="pct"/>
          </w:tcPr>
          <w:p w14:paraId="70A3B588" w14:textId="77777777" w:rsidR="00630ACB" w:rsidRPr="009E6286" w:rsidRDefault="00630ACB">
            <w:pPr>
              <w:spacing w:line="240" w:lineRule="auto"/>
              <w:rPr>
                <w:rFonts w:ascii="Arial" w:eastAsia="Arial" w:hAnsi="Arial" w:cs="Arial"/>
                <w:bCs/>
                <w:lang w:val="en-US"/>
              </w:rPr>
            </w:pPr>
          </w:p>
        </w:tc>
        <w:tc>
          <w:tcPr>
            <w:tcW w:w="969" w:type="pct"/>
          </w:tcPr>
          <w:p w14:paraId="5378133F" w14:textId="77777777" w:rsidR="00630ACB" w:rsidRPr="009E6286" w:rsidRDefault="00630ACB">
            <w:pPr>
              <w:spacing w:line="240" w:lineRule="auto"/>
              <w:rPr>
                <w:rFonts w:ascii="Arial" w:eastAsia="Arial" w:hAnsi="Arial" w:cs="Arial"/>
                <w:b/>
                <w:lang w:val="en-US"/>
              </w:rPr>
            </w:pPr>
            <w:r w:rsidRPr="009E6286">
              <w:rPr>
                <w:rFonts w:ascii="Arial" w:eastAsia="Arial" w:hAnsi="Arial" w:cs="Arial"/>
                <w:bCs/>
              </w:rPr>
              <w:t>Draft Decision</w:t>
            </w:r>
          </w:p>
        </w:tc>
        <w:tc>
          <w:tcPr>
            <w:tcW w:w="586" w:type="pct"/>
          </w:tcPr>
          <w:p w14:paraId="40874701" w14:textId="77777777" w:rsidR="00630ACB" w:rsidRPr="00FB2CCB" w:rsidRDefault="00630ACB">
            <w:pPr>
              <w:spacing w:line="240" w:lineRule="auto"/>
              <w:jc w:val="right"/>
              <w:rPr>
                <w:rFonts w:ascii="Arial" w:eastAsia="Arial" w:hAnsi="Arial" w:cs="Arial"/>
                <w:bCs/>
                <w:lang w:val="en-US"/>
              </w:rPr>
            </w:pPr>
            <w:r>
              <w:rPr>
                <w:rFonts w:ascii="Arial" w:eastAsia="Arial" w:hAnsi="Arial" w:cs="Arial"/>
                <w:bCs/>
              </w:rPr>
              <w:t>4.6%</w:t>
            </w:r>
          </w:p>
        </w:tc>
        <w:tc>
          <w:tcPr>
            <w:tcW w:w="586" w:type="pct"/>
          </w:tcPr>
          <w:p w14:paraId="20BBD984" w14:textId="77777777" w:rsidR="00630ACB" w:rsidRPr="00FB2CCB" w:rsidRDefault="00630ACB">
            <w:pPr>
              <w:spacing w:line="240" w:lineRule="auto"/>
              <w:jc w:val="right"/>
              <w:rPr>
                <w:rFonts w:ascii="Arial" w:eastAsia="Arial" w:hAnsi="Arial" w:cs="Arial"/>
                <w:bCs/>
                <w:lang w:val="en-US"/>
              </w:rPr>
            </w:pPr>
            <w:r>
              <w:rPr>
                <w:rFonts w:ascii="Arial" w:eastAsia="Arial" w:hAnsi="Arial" w:cs="Arial"/>
                <w:bCs/>
              </w:rPr>
              <w:t>4.8%</w:t>
            </w:r>
          </w:p>
        </w:tc>
        <w:tc>
          <w:tcPr>
            <w:tcW w:w="586" w:type="pct"/>
          </w:tcPr>
          <w:p w14:paraId="619462DC" w14:textId="77777777" w:rsidR="00630ACB" w:rsidRPr="00FB2CCB" w:rsidRDefault="00630ACB">
            <w:pPr>
              <w:spacing w:line="240" w:lineRule="auto"/>
              <w:jc w:val="right"/>
              <w:rPr>
                <w:rFonts w:ascii="Arial" w:eastAsia="Arial" w:hAnsi="Arial" w:cs="Arial"/>
                <w:bCs/>
                <w:lang w:val="en-US"/>
              </w:rPr>
            </w:pPr>
            <w:r>
              <w:rPr>
                <w:rFonts w:ascii="Arial" w:eastAsia="Arial" w:hAnsi="Arial" w:cs="Arial"/>
                <w:bCs/>
              </w:rPr>
              <w:t>4.3%</w:t>
            </w:r>
          </w:p>
        </w:tc>
        <w:tc>
          <w:tcPr>
            <w:tcW w:w="586" w:type="pct"/>
          </w:tcPr>
          <w:p w14:paraId="14A17DD2" w14:textId="77777777" w:rsidR="00630ACB" w:rsidRPr="00FB2CCB" w:rsidRDefault="00630ACB">
            <w:pPr>
              <w:spacing w:line="240" w:lineRule="auto"/>
              <w:jc w:val="right"/>
              <w:rPr>
                <w:rFonts w:ascii="Arial" w:eastAsia="Arial" w:hAnsi="Arial" w:cs="Arial"/>
                <w:bCs/>
                <w:lang w:val="en-US"/>
              </w:rPr>
            </w:pPr>
            <w:r>
              <w:rPr>
                <w:rFonts w:ascii="Arial" w:eastAsia="Arial" w:hAnsi="Arial" w:cs="Arial"/>
                <w:bCs/>
              </w:rPr>
              <w:t>4.2%</w:t>
            </w:r>
          </w:p>
        </w:tc>
      </w:tr>
      <w:tr w:rsidR="00630ACB" w:rsidRPr="00C055B4" w14:paraId="1DC12715" w14:textId="77777777">
        <w:trPr>
          <w:cnfStyle w:val="000000010000" w:firstRow="0" w:lastRow="0" w:firstColumn="0" w:lastColumn="0" w:oddVBand="0" w:evenVBand="0" w:oddHBand="0" w:evenHBand="1" w:firstRowFirstColumn="0" w:firstRowLastColumn="0" w:lastRowFirstColumn="0" w:lastRowLastColumn="0"/>
        </w:trPr>
        <w:tc>
          <w:tcPr>
            <w:tcW w:w="1687" w:type="pct"/>
          </w:tcPr>
          <w:p w14:paraId="3AE7CFA1" w14:textId="77777777" w:rsidR="00630ACB" w:rsidRPr="00C055B4" w:rsidRDefault="00630ACB">
            <w:pPr>
              <w:spacing w:line="240" w:lineRule="auto"/>
              <w:rPr>
                <w:rFonts w:ascii="Arial" w:eastAsia="Arial" w:hAnsi="Arial" w:cs="Arial"/>
                <w:b/>
                <w:lang w:val="en-US"/>
              </w:rPr>
            </w:pPr>
            <w:r w:rsidRPr="00C055B4">
              <w:rPr>
                <w:rFonts w:ascii="Arial" w:eastAsia="Arial" w:hAnsi="Arial" w:cs="Arial"/>
                <w:b/>
              </w:rPr>
              <w:t>Internal financing ratio (%)</w:t>
            </w:r>
          </w:p>
        </w:tc>
        <w:tc>
          <w:tcPr>
            <w:tcW w:w="969" w:type="pct"/>
          </w:tcPr>
          <w:p w14:paraId="6A152F46" w14:textId="77777777" w:rsidR="00630ACB" w:rsidRPr="00C055B4" w:rsidRDefault="00630ACB">
            <w:pPr>
              <w:spacing w:line="240" w:lineRule="auto"/>
              <w:rPr>
                <w:rFonts w:ascii="Arial" w:eastAsia="Arial" w:hAnsi="Arial" w:cs="Arial"/>
                <w:b/>
                <w:i/>
                <w:iCs/>
                <w:lang w:val="en-US"/>
              </w:rPr>
            </w:pPr>
            <w:r w:rsidRPr="00C055B4">
              <w:rPr>
                <w:rFonts w:ascii="Arial" w:eastAsia="Arial" w:hAnsi="Arial" w:cs="Arial"/>
                <w:b/>
                <w:i/>
                <w:iCs/>
              </w:rPr>
              <w:t>ESC benchmark</w:t>
            </w:r>
          </w:p>
        </w:tc>
        <w:tc>
          <w:tcPr>
            <w:tcW w:w="586" w:type="pct"/>
          </w:tcPr>
          <w:p w14:paraId="49C37DD3" w14:textId="77777777" w:rsidR="00630ACB" w:rsidRPr="00C055B4" w:rsidRDefault="00630ACB">
            <w:pPr>
              <w:spacing w:line="240" w:lineRule="auto"/>
              <w:jc w:val="right"/>
              <w:rPr>
                <w:rFonts w:ascii="Arial" w:eastAsia="Arial" w:hAnsi="Arial" w:cs="Arial"/>
                <w:b/>
                <w:i/>
                <w:iCs/>
                <w:lang w:val="en-US"/>
              </w:rPr>
            </w:pPr>
            <w:r w:rsidRPr="00C055B4">
              <w:rPr>
                <w:rFonts w:ascii="Arial" w:eastAsia="Arial" w:hAnsi="Arial" w:cs="Arial"/>
                <w:b/>
                <w:i/>
                <w:iCs/>
              </w:rPr>
              <w:t>&gt;35%</w:t>
            </w:r>
          </w:p>
        </w:tc>
        <w:tc>
          <w:tcPr>
            <w:tcW w:w="586" w:type="pct"/>
          </w:tcPr>
          <w:p w14:paraId="6BBEE8FB" w14:textId="77777777" w:rsidR="00630ACB" w:rsidRPr="00C055B4" w:rsidRDefault="00630ACB">
            <w:pPr>
              <w:spacing w:line="240" w:lineRule="auto"/>
              <w:jc w:val="right"/>
              <w:rPr>
                <w:rFonts w:ascii="Arial" w:eastAsia="Arial" w:hAnsi="Arial" w:cs="Arial"/>
                <w:b/>
                <w:i/>
                <w:iCs/>
                <w:lang w:val="en-US"/>
              </w:rPr>
            </w:pPr>
            <w:r w:rsidRPr="00C055B4">
              <w:rPr>
                <w:rFonts w:ascii="Arial" w:eastAsia="Arial" w:hAnsi="Arial" w:cs="Arial"/>
                <w:b/>
                <w:i/>
                <w:iCs/>
              </w:rPr>
              <w:t>&gt;35%</w:t>
            </w:r>
          </w:p>
        </w:tc>
        <w:tc>
          <w:tcPr>
            <w:tcW w:w="586" w:type="pct"/>
          </w:tcPr>
          <w:p w14:paraId="15FCE384" w14:textId="77777777" w:rsidR="00630ACB" w:rsidRPr="00C055B4" w:rsidRDefault="00630ACB">
            <w:pPr>
              <w:spacing w:line="240" w:lineRule="auto"/>
              <w:jc w:val="right"/>
              <w:rPr>
                <w:rFonts w:ascii="Arial" w:eastAsia="Arial" w:hAnsi="Arial" w:cs="Arial"/>
                <w:b/>
                <w:i/>
                <w:iCs/>
                <w:lang w:val="en-US"/>
              </w:rPr>
            </w:pPr>
            <w:r w:rsidRPr="00C055B4">
              <w:rPr>
                <w:rFonts w:ascii="Arial" w:eastAsia="Arial" w:hAnsi="Arial" w:cs="Arial"/>
                <w:b/>
                <w:i/>
                <w:iCs/>
              </w:rPr>
              <w:t>&gt;35%</w:t>
            </w:r>
          </w:p>
        </w:tc>
        <w:tc>
          <w:tcPr>
            <w:tcW w:w="586" w:type="pct"/>
          </w:tcPr>
          <w:p w14:paraId="21B0FC06" w14:textId="77777777" w:rsidR="00630ACB" w:rsidRPr="00C055B4" w:rsidRDefault="00630ACB">
            <w:pPr>
              <w:spacing w:line="240" w:lineRule="auto"/>
              <w:jc w:val="right"/>
              <w:rPr>
                <w:rFonts w:ascii="Arial" w:eastAsia="Arial" w:hAnsi="Arial" w:cs="Arial"/>
                <w:b/>
                <w:i/>
                <w:iCs/>
                <w:lang w:val="en-US"/>
              </w:rPr>
            </w:pPr>
            <w:r w:rsidRPr="00C055B4">
              <w:rPr>
                <w:rFonts w:ascii="Arial" w:eastAsia="Arial" w:hAnsi="Arial" w:cs="Arial"/>
                <w:b/>
                <w:i/>
                <w:iCs/>
              </w:rPr>
              <w:t>&gt;35%</w:t>
            </w:r>
          </w:p>
        </w:tc>
      </w:tr>
      <w:tr w:rsidR="00630ACB" w:rsidRPr="009E6286" w14:paraId="101DC583" w14:textId="77777777">
        <w:trPr>
          <w:cnfStyle w:val="000000100000" w:firstRow="0" w:lastRow="0" w:firstColumn="0" w:lastColumn="0" w:oddVBand="0" w:evenVBand="0" w:oddHBand="1" w:evenHBand="0" w:firstRowFirstColumn="0" w:firstRowLastColumn="0" w:lastRowFirstColumn="0" w:lastRowLastColumn="0"/>
        </w:trPr>
        <w:tc>
          <w:tcPr>
            <w:tcW w:w="1687" w:type="pct"/>
          </w:tcPr>
          <w:p w14:paraId="16050D40" w14:textId="77777777" w:rsidR="00630ACB" w:rsidRPr="009E6286" w:rsidRDefault="00630ACB">
            <w:pPr>
              <w:spacing w:line="240" w:lineRule="auto"/>
              <w:rPr>
                <w:rFonts w:ascii="Arial" w:eastAsia="Arial" w:hAnsi="Arial" w:cs="Arial"/>
                <w:b/>
                <w:lang w:val="en-US"/>
              </w:rPr>
            </w:pPr>
          </w:p>
        </w:tc>
        <w:tc>
          <w:tcPr>
            <w:tcW w:w="969" w:type="pct"/>
          </w:tcPr>
          <w:p w14:paraId="5ADA01B4" w14:textId="77777777" w:rsidR="00630ACB" w:rsidRPr="009E6286" w:rsidRDefault="00630ACB">
            <w:pPr>
              <w:spacing w:line="240" w:lineRule="auto"/>
              <w:rPr>
                <w:rFonts w:ascii="Arial" w:eastAsia="Arial" w:hAnsi="Arial" w:cs="Arial"/>
                <w:b/>
                <w:lang w:val="en-US"/>
              </w:rPr>
            </w:pPr>
            <w:r w:rsidRPr="009E6286">
              <w:rPr>
                <w:rFonts w:ascii="Arial" w:eastAsia="Arial" w:hAnsi="Arial" w:cs="Arial"/>
                <w:bCs/>
              </w:rPr>
              <w:t>GWW proposal</w:t>
            </w:r>
          </w:p>
        </w:tc>
        <w:tc>
          <w:tcPr>
            <w:tcW w:w="586" w:type="pct"/>
          </w:tcPr>
          <w:p w14:paraId="78802BBB" w14:textId="77777777" w:rsidR="00630ACB" w:rsidRPr="00FB2CCB" w:rsidRDefault="00630ACB">
            <w:pPr>
              <w:spacing w:line="240" w:lineRule="auto"/>
              <w:jc w:val="right"/>
              <w:rPr>
                <w:rFonts w:ascii="Arial" w:eastAsia="Arial" w:hAnsi="Arial" w:cs="Arial"/>
                <w:bCs/>
                <w:lang w:val="en-US"/>
              </w:rPr>
            </w:pPr>
            <w:r>
              <w:rPr>
                <w:rFonts w:ascii="Arial" w:eastAsia="Arial" w:hAnsi="Arial" w:cs="Arial"/>
                <w:bCs/>
              </w:rPr>
              <w:t>9.6%</w:t>
            </w:r>
          </w:p>
        </w:tc>
        <w:tc>
          <w:tcPr>
            <w:tcW w:w="586" w:type="pct"/>
          </w:tcPr>
          <w:p w14:paraId="681AA0DD" w14:textId="77777777" w:rsidR="00630ACB" w:rsidRPr="00FB2CCB" w:rsidRDefault="00630ACB">
            <w:pPr>
              <w:spacing w:line="240" w:lineRule="auto"/>
              <w:jc w:val="right"/>
              <w:rPr>
                <w:rFonts w:ascii="Arial" w:eastAsia="Arial" w:hAnsi="Arial" w:cs="Arial"/>
                <w:bCs/>
                <w:lang w:val="en-US"/>
              </w:rPr>
            </w:pPr>
            <w:r>
              <w:rPr>
                <w:rFonts w:ascii="Arial" w:eastAsia="Arial" w:hAnsi="Arial" w:cs="Arial"/>
                <w:bCs/>
              </w:rPr>
              <w:t>14.7%</w:t>
            </w:r>
          </w:p>
        </w:tc>
        <w:tc>
          <w:tcPr>
            <w:tcW w:w="586" w:type="pct"/>
          </w:tcPr>
          <w:p w14:paraId="609A28E8" w14:textId="77777777" w:rsidR="00630ACB" w:rsidRPr="00FB2CCB" w:rsidRDefault="00630ACB">
            <w:pPr>
              <w:spacing w:line="240" w:lineRule="auto"/>
              <w:jc w:val="right"/>
              <w:rPr>
                <w:rFonts w:ascii="Arial" w:eastAsia="Arial" w:hAnsi="Arial" w:cs="Arial"/>
                <w:bCs/>
                <w:lang w:val="en-US"/>
              </w:rPr>
            </w:pPr>
            <w:r>
              <w:rPr>
                <w:rFonts w:ascii="Arial" w:eastAsia="Arial" w:hAnsi="Arial" w:cs="Arial"/>
                <w:bCs/>
              </w:rPr>
              <w:t>11.2%</w:t>
            </w:r>
          </w:p>
        </w:tc>
        <w:tc>
          <w:tcPr>
            <w:tcW w:w="586" w:type="pct"/>
          </w:tcPr>
          <w:p w14:paraId="15203855" w14:textId="77777777" w:rsidR="00630ACB" w:rsidRPr="00FB2CCB" w:rsidRDefault="00630ACB">
            <w:pPr>
              <w:spacing w:line="240" w:lineRule="auto"/>
              <w:jc w:val="right"/>
              <w:rPr>
                <w:rFonts w:ascii="Arial" w:eastAsia="Arial" w:hAnsi="Arial" w:cs="Arial"/>
                <w:bCs/>
                <w:lang w:val="en-US"/>
              </w:rPr>
            </w:pPr>
            <w:r>
              <w:rPr>
                <w:rFonts w:ascii="Arial" w:eastAsia="Arial" w:hAnsi="Arial" w:cs="Arial"/>
                <w:bCs/>
              </w:rPr>
              <w:t>12.5%</w:t>
            </w:r>
          </w:p>
        </w:tc>
      </w:tr>
      <w:tr w:rsidR="00630ACB" w:rsidRPr="009E6286" w14:paraId="796206CA" w14:textId="77777777">
        <w:trPr>
          <w:cnfStyle w:val="000000010000" w:firstRow="0" w:lastRow="0" w:firstColumn="0" w:lastColumn="0" w:oddVBand="0" w:evenVBand="0" w:oddHBand="0" w:evenHBand="1" w:firstRowFirstColumn="0" w:firstRowLastColumn="0" w:lastRowFirstColumn="0" w:lastRowLastColumn="0"/>
        </w:trPr>
        <w:tc>
          <w:tcPr>
            <w:tcW w:w="1687" w:type="pct"/>
          </w:tcPr>
          <w:p w14:paraId="612EE1A5" w14:textId="77777777" w:rsidR="00630ACB" w:rsidRPr="009E6286" w:rsidRDefault="00630ACB">
            <w:pPr>
              <w:spacing w:line="240" w:lineRule="auto"/>
              <w:rPr>
                <w:rFonts w:ascii="Arial" w:eastAsia="Arial" w:hAnsi="Arial" w:cs="Arial"/>
                <w:b/>
                <w:lang w:val="en-US"/>
              </w:rPr>
            </w:pPr>
          </w:p>
        </w:tc>
        <w:tc>
          <w:tcPr>
            <w:tcW w:w="969" w:type="pct"/>
          </w:tcPr>
          <w:p w14:paraId="5E93537A" w14:textId="77777777" w:rsidR="00630ACB" w:rsidRPr="009E6286" w:rsidRDefault="00630ACB">
            <w:pPr>
              <w:spacing w:line="240" w:lineRule="auto"/>
              <w:rPr>
                <w:rFonts w:ascii="Arial" w:eastAsia="Arial" w:hAnsi="Arial" w:cs="Arial"/>
                <w:b/>
                <w:lang w:val="en-US"/>
              </w:rPr>
            </w:pPr>
            <w:r w:rsidRPr="009E6286">
              <w:rPr>
                <w:rFonts w:ascii="Arial" w:eastAsia="Arial" w:hAnsi="Arial" w:cs="Arial"/>
                <w:bCs/>
              </w:rPr>
              <w:t>Draft Decision</w:t>
            </w:r>
          </w:p>
        </w:tc>
        <w:tc>
          <w:tcPr>
            <w:tcW w:w="586" w:type="pct"/>
          </w:tcPr>
          <w:p w14:paraId="54F655AC" w14:textId="77777777" w:rsidR="00630ACB" w:rsidRPr="00FB2CCB" w:rsidRDefault="00630ACB">
            <w:pPr>
              <w:spacing w:line="240" w:lineRule="auto"/>
              <w:jc w:val="right"/>
              <w:rPr>
                <w:rFonts w:ascii="Arial" w:eastAsia="Arial" w:hAnsi="Arial" w:cs="Arial"/>
                <w:bCs/>
                <w:lang w:val="en-US"/>
              </w:rPr>
            </w:pPr>
            <w:r>
              <w:rPr>
                <w:rFonts w:ascii="Arial" w:eastAsia="Arial" w:hAnsi="Arial" w:cs="Arial"/>
                <w:bCs/>
              </w:rPr>
              <w:t>13.9%</w:t>
            </w:r>
          </w:p>
        </w:tc>
        <w:tc>
          <w:tcPr>
            <w:tcW w:w="586" w:type="pct"/>
          </w:tcPr>
          <w:p w14:paraId="094185F9" w14:textId="77777777" w:rsidR="00630ACB" w:rsidRPr="00FB2CCB" w:rsidRDefault="00630ACB">
            <w:pPr>
              <w:spacing w:line="240" w:lineRule="auto"/>
              <w:jc w:val="right"/>
              <w:rPr>
                <w:rFonts w:ascii="Arial" w:eastAsia="Arial" w:hAnsi="Arial" w:cs="Arial"/>
                <w:bCs/>
                <w:lang w:val="en-US"/>
              </w:rPr>
            </w:pPr>
            <w:r>
              <w:rPr>
                <w:rFonts w:ascii="Arial" w:eastAsia="Arial" w:hAnsi="Arial" w:cs="Arial"/>
                <w:bCs/>
              </w:rPr>
              <w:t>20.6%</w:t>
            </w:r>
          </w:p>
        </w:tc>
        <w:tc>
          <w:tcPr>
            <w:tcW w:w="586" w:type="pct"/>
          </w:tcPr>
          <w:p w14:paraId="31BD56CF" w14:textId="77777777" w:rsidR="00630ACB" w:rsidRPr="00FB2CCB" w:rsidRDefault="00630ACB">
            <w:pPr>
              <w:spacing w:line="240" w:lineRule="auto"/>
              <w:jc w:val="right"/>
              <w:rPr>
                <w:rFonts w:ascii="Arial" w:eastAsia="Arial" w:hAnsi="Arial" w:cs="Arial"/>
                <w:bCs/>
                <w:lang w:val="en-US"/>
              </w:rPr>
            </w:pPr>
            <w:r>
              <w:rPr>
                <w:rFonts w:ascii="Arial" w:eastAsia="Arial" w:hAnsi="Arial" w:cs="Arial"/>
                <w:bCs/>
              </w:rPr>
              <w:t>15.7%</w:t>
            </w:r>
          </w:p>
        </w:tc>
        <w:tc>
          <w:tcPr>
            <w:tcW w:w="586" w:type="pct"/>
          </w:tcPr>
          <w:p w14:paraId="47B80343" w14:textId="77777777" w:rsidR="00630ACB" w:rsidRPr="00FB2CCB" w:rsidRDefault="00630ACB">
            <w:pPr>
              <w:spacing w:line="240" w:lineRule="auto"/>
              <w:jc w:val="right"/>
              <w:rPr>
                <w:rFonts w:ascii="Arial" w:eastAsia="Arial" w:hAnsi="Arial" w:cs="Arial"/>
                <w:bCs/>
                <w:lang w:val="en-US"/>
              </w:rPr>
            </w:pPr>
            <w:r>
              <w:rPr>
                <w:rFonts w:ascii="Arial" w:eastAsia="Arial" w:hAnsi="Arial" w:cs="Arial"/>
                <w:bCs/>
              </w:rPr>
              <w:t>18.1%</w:t>
            </w:r>
          </w:p>
        </w:tc>
      </w:tr>
    </w:tbl>
    <w:p w14:paraId="4F684F34" w14:textId="0238E42C" w:rsidR="00D31808" w:rsidRPr="007C664D" w:rsidRDefault="00D31808" w:rsidP="00D31808"/>
    <w:p w14:paraId="122D4FF6" w14:textId="77777777" w:rsidR="00213616" w:rsidRPr="00674C9B" w:rsidRDefault="00213616" w:rsidP="00FF5FF4">
      <w:pPr>
        <w:rPr>
          <w:highlight w:val="darkGray"/>
        </w:rPr>
      </w:pPr>
    </w:p>
    <w:p w14:paraId="2ABE3AD2" w14:textId="2E373FFC" w:rsidR="008706A9" w:rsidRDefault="008706A9" w:rsidP="00D31808">
      <w:pPr>
        <w:sectPr w:rsidR="008706A9" w:rsidSect="00736B75">
          <w:footerReference w:type="default" r:id="rId40"/>
          <w:pgSz w:w="11906" w:h="16838" w:code="9"/>
          <w:pgMar w:top="1134" w:right="1134" w:bottom="1134" w:left="1134" w:header="709" w:footer="692" w:gutter="0"/>
          <w:cols w:space="708"/>
          <w:docGrid w:linePitch="360"/>
        </w:sectPr>
      </w:pPr>
    </w:p>
    <w:p w14:paraId="727C332C" w14:textId="682D7576" w:rsidR="00BF7DEC" w:rsidRDefault="00A84348" w:rsidP="00F22C01">
      <w:pPr>
        <w:pStyle w:val="Heading1"/>
        <w:ind w:left="709" w:hanging="709"/>
      </w:pPr>
      <w:bookmarkStart w:id="124" w:name="_Toc161401008"/>
      <w:r>
        <w:lastRenderedPageBreak/>
        <w:t>7.</w:t>
      </w:r>
      <w:r>
        <w:tab/>
      </w:r>
      <w:r w:rsidR="00BF7DEC">
        <w:t>PREMO rating</w:t>
      </w:r>
      <w:bookmarkEnd w:id="124"/>
    </w:p>
    <w:p w14:paraId="3A89F650" w14:textId="31788F1E" w:rsidR="00BF7DEC" w:rsidRDefault="00BF7DEC" w:rsidP="00902C19">
      <w:r>
        <w:t xml:space="preserve">PREMO is an incentive mechanism that links the return on equity used to calculate a water corporation’s revenue requirement to that corporation’s level of ambition expressed in its price submission. Our guidance required </w:t>
      </w:r>
      <w:r w:rsidR="00AA1D9F">
        <w:t>Greater Western Water</w:t>
      </w:r>
      <w:r>
        <w:t xml:space="preserve"> to self</w:t>
      </w:r>
      <w:r w:rsidR="000D6B4B">
        <w:noBreakHyphen/>
      </w:r>
      <w:r>
        <w:t>assess the level of ambition of its price submission for each element of the PREMO mechanism and arrive at an overall self</w:t>
      </w:r>
      <w:r w:rsidR="000D6B4B">
        <w:noBreakHyphen/>
      </w:r>
      <w:r>
        <w:t>rating.</w:t>
      </w:r>
      <w:r w:rsidR="00414537">
        <w:rPr>
          <w:rStyle w:val="FootnoteReference"/>
        </w:rPr>
        <w:footnoteReference w:id="114"/>
      </w:r>
      <w:r w:rsidR="00392C6B">
        <w:t xml:space="preserve"> </w:t>
      </w:r>
      <w:r>
        <w:t xml:space="preserve">We required </w:t>
      </w:r>
      <w:r w:rsidR="00AA1D9F">
        <w:t>Greater Western Water</w:t>
      </w:r>
      <w:r>
        <w:t xml:space="preserve"> to self</w:t>
      </w:r>
      <w:r w:rsidR="000D6B4B">
        <w:noBreakHyphen/>
      </w:r>
      <w:r>
        <w:t xml:space="preserve">rate its price submission as either ‘Leading’, ‘Advanced’, ‘Standard’ or ‘Basic’, with ‘Leading’ being the most ambitious and ‘Basic’ the least. </w:t>
      </w:r>
    </w:p>
    <w:p w14:paraId="59BB2C6F" w14:textId="0B547F45" w:rsidR="00BF7DEC" w:rsidRDefault="00BF7DEC" w:rsidP="00BF7DEC">
      <w:r>
        <w:t xml:space="preserve">The assessment tool included in our guidance directed </w:t>
      </w:r>
      <w:r w:rsidR="00AA1D9F">
        <w:t>Greater Western Water</w:t>
      </w:r>
      <w:r>
        <w:t xml:space="preserve"> to consider its level of ambition in relation to matters covered in its price submission, such as proposals related to operating and capital expenditure, the form of price control, and tariffs.</w:t>
      </w:r>
    </w:p>
    <w:p w14:paraId="7CA48233" w14:textId="584B5568" w:rsidR="00BF7DEC" w:rsidRDefault="00BF7DEC" w:rsidP="00BF7DEC">
      <w:r>
        <w:t xml:space="preserve">We also assessed and rated </w:t>
      </w:r>
      <w:r w:rsidR="00AA1D9F">
        <w:t>Greater Western Water</w:t>
      </w:r>
      <w:r>
        <w:t xml:space="preserve">’s price submission. As outlined in </w:t>
      </w:r>
      <w:r w:rsidR="003A3A93">
        <w:t>our guidance</w:t>
      </w:r>
      <w:r>
        <w:t xml:space="preserve">, </w:t>
      </w:r>
      <w:r w:rsidRPr="008C6755">
        <w:t xml:space="preserve">the combination of </w:t>
      </w:r>
      <w:r w:rsidR="00AA1D9F" w:rsidRPr="008C6755">
        <w:t>Greater Western Water</w:t>
      </w:r>
      <w:r w:rsidRPr="008C6755">
        <w:t>’s self</w:t>
      </w:r>
      <w:r w:rsidR="000D6B4B" w:rsidRPr="008C6755">
        <w:noBreakHyphen/>
      </w:r>
      <w:r w:rsidRPr="008C6755">
        <w:t xml:space="preserve">rating and our rating has determined the return on equity we have adopted to calculate </w:t>
      </w:r>
      <w:r w:rsidR="00AA1D9F" w:rsidRPr="008C6755">
        <w:t>Greater Western Water</w:t>
      </w:r>
      <w:r w:rsidRPr="008C6755">
        <w:t>’s revenue requirement in our draft decision.</w:t>
      </w:r>
    </w:p>
    <w:p w14:paraId="4E23E399" w14:textId="218B3979" w:rsidR="00BF7DEC" w:rsidRDefault="00A84348" w:rsidP="007C664D">
      <w:pPr>
        <w:pStyle w:val="Heading2"/>
        <w:ind w:left="720" w:hanging="720"/>
      </w:pPr>
      <w:bookmarkStart w:id="125" w:name="_Toc161401009"/>
      <w:r>
        <w:t>7.1</w:t>
      </w:r>
      <w:r>
        <w:tab/>
      </w:r>
      <w:r w:rsidR="00BF7DEC">
        <w:t xml:space="preserve">Our PREMO assessment of </w:t>
      </w:r>
      <w:r w:rsidR="00AA1D9F">
        <w:t>Greater Western Water</w:t>
      </w:r>
      <w:r w:rsidR="00BF7DEC">
        <w:t>’s price submission</w:t>
      </w:r>
      <w:bookmarkEnd w:id="125"/>
    </w:p>
    <w:p w14:paraId="7FD45F96" w14:textId="6C48EC93" w:rsidR="00BF7DEC" w:rsidRDefault="00BF7DEC" w:rsidP="00630EF4">
      <w:pPr>
        <w:pStyle w:val="Pull-out"/>
      </w:pPr>
      <w:r w:rsidRPr="007C664D">
        <w:t xml:space="preserve">Our draft decision is to rate </w:t>
      </w:r>
      <w:r w:rsidR="00AA1D9F" w:rsidRPr="007C664D">
        <w:t>Greater Western Water</w:t>
      </w:r>
      <w:r w:rsidRPr="007C664D">
        <w:t xml:space="preserve">’s price submission as </w:t>
      </w:r>
      <w:r w:rsidR="005974E2" w:rsidRPr="007C664D">
        <w:t>‘</w:t>
      </w:r>
      <w:r w:rsidR="00630EF4" w:rsidRPr="007C664D">
        <w:t>Standard</w:t>
      </w:r>
      <w:r w:rsidR="005974E2" w:rsidRPr="007C664D">
        <w:t>’</w:t>
      </w:r>
      <w:r w:rsidRPr="007C664D">
        <w:t xml:space="preserve"> under PREMO, which </w:t>
      </w:r>
      <w:r w:rsidR="00F404CC" w:rsidRPr="007C664D">
        <w:t xml:space="preserve">is the same as </w:t>
      </w:r>
      <w:r w:rsidR="00AA1D9F" w:rsidRPr="007C664D">
        <w:t>Greater Western Water</w:t>
      </w:r>
      <w:r w:rsidRPr="007C664D">
        <w:t>’s self</w:t>
      </w:r>
      <w:r w:rsidR="000D6B4B" w:rsidRPr="007C664D">
        <w:noBreakHyphen/>
      </w:r>
      <w:r w:rsidRPr="007C664D">
        <w:t xml:space="preserve">rating. </w:t>
      </w:r>
    </w:p>
    <w:p w14:paraId="66F4DABF" w14:textId="16789B64" w:rsidR="00BB45EB" w:rsidRPr="00BB45EB" w:rsidRDefault="00AA1D9F" w:rsidP="00BF7DEC">
      <w:r>
        <w:t>Greater Western Water</w:t>
      </w:r>
      <w:r w:rsidR="00BF7DEC">
        <w:t>’s self</w:t>
      </w:r>
      <w:r w:rsidR="000D6B4B">
        <w:noBreakHyphen/>
      </w:r>
      <w:r w:rsidR="00BF7DEC">
        <w:t>rating for each of the PREMO elements and its overall self</w:t>
      </w:r>
      <w:r w:rsidR="000D6B4B">
        <w:noBreakHyphen/>
      </w:r>
      <w:r w:rsidR="00BF7DEC">
        <w:t>rating are shown in Table</w:t>
      </w:r>
      <w:r w:rsidR="00BE4051">
        <w:t> </w:t>
      </w:r>
      <w:r w:rsidR="00BF7DEC">
        <w:t xml:space="preserve">7.1. This table also includes our proposed ratings following our assessment of </w:t>
      </w:r>
      <w:r>
        <w:t>Greater Western Water</w:t>
      </w:r>
      <w:r w:rsidR="00BF7DEC">
        <w:t>’s price submission.</w:t>
      </w:r>
    </w:p>
    <w:p w14:paraId="2DD46CC8" w14:textId="5B6C9254" w:rsidR="009B3050" w:rsidRDefault="009B3050" w:rsidP="009B3050">
      <w:pPr>
        <w:pStyle w:val="Figure-Table-BoxHeading"/>
        <w:keepNext/>
        <w:spacing w:before="360" w:line="288" w:lineRule="auto"/>
        <w:ind w:left="0" w:firstLine="0"/>
      </w:pPr>
      <w:r>
        <w:lastRenderedPageBreak/>
        <w:t>Table 7.1</w:t>
      </w:r>
      <w:r>
        <w:tab/>
        <w:t>PREMO rating</w:t>
      </w:r>
    </w:p>
    <w:tbl>
      <w:tblPr>
        <w:tblStyle w:val="TableGrid"/>
        <w:tblW w:w="0" w:type="auto"/>
        <w:tblLook w:val="04A0" w:firstRow="1" w:lastRow="0" w:firstColumn="1" w:lastColumn="0" w:noHBand="0" w:noVBand="1"/>
      </w:tblPr>
      <w:tblGrid>
        <w:gridCol w:w="1524"/>
        <w:gridCol w:w="1233"/>
        <w:gridCol w:w="1488"/>
        <w:gridCol w:w="1119"/>
        <w:gridCol w:w="1463"/>
        <w:gridCol w:w="1487"/>
        <w:gridCol w:w="1324"/>
      </w:tblGrid>
      <w:tr w:rsidR="009B3050" w14:paraId="3AE44148" w14:textId="77777777" w:rsidTr="00950C60">
        <w:trPr>
          <w:cnfStyle w:val="100000000000" w:firstRow="1" w:lastRow="0" w:firstColumn="0" w:lastColumn="0" w:oddVBand="0" w:evenVBand="0" w:oddHBand="0" w:evenHBand="0" w:firstRowFirstColumn="0" w:firstRowLastColumn="0" w:lastRowFirstColumn="0" w:lastRowLastColumn="0"/>
        </w:trPr>
        <w:tc>
          <w:tcPr>
            <w:tcW w:w="1524" w:type="dxa"/>
          </w:tcPr>
          <w:p w14:paraId="495E0641" w14:textId="77777777" w:rsidR="009B3050" w:rsidRPr="007C664D" w:rsidRDefault="009B3050" w:rsidP="00630EF4">
            <w:pPr>
              <w:pStyle w:val="TableHeading"/>
              <w:keepNext/>
            </w:pPr>
          </w:p>
        </w:tc>
        <w:tc>
          <w:tcPr>
            <w:tcW w:w="1233" w:type="dxa"/>
          </w:tcPr>
          <w:p w14:paraId="3722BE09" w14:textId="77777777" w:rsidR="009B3050" w:rsidRPr="007C664D" w:rsidRDefault="009B3050" w:rsidP="00630EF4">
            <w:pPr>
              <w:pStyle w:val="TableHeading"/>
              <w:keepNext/>
            </w:pPr>
            <w:r w:rsidRPr="00B542CE">
              <w:t>Overall PREMO rating</w:t>
            </w:r>
          </w:p>
        </w:tc>
        <w:tc>
          <w:tcPr>
            <w:tcW w:w="1488" w:type="dxa"/>
          </w:tcPr>
          <w:p w14:paraId="4AE1319E" w14:textId="77777777" w:rsidR="009B3050" w:rsidRPr="007C664D" w:rsidRDefault="009B3050" w:rsidP="00630EF4">
            <w:pPr>
              <w:pStyle w:val="TableHeading"/>
              <w:keepNext/>
            </w:pPr>
            <w:r w:rsidRPr="00B542CE">
              <w:t>Performance</w:t>
            </w:r>
          </w:p>
        </w:tc>
        <w:tc>
          <w:tcPr>
            <w:tcW w:w="1119" w:type="dxa"/>
          </w:tcPr>
          <w:p w14:paraId="3C3945C7" w14:textId="77777777" w:rsidR="009B3050" w:rsidRPr="007C664D" w:rsidRDefault="009B3050" w:rsidP="00630EF4">
            <w:pPr>
              <w:pStyle w:val="TableHeading"/>
              <w:keepNext/>
            </w:pPr>
            <w:r w:rsidRPr="00B542CE">
              <w:t>Risk</w:t>
            </w:r>
          </w:p>
        </w:tc>
        <w:tc>
          <w:tcPr>
            <w:tcW w:w="1463" w:type="dxa"/>
          </w:tcPr>
          <w:p w14:paraId="7C36B2CA" w14:textId="77777777" w:rsidR="009B3050" w:rsidRPr="007C664D" w:rsidRDefault="009B3050" w:rsidP="00630EF4">
            <w:pPr>
              <w:pStyle w:val="TableHeading"/>
              <w:keepNext/>
            </w:pPr>
            <w:r w:rsidRPr="00B542CE">
              <w:t>Engagement</w:t>
            </w:r>
          </w:p>
        </w:tc>
        <w:tc>
          <w:tcPr>
            <w:tcW w:w="1487" w:type="dxa"/>
          </w:tcPr>
          <w:p w14:paraId="5975E4DF" w14:textId="77777777" w:rsidR="009B3050" w:rsidRPr="007C664D" w:rsidRDefault="009B3050" w:rsidP="00630EF4">
            <w:pPr>
              <w:pStyle w:val="TableHeading"/>
              <w:keepNext/>
            </w:pPr>
            <w:r w:rsidRPr="00B542CE">
              <w:t>Management</w:t>
            </w:r>
          </w:p>
        </w:tc>
        <w:tc>
          <w:tcPr>
            <w:tcW w:w="1324" w:type="dxa"/>
          </w:tcPr>
          <w:p w14:paraId="1ADA11A9" w14:textId="77777777" w:rsidR="009B3050" w:rsidRPr="007C664D" w:rsidRDefault="009B3050" w:rsidP="00630EF4">
            <w:pPr>
              <w:pStyle w:val="TableHeading"/>
              <w:keepNext/>
            </w:pPr>
            <w:r w:rsidRPr="00B542CE">
              <w:t>Outcomes</w:t>
            </w:r>
          </w:p>
        </w:tc>
      </w:tr>
      <w:tr w:rsidR="009B3050" w14:paraId="0418833F" w14:textId="77777777" w:rsidTr="00950C60">
        <w:trPr>
          <w:cnfStyle w:val="000000100000" w:firstRow="0" w:lastRow="0" w:firstColumn="0" w:lastColumn="0" w:oddVBand="0" w:evenVBand="0" w:oddHBand="1" w:evenHBand="0" w:firstRowFirstColumn="0" w:firstRowLastColumn="0" w:lastRowFirstColumn="0" w:lastRowLastColumn="0"/>
        </w:trPr>
        <w:tc>
          <w:tcPr>
            <w:tcW w:w="1524" w:type="dxa"/>
          </w:tcPr>
          <w:p w14:paraId="61A94C88" w14:textId="1612580D" w:rsidR="009B3050" w:rsidRPr="007C664D" w:rsidRDefault="00AA1D9F" w:rsidP="00630EF4">
            <w:pPr>
              <w:pStyle w:val="TableBody"/>
              <w:keepNext/>
            </w:pPr>
            <w:r>
              <w:t>Greater Western Water</w:t>
            </w:r>
            <w:r w:rsidR="009B3050" w:rsidRPr="0041664E">
              <w:t>’s self</w:t>
            </w:r>
            <w:r w:rsidR="000D6B4B">
              <w:noBreakHyphen/>
            </w:r>
            <w:r w:rsidR="009B3050" w:rsidRPr="0041664E">
              <w:t>rating</w:t>
            </w:r>
          </w:p>
        </w:tc>
        <w:tc>
          <w:tcPr>
            <w:tcW w:w="1233" w:type="dxa"/>
          </w:tcPr>
          <w:p w14:paraId="36E9F465" w14:textId="36F12272" w:rsidR="009B3050" w:rsidRPr="00FF68E6" w:rsidRDefault="00FF68E6" w:rsidP="00630EF4">
            <w:pPr>
              <w:pStyle w:val="TableBody"/>
              <w:keepNext/>
            </w:pPr>
            <w:r w:rsidRPr="00FF68E6">
              <w:t>Standard</w:t>
            </w:r>
          </w:p>
        </w:tc>
        <w:tc>
          <w:tcPr>
            <w:tcW w:w="1488" w:type="dxa"/>
          </w:tcPr>
          <w:p w14:paraId="48518B40" w14:textId="7BB393E0" w:rsidR="009B3050" w:rsidRPr="00FF68E6" w:rsidRDefault="00FF68E6" w:rsidP="00630EF4">
            <w:pPr>
              <w:pStyle w:val="TableBody"/>
              <w:keepNext/>
            </w:pPr>
            <w:r w:rsidRPr="00FF68E6">
              <w:t>Standard</w:t>
            </w:r>
          </w:p>
        </w:tc>
        <w:tc>
          <w:tcPr>
            <w:tcW w:w="1119" w:type="dxa"/>
          </w:tcPr>
          <w:p w14:paraId="7B57F7CE" w14:textId="3BFE5FB2" w:rsidR="009B3050" w:rsidRPr="00FF68E6" w:rsidRDefault="00FF68E6" w:rsidP="00630EF4">
            <w:pPr>
              <w:pStyle w:val="TableBody"/>
              <w:keepNext/>
            </w:pPr>
            <w:r w:rsidRPr="00FF68E6">
              <w:t>Standard</w:t>
            </w:r>
          </w:p>
        </w:tc>
        <w:tc>
          <w:tcPr>
            <w:tcW w:w="1463" w:type="dxa"/>
          </w:tcPr>
          <w:p w14:paraId="78CA86B4" w14:textId="1632B5D7" w:rsidR="009B3050" w:rsidRPr="00FF68E6" w:rsidRDefault="00FF68E6" w:rsidP="00630EF4">
            <w:pPr>
              <w:pStyle w:val="TableBody"/>
              <w:keepNext/>
            </w:pPr>
            <w:r w:rsidRPr="00FF68E6">
              <w:t>Advanced</w:t>
            </w:r>
          </w:p>
        </w:tc>
        <w:tc>
          <w:tcPr>
            <w:tcW w:w="1487" w:type="dxa"/>
          </w:tcPr>
          <w:p w14:paraId="0C9EA4C0" w14:textId="1D0935A5" w:rsidR="009B3050" w:rsidRPr="00FF68E6" w:rsidRDefault="00FF68E6" w:rsidP="00630EF4">
            <w:pPr>
              <w:pStyle w:val="TableBody"/>
              <w:keepNext/>
            </w:pPr>
            <w:r w:rsidRPr="00FF68E6">
              <w:t>Standard</w:t>
            </w:r>
          </w:p>
        </w:tc>
        <w:tc>
          <w:tcPr>
            <w:tcW w:w="1324" w:type="dxa"/>
          </w:tcPr>
          <w:p w14:paraId="3D2308E1" w14:textId="04854CE4" w:rsidR="009B3050" w:rsidRPr="00FF68E6" w:rsidRDefault="00FF68E6" w:rsidP="00630EF4">
            <w:pPr>
              <w:pStyle w:val="TableBody"/>
              <w:keepNext/>
            </w:pPr>
            <w:r w:rsidRPr="00FF68E6">
              <w:t>Standard</w:t>
            </w:r>
          </w:p>
        </w:tc>
      </w:tr>
      <w:tr w:rsidR="009B3050" w14:paraId="1F47E66D" w14:textId="77777777" w:rsidTr="00950C60">
        <w:trPr>
          <w:cnfStyle w:val="000000010000" w:firstRow="0" w:lastRow="0" w:firstColumn="0" w:lastColumn="0" w:oddVBand="0" w:evenVBand="0" w:oddHBand="0" w:evenHBand="1" w:firstRowFirstColumn="0" w:firstRowLastColumn="0" w:lastRowFirstColumn="0" w:lastRowLastColumn="0"/>
        </w:trPr>
        <w:tc>
          <w:tcPr>
            <w:tcW w:w="1524" w:type="dxa"/>
          </w:tcPr>
          <w:p w14:paraId="3B6FC3C1" w14:textId="77777777" w:rsidR="009B3050" w:rsidRPr="007C664D" w:rsidRDefault="009B3050" w:rsidP="00950C60">
            <w:pPr>
              <w:pStyle w:val="TableBody"/>
            </w:pPr>
            <w:r w:rsidRPr="0041664E">
              <w:t>Commission’s rating</w:t>
            </w:r>
          </w:p>
        </w:tc>
        <w:tc>
          <w:tcPr>
            <w:tcW w:w="1233" w:type="dxa"/>
          </w:tcPr>
          <w:p w14:paraId="49B5A1F9" w14:textId="07BB950A" w:rsidR="009B3050" w:rsidRPr="007C664D" w:rsidRDefault="00D473C5" w:rsidP="00950C60">
            <w:pPr>
              <w:pStyle w:val="TableBody"/>
            </w:pPr>
            <w:r w:rsidRPr="007C664D">
              <w:t>Standard</w:t>
            </w:r>
          </w:p>
        </w:tc>
        <w:tc>
          <w:tcPr>
            <w:tcW w:w="1488" w:type="dxa"/>
          </w:tcPr>
          <w:p w14:paraId="5813A5A6" w14:textId="0E5F90B0" w:rsidR="009B3050" w:rsidRPr="007C664D" w:rsidRDefault="004E4D97" w:rsidP="00950C60">
            <w:pPr>
              <w:pStyle w:val="TableBody"/>
            </w:pPr>
            <w:r w:rsidRPr="007C664D">
              <w:t>Standard</w:t>
            </w:r>
          </w:p>
        </w:tc>
        <w:tc>
          <w:tcPr>
            <w:tcW w:w="1119" w:type="dxa"/>
          </w:tcPr>
          <w:p w14:paraId="04C6A321" w14:textId="4818949B" w:rsidR="009B3050" w:rsidRPr="007C664D" w:rsidRDefault="00681E42" w:rsidP="00950C60">
            <w:pPr>
              <w:pStyle w:val="TableBody"/>
            </w:pPr>
            <w:r w:rsidRPr="007C664D">
              <w:t>Standard</w:t>
            </w:r>
          </w:p>
        </w:tc>
        <w:tc>
          <w:tcPr>
            <w:tcW w:w="1463" w:type="dxa"/>
          </w:tcPr>
          <w:p w14:paraId="536CE9F3" w14:textId="2AEC0668" w:rsidR="009B3050" w:rsidRPr="007C664D" w:rsidRDefault="00B61AAD" w:rsidP="00950C60">
            <w:pPr>
              <w:pStyle w:val="TableBody"/>
            </w:pPr>
            <w:r w:rsidRPr="007C664D">
              <w:t>Adva</w:t>
            </w:r>
            <w:r w:rsidR="002A69BC" w:rsidRPr="007C664D">
              <w:t>n</w:t>
            </w:r>
            <w:r w:rsidRPr="007C664D">
              <w:t>ced</w:t>
            </w:r>
          </w:p>
        </w:tc>
        <w:tc>
          <w:tcPr>
            <w:tcW w:w="1487" w:type="dxa"/>
          </w:tcPr>
          <w:p w14:paraId="1457FBA0" w14:textId="4FBC65C0" w:rsidR="009B3050" w:rsidRPr="007C664D" w:rsidRDefault="00D473C5" w:rsidP="00950C60">
            <w:pPr>
              <w:pStyle w:val="TableBody"/>
            </w:pPr>
            <w:r w:rsidRPr="007C664D">
              <w:t>Basic</w:t>
            </w:r>
          </w:p>
        </w:tc>
        <w:tc>
          <w:tcPr>
            <w:tcW w:w="1324" w:type="dxa"/>
          </w:tcPr>
          <w:p w14:paraId="0E5CF5A1" w14:textId="57A9EFCB" w:rsidR="009B3050" w:rsidRPr="007C664D" w:rsidRDefault="002A69BC" w:rsidP="00950C60">
            <w:pPr>
              <w:pStyle w:val="TableBody"/>
            </w:pPr>
            <w:r w:rsidRPr="007C664D">
              <w:t>Standard</w:t>
            </w:r>
          </w:p>
        </w:tc>
      </w:tr>
    </w:tbl>
    <w:p w14:paraId="0391AA04" w14:textId="156E598F" w:rsidR="007619BA" w:rsidRDefault="00227239" w:rsidP="007619BA">
      <w:r w:rsidRPr="007C664D">
        <w:t>Our preliminar</w:t>
      </w:r>
      <w:r w:rsidR="002B5D45" w:rsidRPr="007C664D">
        <w:t>y view is that w</w:t>
      </w:r>
      <w:r w:rsidR="007619BA" w:rsidRPr="007C664D">
        <w:t xml:space="preserve">e agree with </w:t>
      </w:r>
      <w:r w:rsidR="00AA1D9F" w:rsidRPr="007C664D">
        <w:t>Greater Western Water</w:t>
      </w:r>
      <w:r w:rsidR="007619BA" w:rsidRPr="007C664D">
        <w:t>’s proposed overall PREMO self</w:t>
      </w:r>
      <w:r w:rsidR="000D6B4B" w:rsidRPr="007C664D">
        <w:noBreakHyphen/>
      </w:r>
      <w:r w:rsidR="007619BA" w:rsidRPr="007C664D">
        <w:t>rating of ‘</w:t>
      </w:r>
      <w:r w:rsidR="00681E42" w:rsidRPr="007C664D">
        <w:t>Standard</w:t>
      </w:r>
      <w:r w:rsidR="007619BA" w:rsidRPr="007C664D">
        <w:t xml:space="preserve">’. This is reflected in the return on equity we propose to approve for </w:t>
      </w:r>
      <w:r w:rsidR="00AA1D9F" w:rsidRPr="007C664D">
        <w:t>Greater Western Water</w:t>
      </w:r>
      <w:r w:rsidR="007619BA" w:rsidRPr="007C664D">
        <w:t xml:space="preserve"> (see Section</w:t>
      </w:r>
      <w:r w:rsidR="001429FE">
        <w:t> </w:t>
      </w:r>
      <w:r w:rsidR="007619BA" w:rsidRPr="007C664D">
        <w:t xml:space="preserve">4.4.2). </w:t>
      </w:r>
      <w:r w:rsidR="00BD2D69" w:rsidRPr="00070DD9">
        <w:t xml:space="preserve">We have formed this view after reviewing </w:t>
      </w:r>
      <w:r w:rsidR="00AA1D9F">
        <w:t>Greater Western Water</w:t>
      </w:r>
      <w:r w:rsidR="00BD2D69">
        <w:t>’s</w:t>
      </w:r>
      <w:r w:rsidR="00BD2D69" w:rsidRPr="00070DD9">
        <w:t xml:space="preserve"> proposed self-rating for each of the five PREMO elements, with a summary of our assessment provided below.</w:t>
      </w:r>
    </w:p>
    <w:p w14:paraId="0995502D" w14:textId="4FC864FD" w:rsidR="005D1872" w:rsidRPr="00070DD9" w:rsidRDefault="005D1872" w:rsidP="005D1872">
      <w:pPr>
        <w:pStyle w:val="Heading3"/>
      </w:pPr>
      <w:bookmarkStart w:id="126" w:name="_Toc121310470"/>
      <w:bookmarkStart w:id="127" w:name="_Toc121989584"/>
      <w:bookmarkStart w:id="128" w:name="_Toc150515715"/>
      <w:bookmarkStart w:id="129" w:name="_Toc161401010"/>
      <w:r w:rsidRPr="00070DD9">
        <w:t>7.1.1</w:t>
      </w:r>
      <w:r w:rsidRPr="00070DD9">
        <w:tab/>
        <w:t>Performance</w:t>
      </w:r>
      <w:bookmarkEnd w:id="126"/>
      <w:bookmarkEnd w:id="127"/>
      <w:bookmarkEnd w:id="128"/>
      <w:bookmarkEnd w:id="129"/>
    </w:p>
    <w:p w14:paraId="7341164B" w14:textId="75DFE546" w:rsidR="00C6312C" w:rsidRDefault="0083748A" w:rsidP="0083748A">
      <w:r w:rsidRPr="007C664D">
        <w:t>For the 202</w:t>
      </w:r>
      <w:r w:rsidR="008A1BF7" w:rsidRPr="007C664D">
        <w:t>4</w:t>
      </w:r>
      <w:r w:rsidRPr="007C664D">
        <w:t xml:space="preserve"> price review, </w:t>
      </w:r>
      <w:r w:rsidR="00FA0270" w:rsidRPr="007C664D">
        <w:t>Greater Wester</w:t>
      </w:r>
      <w:r w:rsidR="00B2578F">
        <w:t>n</w:t>
      </w:r>
      <w:r w:rsidR="00FA0270" w:rsidRPr="007C664D">
        <w:t xml:space="preserve"> Water</w:t>
      </w:r>
      <w:r w:rsidRPr="007C664D">
        <w:t>’s rating for the Performance element of PREMO is based on a combination of its overall PREMO rating at its most recent price review</w:t>
      </w:r>
      <w:r w:rsidR="00D778A9" w:rsidRPr="007C664D">
        <w:t>s for City West Water and Western Water</w:t>
      </w:r>
      <w:r w:rsidRPr="007C664D">
        <w:t>, and its level of performance based on achievement of outcomes (related to service targets and performance against expenditure benchmarks set at the previous price review) and customer sentiment.</w:t>
      </w:r>
      <w:r w:rsidRPr="007C664D">
        <w:rPr>
          <w:rStyle w:val="FootnoteReference"/>
        </w:rPr>
        <w:footnoteReference w:id="115"/>
      </w:r>
      <w:r w:rsidRPr="007C664D">
        <w:t xml:space="preserve"> </w:t>
      </w:r>
      <w:r w:rsidR="00CE782E" w:rsidRPr="007C664D">
        <w:t xml:space="preserve">Our guidance required </w:t>
      </w:r>
      <w:r w:rsidR="00623837" w:rsidRPr="007C664D">
        <w:t>Greater Western Water’s price submission to show how it ha</w:t>
      </w:r>
      <w:r w:rsidR="00F40D72" w:rsidRPr="007C664D">
        <w:t xml:space="preserve">s considered the performance and the previous </w:t>
      </w:r>
      <w:r w:rsidR="00AD759F" w:rsidRPr="007C664D">
        <w:t xml:space="preserve">PREMO </w:t>
      </w:r>
      <w:r w:rsidR="00F40D72" w:rsidRPr="007C664D">
        <w:t xml:space="preserve">ratings </w:t>
      </w:r>
      <w:r w:rsidR="00E6599B" w:rsidRPr="007C664D">
        <w:t>of City West Water and Western Water.</w:t>
      </w:r>
    </w:p>
    <w:p w14:paraId="60A340AD" w14:textId="6C31A005" w:rsidR="0083748A" w:rsidRPr="00F90BB1" w:rsidRDefault="0083748A" w:rsidP="0083748A">
      <w:r w:rsidRPr="007C664D">
        <w:t>As noted in Section</w:t>
      </w:r>
      <w:r w:rsidR="00A47D07" w:rsidRPr="007C664D">
        <w:t> </w:t>
      </w:r>
      <w:r w:rsidRPr="007C664D">
        <w:t xml:space="preserve">3.2, we agree with </w:t>
      </w:r>
      <w:r w:rsidR="00AA1D9F" w:rsidRPr="007C664D">
        <w:t>Greater Western Water</w:t>
      </w:r>
      <w:r w:rsidRPr="007C664D">
        <w:t xml:space="preserve">’s self-assessment that it has, overall, met its outcome commitments for the </w:t>
      </w:r>
      <w:r w:rsidRPr="00F90BB1">
        <w:t>period to date</w:t>
      </w:r>
      <w:r w:rsidR="00286BDB" w:rsidRPr="00F90BB1">
        <w:t>, despite a substantial program to integrate its antecedent businesses</w:t>
      </w:r>
      <w:r w:rsidR="00730C4D" w:rsidRPr="00F90BB1">
        <w:t>, while also charging lower than the maximum prices allowed under prevailing price determinations</w:t>
      </w:r>
      <w:r w:rsidRPr="00F90BB1">
        <w:t xml:space="preserve">. </w:t>
      </w:r>
      <w:r w:rsidR="004C3CE6" w:rsidRPr="00F90BB1">
        <w:t xml:space="preserve">This includes </w:t>
      </w:r>
      <w:r w:rsidR="00142877" w:rsidRPr="00F90BB1">
        <w:t xml:space="preserve">performance against the </w:t>
      </w:r>
      <w:r w:rsidR="004C3CE6" w:rsidRPr="00F90BB1">
        <w:t xml:space="preserve">outcome commitments </w:t>
      </w:r>
      <w:r w:rsidR="00E51E97" w:rsidRPr="00F90BB1">
        <w:t xml:space="preserve">of </w:t>
      </w:r>
      <w:r w:rsidR="00DA409D" w:rsidRPr="00F90BB1">
        <w:t>City West Water and Western Water</w:t>
      </w:r>
      <w:r w:rsidR="00E51E97" w:rsidRPr="00F90BB1">
        <w:t xml:space="preserve"> prior to the formation of Greater Western Water, and its subsequent performance as the new entity</w:t>
      </w:r>
      <w:r w:rsidR="00030A7E" w:rsidRPr="00F90BB1">
        <w:t xml:space="preserve"> against those commitments</w:t>
      </w:r>
      <w:r w:rsidR="00E51E97" w:rsidRPr="00F90BB1">
        <w:t xml:space="preserve">. </w:t>
      </w:r>
      <w:r w:rsidRPr="00F90BB1">
        <w:t xml:space="preserve">It also </w:t>
      </w:r>
      <w:r w:rsidR="00FA03F2" w:rsidRPr="00F90BB1">
        <w:t xml:space="preserve">showed ownership of shortfalls in performance, </w:t>
      </w:r>
      <w:r w:rsidR="0019314B" w:rsidRPr="00F90BB1">
        <w:t>providing r</w:t>
      </w:r>
      <w:r w:rsidR="00E93A9D" w:rsidRPr="00F90BB1">
        <w:t>e</w:t>
      </w:r>
      <w:r w:rsidR="0019314B" w:rsidRPr="00F90BB1">
        <w:t>ason</w:t>
      </w:r>
      <w:r w:rsidR="00E93A9D" w:rsidRPr="00F90BB1">
        <w:t xml:space="preserve">ing and its response </w:t>
      </w:r>
      <w:r w:rsidR="00AB7420" w:rsidRPr="00F90BB1">
        <w:t xml:space="preserve">to the shortfalls </w:t>
      </w:r>
      <w:r w:rsidR="00E93A9D" w:rsidRPr="00F90BB1">
        <w:t xml:space="preserve">in its annual reporting to us, and </w:t>
      </w:r>
      <w:r w:rsidR="002B3155" w:rsidRPr="00F90BB1">
        <w:t xml:space="preserve">in its </w:t>
      </w:r>
      <w:r w:rsidR="00E93A9D" w:rsidRPr="00F90BB1">
        <w:t>twice-annual reporting to customers.</w:t>
      </w:r>
      <w:r w:rsidRPr="00F90BB1">
        <w:t xml:space="preserve"> </w:t>
      </w:r>
    </w:p>
    <w:p w14:paraId="71EED0D6" w14:textId="2586B186" w:rsidR="0015426C" w:rsidRDefault="0015426C" w:rsidP="0083748A">
      <w:r w:rsidRPr="00F90BB1">
        <w:t xml:space="preserve">This was delivered while also using its existing tariff basket form of price control to commence the process of aligning </w:t>
      </w:r>
      <w:r w:rsidR="007C40DF" w:rsidRPr="00F90BB1">
        <w:t xml:space="preserve">customer </w:t>
      </w:r>
      <w:r w:rsidRPr="00F90BB1">
        <w:t>prices across its two regions.</w:t>
      </w:r>
      <w:r>
        <w:t xml:space="preserve"> </w:t>
      </w:r>
    </w:p>
    <w:p w14:paraId="30BB2AD3" w14:textId="60874B17" w:rsidR="00CA3AC4" w:rsidRPr="008577DE" w:rsidRDefault="00CA3AC4" w:rsidP="00CA3AC4">
      <w:r w:rsidRPr="007C664D">
        <w:lastRenderedPageBreak/>
        <w:t xml:space="preserve">In terms of customer perceptions, </w:t>
      </w:r>
      <w:r w:rsidR="00AA1D9F" w:rsidRPr="007C664D">
        <w:t>Greater Western Water</w:t>
      </w:r>
      <w:r w:rsidR="008A496D" w:rsidRPr="007C664D">
        <w:t>’s</w:t>
      </w:r>
      <w:r w:rsidRPr="007C664D">
        <w:t xml:space="preserve"> results on the commission’s survey of customer sentiment – covering measures of overall satisfaction, value for money, trust, and reputation in the community – </w:t>
      </w:r>
      <w:r w:rsidR="002B3155" w:rsidRPr="007C664D">
        <w:t xml:space="preserve">were </w:t>
      </w:r>
      <w:r w:rsidRPr="007C664D">
        <w:t xml:space="preserve">generally </w:t>
      </w:r>
      <w:r w:rsidR="00C919B1" w:rsidRPr="007C664D">
        <w:t xml:space="preserve">consistent with other </w:t>
      </w:r>
      <w:r w:rsidR="00484C7F" w:rsidRPr="007C664D">
        <w:t xml:space="preserve">water </w:t>
      </w:r>
      <w:r w:rsidR="00C919B1" w:rsidRPr="007C664D">
        <w:t xml:space="preserve">businesses </w:t>
      </w:r>
      <w:r w:rsidR="00484C7F" w:rsidRPr="007C664D">
        <w:t xml:space="preserve">over the </w:t>
      </w:r>
      <w:r w:rsidR="002B3155" w:rsidRPr="007C664D">
        <w:t>equivalent</w:t>
      </w:r>
      <w:r w:rsidR="00484C7F" w:rsidRPr="007C664D">
        <w:t xml:space="preserve"> period</w:t>
      </w:r>
      <w:r w:rsidR="00EB6D4B" w:rsidRPr="007C664D">
        <w:t xml:space="preserve">. </w:t>
      </w:r>
      <w:r w:rsidR="00B41305" w:rsidRPr="007C664D">
        <w:t>Results for a</w:t>
      </w:r>
      <w:r w:rsidR="00EB6D4B" w:rsidRPr="007C664D">
        <w:t xml:space="preserve">ll four </w:t>
      </w:r>
      <w:r w:rsidR="00B41305" w:rsidRPr="007C664D">
        <w:t xml:space="preserve">measures trended upwards, peaking in early 2022 before </w:t>
      </w:r>
      <w:r w:rsidR="00986913" w:rsidRPr="007C664D">
        <w:t xml:space="preserve">dipping </w:t>
      </w:r>
      <w:r w:rsidR="00F56873" w:rsidRPr="007C664D">
        <w:t xml:space="preserve">again </w:t>
      </w:r>
      <w:r w:rsidR="00986913" w:rsidRPr="007C664D">
        <w:t xml:space="preserve">over </w:t>
      </w:r>
      <w:r w:rsidR="00B41305" w:rsidRPr="007C664D">
        <w:t>2023</w:t>
      </w:r>
      <w:r w:rsidR="00A50A2C" w:rsidRPr="007C664D">
        <w:t xml:space="preserve">, but </w:t>
      </w:r>
      <w:r w:rsidR="00196081" w:rsidRPr="007C664D">
        <w:t xml:space="preserve">remaining higher than at the outset. </w:t>
      </w:r>
      <w:r w:rsidRPr="007C664D">
        <w:t>This is summarised at pages</w:t>
      </w:r>
      <w:r w:rsidR="00DC67A6" w:rsidRPr="007C664D">
        <w:t> </w:t>
      </w:r>
      <w:r w:rsidR="00D05C12" w:rsidRPr="007C664D">
        <w:t>157 to 163</w:t>
      </w:r>
      <w:r w:rsidRPr="007C664D">
        <w:t xml:space="preserve"> of its price submission.</w:t>
      </w:r>
      <w:r w:rsidRPr="007C664D">
        <w:rPr>
          <w:rStyle w:val="FootnoteReference"/>
        </w:rPr>
        <w:footnoteReference w:id="116"/>
      </w:r>
    </w:p>
    <w:p w14:paraId="6AD215BE" w14:textId="5AEAFF07" w:rsidR="00B73820" w:rsidRPr="007C664D" w:rsidRDefault="00AA1D9F" w:rsidP="00B73820">
      <w:r w:rsidRPr="007C664D">
        <w:t>Greater Western Water</w:t>
      </w:r>
      <w:r w:rsidR="00B73820" w:rsidRPr="007C664D">
        <w:t xml:space="preserve">’s controllable operating costs </w:t>
      </w:r>
      <w:r w:rsidR="009E0A4D" w:rsidRPr="007C664D">
        <w:t>in 202</w:t>
      </w:r>
      <w:r w:rsidR="00A31455" w:rsidRPr="007C664D">
        <w:t>2</w:t>
      </w:r>
      <w:r w:rsidR="00A31455" w:rsidRPr="007C664D">
        <w:noBreakHyphen/>
      </w:r>
      <w:r w:rsidR="00EF2136" w:rsidRPr="007C664D">
        <w:t>23</w:t>
      </w:r>
      <w:r w:rsidR="00752812" w:rsidRPr="007C664D">
        <w:t xml:space="preserve"> </w:t>
      </w:r>
      <w:r w:rsidR="009A6032" w:rsidRPr="007C664D">
        <w:t>were</w:t>
      </w:r>
      <w:r w:rsidR="00752812" w:rsidRPr="007C664D">
        <w:t xml:space="preserve"> $25.5 million (13.8 per cent) </w:t>
      </w:r>
      <w:r w:rsidR="00B73820" w:rsidRPr="007C664D">
        <w:t xml:space="preserve">higher than the </w:t>
      </w:r>
      <w:r w:rsidR="00466F1B" w:rsidRPr="007C664D">
        <w:t xml:space="preserve">combined </w:t>
      </w:r>
      <w:r w:rsidR="00B73820" w:rsidRPr="007C664D">
        <w:t xml:space="preserve">benchmark </w:t>
      </w:r>
      <w:r w:rsidR="00466F1B" w:rsidRPr="007C664D">
        <w:t xml:space="preserve">of the two former businesses </w:t>
      </w:r>
      <w:r w:rsidR="00B73820" w:rsidRPr="007C664D">
        <w:t xml:space="preserve">established at the 2018 </w:t>
      </w:r>
      <w:r w:rsidR="00466F1B" w:rsidRPr="007C664D">
        <w:t xml:space="preserve">and 2020 </w:t>
      </w:r>
      <w:r w:rsidR="00B73820" w:rsidRPr="007C664D">
        <w:t>water price review</w:t>
      </w:r>
      <w:r w:rsidR="00466F1B" w:rsidRPr="007C664D">
        <w:t>s</w:t>
      </w:r>
      <w:r w:rsidR="00B73820" w:rsidRPr="007C664D">
        <w:t xml:space="preserve">. </w:t>
      </w:r>
      <w:r w:rsidR="00EE589E" w:rsidRPr="007C664D">
        <w:t>As discussed in Section 4.1.2</w:t>
      </w:r>
      <w:r w:rsidR="00A06B21" w:rsidRPr="007C664D">
        <w:t xml:space="preserve">, </w:t>
      </w:r>
      <w:r w:rsidR="00247DFF" w:rsidRPr="007C664D">
        <w:t xml:space="preserve">the higher than </w:t>
      </w:r>
      <w:r w:rsidR="00784E7D" w:rsidRPr="007C664D">
        <w:t xml:space="preserve">benchmark </w:t>
      </w:r>
      <w:r w:rsidR="00D848C0" w:rsidRPr="007C664D">
        <w:t>outcome</w:t>
      </w:r>
      <w:r w:rsidR="00784E7D" w:rsidRPr="007C664D">
        <w:t xml:space="preserve"> re</w:t>
      </w:r>
      <w:r w:rsidR="007920BF" w:rsidRPr="007C664D">
        <w:t xml:space="preserve">flects </w:t>
      </w:r>
      <w:proofErr w:type="gramStart"/>
      <w:r w:rsidR="007920BF" w:rsidRPr="007C664D">
        <w:t>a number of</w:t>
      </w:r>
      <w:proofErr w:type="gramEnd"/>
      <w:r w:rsidR="007920BF" w:rsidRPr="007C664D">
        <w:t xml:space="preserve"> </w:t>
      </w:r>
      <w:r w:rsidR="008129FA" w:rsidRPr="007C664D">
        <w:t xml:space="preserve">different cost drivers, </w:t>
      </w:r>
      <w:r w:rsidR="005F241D" w:rsidRPr="007C664D">
        <w:t xml:space="preserve">including </w:t>
      </w:r>
      <w:r w:rsidR="00A91305" w:rsidRPr="007C664D">
        <w:t xml:space="preserve">rising input costs and </w:t>
      </w:r>
      <w:r w:rsidR="005F241D" w:rsidRPr="007C664D">
        <w:t>costs related to the integration and tra</w:t>
      </w:r>
      <w:r w:rsidR="000B53B8" w:rsidRPr="007C664D">
        <w:t>n</w:t>
      </w:r>
      <w:r w:rsidR="005F241D" w:rsidRPr="007C664D">
        <w:t>s</w:t>
      </w:r>
      <w:r w:rsidR="000B53B8" w:rsidRPr="007C664D">
        <w:t>for</w:t>
      </w:r>
      <w:r w:rsidR="00C559D1" w:rsidRPr="007C664D">
        <w:t>m</w:t>
      </w:r>
      <w:r w:rsidR="00F0446D" w:rsidRPr="007C664D">
        <w:t>a</w:t>
      </w:r>
      <w:r w:rsidR="000B53B8" w:rsidRPr="007C664D">
        <w:t xml:space="preserve">tion </w:t>
      </w:r>
      <w:r w:rsidR="00DF2553" w:rsidRPr="007C664D">
        <w:t>of th</w:t>
      </w:r>
      <w:r w:rsidR="00C16BF4" w:rsidRPr="007C664D">
        <w:t>e</w:t>
      </w:r>
      <w:r w:rsidR="00DF2553" w:rsidRPr="007C664D">
        <w:t xml:space="preserve"> business</w:t>
      </w:r>
      <w:r w:rsidR="00A05923" w:rsidRPr="007C664D">
        <w:t xml:space="preserve">, which </w:t>
      </w:r>
      <w:r w:rsidR="00B22AC9" w:rsidRPr="007C664D">
        <w:t xml:space="preserve">outweighs </w:t>
      </w:r>
      <w:r w:rsidR="00C16BF4" w:rsidRPr="007C664D">
        <w:t xml:space="preserve">cost </w:t>
      </w:r>
      <w:r w:rsidR="004215B8" w:rsidRPr="007C664D">
        <w:t xml:space="preserve">efficiencies achieved </w:t>
      </w:r>
      <w:r w:rsidR="00F10F04" w:rsidRPr="007C664D">
        <w:t xml:space="preserve">so far </w:t>
      </w:r>
      <w:r w:rsidR="004215B8" w:rsidRPr="007C664D">
        <w:t>through th</w:t>
      </w:r>
      <w:r w:rsidR="00C16BF4" w:rsidRPr="007C664D">
        <w:t>e</w:t>
      </w:r>
      <w:r w:rsidR="004215B8" w:rsidRPr="007C664D">
        <w:t xml:space="preserve"> business integration</w:t>
      </w:r>
      <w:r w:rsidR="00B22AC9" w:rsidRPr="007C664D">
        <w:t>.</w:t>
      </w:r>
      <w:r w:rsidR="004215B8" w:rsidRPr="007C664D">
        <w:t xml:space="preserve"> </w:t>
      </w:r>
      <w:r w:rsidR="008F1894" w:rsidRPr="007C664D">
        <w:t>However, Greater Western Water provided insufficient information to enable us</w:t>
      </w:r>
      <w:r w:rsidR="00E70956" w:rsidRPr="007C664D">
        <w:t xml:space="preserve"> to verify that </w:t>
      </w:r>
      <w:proofErr w:type="gramStart"/>
      <w:r w:rsidR="00E70956" w:rsidRPr="007C664D">
        <w:t>all of</w:t>
      </w:r>
      <w:proofErr w:type="gramEnd"/>
      <w:r w:rsidR="00E70956" w:rsidRPr="007C664D">
        <w:t xml:space="preserve"> these proposed cost increases were efficient recurring costs</w:t>
      </w:r>
      <w:r w:rsidR="0005759E" w:rsidRPr="007C664D">
        <w:t xml:space="preserve">, </w:t>
      </w:r>
      <w:r w:rsidR="0094093F" w:rsidRPr="007C664D">
        <w:t xml:space="preserve">and </w:t>
      </w:r>
      <w:r w:rsidR="008F1894" w:rsidRPr="007C664D">
        <w:t xml:space="preserve">our draft decision was </w:t>
      </w:r>
      <w:r w:rsidR="0094093F" w:rsidRPr="007C664D">
        <w:t xml:space="preserve">only to accept </w:t>
      </w:r>
      <w:r w:rsidR="008F1894" w:rsidRPr="007C664D">
        <w:t>approximately</w:t>
      </w:r>
      <w:r w:rsidR="0094093F" w:rsidRPr="007C664D">
        <w:t xml:space="preserve"> one third </w:t>
      </w:r>
      <w:r w:rsidR="008F1894" w:rsidRPr="007C664D">
        <w:t>of the proposed costs</w:t>
      </w:r>
      <w:r w:rsidR="00E70956" w:rsidRPr="007C664D">
        <w:t>.</w:t>
      </w:r>
    </w:p>
    <w:p w14:paraId="6EA280C1" w14:textId="52B1D27D" w:rsidR="00CE634A" w:rsidRPr="007C664D" w:rsidRDefault="00216F37" w:rsidP="00B73820">
      <w:r w:rsidRPr="007C664D">
        <w:t>Greater Western Water’s capital expenditure for 2017</w:t>
      </w:r>
      <w:r w:rsidR="00814B5F" w:rsidRPr="007C664D">
        <w:noBreakHyphen/>
        <w:t>18 to 2022</w:t>
      </w:r>
      <w:r w:rsidR="00814B5F" w:rsidRPr="007C664D">
        <w:noBreakHyphen/>
        <w:t xml:space="preserve">23 </w:t>
      </w:r>
      <w:r w:rsidR="00F24AEF" w:rsidRPr="007C664D">
        <w:t xml:space="preserve">is </w:t>
      </w:r>
      <w:r w:rsidR="008E62F5" w:rsidRPr="007C664D">
        <w:t xml:space="preserve">higher than the benchmarks </w:t>
      </w:r>
      <w:r w:rsidR="00BD0954" w:rsidRPr="007C664D">
        <w:t xml:space="preserve">adopted </w:t>
      </w:r>
      <w:r w:rsidR="00E42B44" w:rsidRPr="007C664D">
        <w:t xml:space="preserve">at the 2018 City West Water and 2020 </w:t>
      </w:r>
      <w:r w:rsidR="001B2EB4" w:rsidRPr="007C664D">
        <w:t>Western Water price reviews</w:t>
      </w:r>
      <w:r w:rsidR="000F1377" w:rsidRPr="007C664D">
        <w:t xml:space="preserve">, in both gross (21 per cent) and net (12 per cent) </w:t>
      </w:r>
      <w:r w:rsidR="00B609ED" w:rsidRPr="007C664D">
        <w:t>terms.</w:t>
      </w:r>
      <w:r w:rsidR="00F9694E" w:rsidRPr="007C664D">
        <w:t xml:space="preserve"> </w:t>
      </w:r>
      <w:r w:rsidR="002D1FDB" w:rsidRPr="007C664D">
        <w:t>It completed</w:t>
      </w:r>
      <w:r w:rsidR="00DA3984" w:rsidRPr="007C664D">
        <w:t xml:space="preserve"> </w:t>
      </w:r>
      <w:r w:rsidR="00AB15F2" w:rsidRPr="007C664D">
        <w:t>7</w:t>
      </w:r>
      <w:r w:rsidR="00D27D1A" w:rsidRPr="007C664D">
        <w:t xml:space="preserve"> </w:t>
      </w:r>
      <w:r w:rsidR="002D1FDB" w:rsidRPr="007C664D">
        <w:t xml:space="preserve">of </w:t>
      </w:r>
      <w:r w:rsidR="00AB15F2" w:rsidRPr="007C664D">
        <w:t>10 </w:t>
      </w:r>
      <w:r w:rsidR="00DA3984" w:rsidRPr="007C664D">
        <w:t xml:space="preserve">major capital projects </w:t>
      </w:r>
      <w:r w:rsidR="00685ED0" w:rsidRPr="007C664D">
        <w:t xml:space="preserve">in the </w:t>
      </w:r>
      <w:r w:rsidR="00950287" w:rsidRPr="007C664D">
        <w:t xml:space="preserve">central region but </w:t>
      </w:r>
      <w:r w:rsidR="009E0ADC" w:rsidRPr="007C664D">
        <w:t>varied</w:t>
      </w:r>
      <w:r w:rsidR="00950287" w:rsidRPr="007C664D">
        <w:t xml:space="preserve"> </w:t>
      </w:r>
      <w:r w:rsidR="008511C7" w:rsidRPr="007C664D">
        <w:t xml:space="preserve">more </w:t>
      </w:r>
      <w:r w:rsidR="00950287" w:rsidRPr="007C664D">
        <w:t xml:space="preserve">from </w:t>
      </w:r>
      <w:r w:rsidR="002D69AD" w:rsidRPr="007C664D">
        <w:t xml:space="preserve">its </w:t>
      </w:r>
      <w:r w:rsidR="00950287" w:rsidRPr="007C664D">
        <w:t>plan</w:t>
      </w:r>
      <w:r w:rsidR="00D76059" w:rsidRPr="007C664D">
        <w:t xml:space="preserve"> </w:t>
      </w:r>
      <w:r w:rsidR="00950287" w:rsidRPr="007C664D">
        <w:t xml:space="preserve">in the western region with 3 of 12 projects completed. </w:t>
      </w:r>
      <w:r w:rsidR="0014352C" w:rsidRPr="007C664D">
        <w:t xml:space="preserve">Greater Western Water has transparently </w:t>
      </w:r>
      <w:r w:rsidR="00F20113" w:rsidRPr="007C664D">
        <w:t xml:space="preserve">explained the reasons for these variations and project delays, </w:t>
      </w:r>
      <w:r w:rsidR="00B3540C" w:rsidRPr="007C664D">
        <w:t>including impacts from</w:t>
      </w:r>
      <w:r w:rsidR="004114BE" w:rsidRPr="007C664D">
        <w:t xml:space="preserve"> </w:t>
      </w:r>
      <w:r w:rsidR="00B3540C" w:rsidRPr="007C664D">
        <w:t>th</w:t>
      </w:r>
      <w:r w:rsidR="004114BE" w:rsidRPr="007C664D">
        <w:t>e</w:t>
      </w:r>
      <w:r w:rsidR="00B3540C" w:rsidRPr="007C664D">
        <w:t xml:space="preserve"> pandemic</w:t>
      </w:r>
      <w:r w:rsidR="001E0945" w:rsidRPr="007C664D">
        <w:t xml:space="preserve"> and changes in expected </w:t>
      </w:r>
      <w:r w:rsidR="004B5C12" w:rsidRPr="007C664D">
        <w:t>population growth movements</w:t>
      </w:r>
      <w:r w:rsidR="00B3540C" w:rsidRPr="007C664D">
        <w:t xml:space="preserve">, </w:t>
      </w:r>
      <w:r w:rsidR="007F5ABE" w:rsidRPr="007C664D">
        <w:t>particularly in th</w:t>
      </w:r>
      <w:r w:rsidR="00E65AA4" w:rsidRPr="007C664D">
        <w:t xml:space="preserve">e western region. </w:t>
      </w:r>
      <w:r w:rsidR="00F27B4F" w:rsidRPr="007C664D">
        <w:t>Our preliminary view is that the information provided by Greater Western Water demonstrates</w:t>
      </w:r>
      <w:r w:rsidR="0022380C" w:rsidRPr="007C664D">
        <w:t xml:space="preserve"> that the actual expenditure incurred during the 2018–23 period re</w:t>
      </w:r>
      <w:r w:rsidR="007F05E9" w:rsidRPr="007C664D">
        <w:t>flect</w:t>
      </w:r>
      <w:r w:rsidR="00AB15F2" w:rsidRPr="007C664D">
        <w:t>s</w:t>
      </w:r>
      <w:r w:rsidR="007F05E9" w:rsidRPr="007C664D">
        <w:t xml:space="preserve"> prudent and efficient </w:t>
      </w:r>
      <w:r w:rsidR="005E45B3" w:rsidRPr="007C664D">
        <w:t>expenditure (</w:t>
      </w:r>
      <w:r w:rsidR="000058C4" w:rsidRPr="007C664D">
        <w:t>S</w:t>
      </w:r>
      <w:r w:rsidR="005E45B3" w:rsidRPr="007C664D">
        <w:t>ection</w:t>
      </w:r>
      <w:r w:rsidR="000058C4" w:rsidRPr="007C664D">
        <w:t> 4.</w:t>
      </w:r>
      <w:r w:rsidR="00F373CC" w:rsidRPr="007C664D">
        <w:t>2</w:t>
      </w:r>
      <w:r w:rsidR="000B624F" w:rsidRPr="007C664D">
        <w:t>.1</w:t>
      </w:r>
      <w:r w:rsidR="00F373CC" w:rsidRPr="007C664D">
        <w:t>)</w:t>
      </w:r>
      <w:r w:rsidR="00905ED7" w:rsidRPr="007C664D">
        <w:t>.</w:t>
      </w:r>
    </w:p>
    <w:p w14:paraId="258FBAB5" w14:textId="1EF6BAD6" w:rsidR="0030032F" w:rsidRPr="007C664D" w:rsidRDefault="0030032F" w:rsidP="0030032F">
      <w:r w:rsidRPr="007C664D">
        <w:t xml:space="preserve">City West Water achieved an overall rating of ‘Advanced’ in 2018, and we considered Western Water’s 2020 price submission did not meet the requirements for a ‘Standard’ rating, so it would be appropriate to consider Greater Western Water’s most recent overall PREMO rating would average out at ‘Standard’. In our view, Greater Western Water’s self-rating of ‘Standard’ in effect recognises that it fell short of its City West Water performance expectations in the current </w:t>
      </w:r>
      <w:proofErr w:type="gramStart"/>
      <w:r w:rsidRPr="007C664D">
        <w:t>period, and</w:t>
      </w:r>
      <w:proofErr w:type="gramEnd"/>
      <w:r w:rsidRPr="007C664D">
        <w:t xml:space="preserve"> met its Western Water expectations. We consider this self-rating is appropriate given the increase in controllable costs above the benchmark in 2022</w:t>
      </w:r>
      <w:r w:rsidRPr="007C664D">
        <w:noBreakHyphen/>
        <w:t>23.</w:t>
      </w:r>
    </w:p>
    <w:p w14:paraId="504AADBA" w14:textId="2CC4A4B8" w:rsidR="005909F3" w:rsidRPr="007C664D" w:rsidRDefault="005E7DC0" w:rsidP="009F0E53">
      <w:proofErr w:type="gramStart"/>
      <w:r w:rsidRPr="007C664D">
        <w:t>On the basis of</w:t>
      </w:r>
      <w:proofErr w:type="gramEnd"/>
      <w:r w:rsidRPr="007C664D">
        <w:t xml:space="preserve"> the above</w:t>
      </w:r>
      <w:r w:rsidR="00EB64DC" w:rsidRPr="007C664D">
        <w:t>, o</w:t>
      </w:r>
      <w:r w:rsidR="009F0E53" w:rsidRPr="007C664D">
        <w:t>ur draft decision is to accept</w:t>
      </w:r>
      <w:r w:rsidR="005A5DC0" w:rsidRPr="007C664D">
        <w:t xml:space="preserve"> </w:t>
      </w:r>
      <w:r w:rsidR="00AA1D9F" w:rsidRPr="007C664D">
        <w:t>Greater Western Water</w:t>
      </w:r>
      <w:r w:rsidR="009F0E53" w:rsidRPr="007C664D">
        <w:t>’s self-rating of ‘</w:t>
      </w:r>
      <w:r w:rsidR="00C61502" w:rsidRPr="007C664D">
        <w:t>Standard</w:t>
      </w:r>
      <w:r w:rsidR="009F0E53" w:rsidRPr="007C664D">
        <w:t>’ for the Performance element of PREMO</w:t>
      </w:r>
      <w:r w:rsidR="00BC5B73" w:rsidRPr="007C664D">
        <w:t xml:space="preserve">. </w:t>
      </w:r>
    </w:p>
    <w:p w14:paraId="22365E82" w14:textId="77777777" w:rsidR="00555456" w:rsidRDefault="00555456" w:rsidP="00555456">
      <w:pPr>
        <w:pStyle w:val="Heading3"/>
      </w:pPr>
      <w:bookmarkStart w:id="130" w:name="_Toc121310471"/>
      <w:bookmarkStart w:id="131" w:name="_Toc121989585"/>
      <w:bookmarkStart w:id="132" w:name="_Toc150515716"/>
      <w:bookmarkStart w:id="133" w:name="_Toc161401011"/>
      <w:r>
        <w:lastRenderedPageBreak/>
        <w:t>7.1.2</w:t>
      </w:r>
      <w:r>
        <w:tab/>
      </w:r>
      <w:r w:rsidRPr="00ED7BB8">
        <w:t>Risk</w:t>
      </w:r>
      <w:bookmarkEnd w:id="130"/>
      <w:bookmarkEnd w:id="131"/>
      <w:bookmarkEnd w:id="132"/>
      <w:bookmarkEnd w:id="133"/>
    </w:p>
    <w:p w14:paraId="1AD45E39" w14:textId="77777777" w:rsidR="00555456" w:rsidRPr="00140913" w:rsidRDefault="00555456" w:rsidP="00555456">
      <w:r w:rsidRPr="00140913">
        <w:t>The Risk element of PREMO is assessed against guiding questions focused on the appropriate allocation of risk (so that customers don’t pay more than they need to), and the business’s proposed guaranteed service level scheme (including that it provides incentives for the business to deliver valued services efficiently).</w:t>
      </w:r>
      <w:r w:rsidRPr="00140913">
        <w:rPr>
          <w:rStyle w:val="FootnoteReference"/>
        </w:rPr>
        <w:footnoteReference w:id="117"/>
      </w:r>
    </w:p>
    <w:p w14:paraId="602F5EA3" w14:textId="7B21E9C8" w:rsidR="00555456" w:rsidRDefault="00555456" w:rsidP="00EE67D5">
      <w:r w:rsidRPr="00CA6DFB">
        <w:t>In support of its self-rating of ‘</w:t>
      </w:r>
      <w:r w:rsidR="00226B51" w:rsidRPr="00CA6DFB">
        <w:t>Standard</w:t>
      </w:r>
      <w:r w:rsidRPr="00CA6DFB">
        <w:t xml:space="preserve">’ for the Risk element of PREMO, </w:t>
      </w:r>
      <w:r w:rsidR="00AA1D9F" w:rsidRPr="00CA6DFB">
        <w:t>Greater Western Water</w:t>
      </w:r>
      <w:r w:rsidR="00864E55" w:rsidRPr="00CA6DFB">
        <w:t>’s</w:t>
      </w:r>
      <w:r w:rsidRPr="00CA6DFB">
        <w:t xml:space="preserve"> price submission provided an overview of </w:t>
      </w:r>
      <w:r w:rsidR="00EE67D5" w:rsidRPr="00CA6DFB">
        <w:t xml:space="preserve">eight </w:t>
      </w:r>
      <w:r w:rsidR="00211F43" w:rsidRPr="00CA6DFB">
        <w:t xml:space="preserve">key </w:t>
      </w:r>
      <w:r w:rsidR="005B10F9" w:rsidRPr="00CA6DFB">
        <w:t xml:space="preserve">regulatory </w:t>
      </w:r>
      <w:r w:rsidR="00EE67D5" w:rsidRPr="00CA6DFB">
        <w:t>risk</w:t>
      </w:r>
      <w:r w:rsidR="00211F43" w:rsidRPr="00CA6DFB">
        <w:t xml:space="preserve"> categorie</w:t>
      </w:r>
      <w:r w:rsidR="00EE67D5" w:rsidRPr="00CA6DFB">
        <w:t>s and the allocation of these risks</w:t>
      </w:r>
      <w:r w:rsidR="00894D1E" w:rsidRPr="00CA6DFB">
        <w:t xml:space="preserve"> between the business and its customers</w:t>
      </w:r>
      <w:r w:rsidR="00EE67D5" w:rsidRPr="00CA6DFB">
        <w:t>, base</w:t>
      </w:r>
      <w:r w:rsidR="00894D1E" w:rsidRPr="00CA6DFB">
        <w:t xml:space="preserve">d on </w:t>
      </w:r>
      <w:r w:rsidR="00EE67D5" w:rsidRPr="00CA6DFB">
        <w:t>its internal risk management framework</w:t>
      </w:r>
      <w:r w:rsidR="00894D1E" w:rsidRPr="00CA6DFB">
        <w:t>.</w:t>
      </w:r>
    </w:p>
    <w:p w14:paraId="0FEF0197" w14:textId="51BA7BB2" w:rsidR="00C734A2" w:rsidRPr="00CA6DFB" w:rsidRDefault="00C734A2" w:rsidP="00555456">
      <w:r w:rsidRPr="00CA6DFB">
        <w:t>Key fac</w:t>
      </w:r>
      <w:r w:rsidR="00965D2F" w:rsidRPr="00CA6DFB">
        <w:t xml:space="preserve">tors we identified that support </w:t>
      </w:r>
      <w:r w:rsidR="00F10210" w:rsidRPr="00CA6DFB">
        <w:t xml:space="preserve">Greater Western Water’s </w:t>
      </w:r>
      <w:r w:rsidR="00965D2F" w:rsidRPr="00CA6DFB">
        <w:t>self-rating include:</w:t>
      </w:r>
    </w:p>
    <w:p w14:paraId="26F6E9F9" w14:textId="583CDC04" w:rsidR="00451962" w:rsidRPr="00CA6DFB" w:rsidRDefault="00C550D4" w:rsidP="00ED1290">
      <w:pPr>
        <w:pStyle w:val="ListBullet"/>
      </w:pPr>
      <w:r w:rsidRPr="00CA6DFB">
        <w:t>C</w:t>
      </w:r>
      <w:r w:rsidR="0014354D" w:rsidRPr="00CA6DFB">
        <w:t xml:space="preserve">ontinuing with a tariff basket form of price control </w:t>
      </w:r>
      <w:r w:rsidR="00693167" w:rsidRPr="00CA6DFB">
        <w:t xml:space="preserve">for </w:t>
      </w:r>
      <w:proofErr w:type="gramStart"/>
      <w:r w:rsidR="00693167" w:rsidRPr="00CA6DFB">
        <w:t>the majority of</w:t>
      </w:r>
      <w:proofErr w:type="gramEnd"/>
      <w:r w:rsidR="00693167" w:rsidRPr="00CA6DFB">
        <w:t xml:space="preserve"> its core water and sewerage and trade waste service charges</w:t>
      </w:r>
      <w:r w:rsidR="005A2443" w:rsidRPr="00CA6DFB">
        <w:t>,</w:t>
      </w:r>
      <w:r w:rsidR="004931EF" w:rsidRPr="00CA6DFB">
        <w:t xml:space="preserve"> a</w:t>
      </w:r>
      <w:r w:rsidR="0014354D" w:rsidRPr="00CA6DFB">
        <w:t>nd</w:t>
      </w:r>
      <w:r w:rsidR="00EE38B2" w:rsidRPr="00CA6DFB">
        <w:t xml:space="preserve"> </w:t>
      </w:r>
      <w:r w:rsidR="004931EF" w:rsidRPr="00CA6DFB">
        <w:t xml:space="preserve">a price cap form of price control for miscellaneous charges. </w:t>
      </w:r>
      <w:r w:rsidR="00474A16" w:rsidRPr="00CA6DFB">
        <w:t>Th</w:t>
      </w:r>
      <w:r w:rsidR="00175985" w:rsidRPr="00CA6DFB">
        <w:t xml:space="preserve">e tariff basket </w:t>
      </w:r>
      <w:r w:rsidR="00474A16" w:rsidRPr="00CA6DFB">
        <w:t xml:space="preserve">will </w:t>
      </w:r>
      <w:r w:rsidR="00EE38B2" w:rsidRPr="00CA6DFB">
        <w:t>assist in managing short-term price shocks/fluctuations for customers</w:t>
      </w:r>
      <w:r w:rsidR="00175985" w:rsidRPr="00CA6DFB">
        <w:t xml:space="preserve">, with </w:t>
      </w:r>
      <w:r w:rsidR="00A7613A" w:rsidRPr="00CA6DFB">
        <w:t xml:space="preserve">price increases limited to 10 per cent </w:t>
      </w:r>
      <w:r w:rsidR="00A70980" w:rsidRPr="00CA6DFB">
        <w:t xml:space="preserve">per annum </w:t>
      </w:r>
      <w:r w:rsidR="00A7613A" w:rsidRPr="00CA6DFB">
        <w:t>(in real terms).</w:t>
      </w:r>
    </w:p>
    <w:p w14:paraId="577895EA" w14:textId="4B7E9F87" w:rsidR="00340D0B" w:rsidRPr="00CA6DFB" w:rsidRDefault="00C550D4" w:rsidP="00ED1290">
      <w:pPr>
        <w:pStyle w:val="ListBullet"/>
      </w:pPr>
      <w:r w:rsidRPr="00CA6DFB">
        <w:t>N</w:t>
      </w:r>
      <w:r w:rsidR="0068000B" w:rsidRPr="00CA6DFB">
        <w:t>ot proposing to pass on additional costs associated with changes in the payroll tax or superannuation guarantee</w:t>
      </w:r>
      <w:r w:rsidR="00C473CC" w:rsidRPr="00CA6DFB">
        <w:t xml:space="preserve">, but </w:t>
      </w:r>
      <w:r w:rsidR="0068000B" w:rsidRPr="00CA6DFB">
        <w:t>to recover these additional costs through workforce optimisation</w:t>
      </w:r>
      <w:r w:rsidR="00152A38" w:rsidRPr="00CA6DFB">
        <w:t>.</w:t>
      </w:r>
    </w:p>
    <w:p w14:paraId="02E9B9E2" w14:textId="53BAD76E" w:rsidR="00965D2F" w:rsidRPr="00CA6DFB" w:rsidRDefault="00C550D4" w:rsidP="00ED1290">
      <w:pPr>
        <w:pStyle w:val="ListBullet"/>
      </w:pPr>
      <w:r w:rsidRPr="00CA6DFB">
        <w:t>E</w:t>
      </w:r>
      <w:r w:rsidR="0064100C" w:rsidRPr="00CA6DFB">
        <w:t>xcluding capital expenditure of about $</w:t>
      </w:r>
      <w:r w:rsidR="00A67C16" w:rsidRPr="00CA6DFB">
        <w:t>173 </w:t>
      </w:r>
      <w:r w:rsidR="0064100C" w:rsidRPr="00CA6DFB">
        <w:t xml:space="preserve">million </w:t>
      </w:r>
      <w:r w:rsidR="00270F3B" w:rsidRPr="00CA6DFB">
        <w:t xml:space="preserve">from customer prices due to uncertainty </w:t>
      </w:r>
      <w:r w:rsidR="00531463" w:rsidRPr="00CA6DFB">
        <w:t xml:space="preserve">in timing, </w:t>
      </w:r>
      <w:r w:rsidR="00985555" w:rsidRPr="00CA6DFB">
        <w:t xml:space="preserve">cost, </w:t>
      </w:r>
      <w:proofErr w:type="gramStart"/>
      <w:r w:rsidR="00531463" w:rsidRPr="00CA6DFB">
        <w:t>scope</w:t>
      </w:r>
      <w:proofErr w:type="gramEnd"/>
      <w:r w:rsidR="00531463" w:rsidRPr="00CA6DFB">
        <w:t xml:space="preserve"> </w:t>
      </w:r>
      <w:r w:rsidR="00985555" w:rsidRPr="00CA6DFB">
        <w:t>and benefits</w:t>
      </w:r>
      <w:r w:rsidR="00862897" w:rsidRPr="00CA6DFB">
        <w:t xml:space="preserve"> </w:t>
      </w:r>
      <w:r w:rsidR="00D06940" w:rsidRPr="00CA6DFB">
        <w:t xml:space="preserve">of </w:t>
      </w:r>
      <w:r w:rsidR="000C2079" w:rsidRPr="00CA6DFB">
        <w:t>associated project</w:t>
      </w:r>
      <w:r w:rsidR="00882B0F" w:rsidRPr="00CA6DFB">
        <w:t>s</w:t>
      </w:r>
      <w:r w:rsidR="005E4A54" w:rsidRPr="00CA6DFB">
        <w:t>, thereby helping t</w:t>
      </w:r>
      <w:r w:rsidR="00F67297" w:rsidRPr="00CA6DFB">
        <w:t>o</w:t>
      </w:r>
      <w:r w:rsidR="005E4A54" w:rsidRPr="00CA6DFB">
        <w:t xml:space="preserve"> ensure customers do not pay </w:t>
      </w:r>
      <w:r w:rsidR="003F5E9A" w:rsidRPr="00CA6DFB">
        <w:t xml:space="preserve">for projects that </w:t>
      </w:r>
      <w:r w:rsidR="00DE1380" w:rsidRPr="00CA6DFB">
        <w:t>do not ult</w:t>
      </w:r>
      <w:r w:rsidR="00750702" w:rsidRPr="00CA6DFB">
        <w:t>i</w:t>
      </w:r>
      <w:r w:rsidR="00DE1380" w:rsidRPr="00CA6DFB">
        <w:t>mat</w:t>
      </w:r>
      <w:r w:rsidR="00750702" w:rsidRPr="00CA6DFB">
        <w:t>e</w:t>
      </w:r>
      <w:r w:rsidR="00DE1380" w:rsidRPr="00CA6DFB">
        <w:t xml:space="preserve">ly proceed or </w:t>
      </w:r>
      <w:r w:rsidR="00750702" w:rsidRPr="00CA6DFB">
        <w:t xml:space="preserve">that </w:t>
      </w:r>
      <w:r w:rsidR="00DE1380" w:rsidRPr="00CA6DFB">
        <w:t>change in scope</w:t>
      </w:r>
      <w:r w:rsidR="00152A38" w:rsidRPr="00CA6DFB">
        <w:t>.</w:t>
      </w:r>
    </w:p>
    <w:p w14:paraId="22E353AA" w14:textId="40D52D29" w:rsidR="00451962" w:rsidRPr="00CA6DFB" w:rsidRDefault="00DA1DAC" w:rsidP="00ED1290">
      <w:pPr>
        <w:pStyle w:val="ListBullet"/>
      </w:pPr>
      <w:r w:rsidRPr="00CA6DFB">
        <w:t xml:space="preserve">A new </w:t>
      </w:r>
      <w:r w:rsidR="00665943" w:rsidRPr="00CA6DFB">
        <w:t xml:space="preserve">guaranteed service level </w:t>
      </w:r>
      <w:r w:rsidRPr="00CA6DFB">
        <w:t xml:space="preserve">scheme that </w:t>
      </w:r>
      <w:proofErr w:type="gramStart"/>
      <w:r w:rsidRPr="00CA6DFB">
        <w:t>better</w:t>
      </w:r>
      <w:proofErr w:type="gramEnd"/>
      <w:r w:rsidRPr="00CA6DFB">
        <w:t xml:space="preserve"> balances risk between customers and </w:t>
      </w:r>
      <w:r w:rsidR="00665943" w:rsidRPr="00CA6DFB">
        <w:t>th</w:t>
      </w:r>
      <w:r w:rsidR="00C63E17" w:rsidRPr="00CA6DFB">
        <w:t>e</w:t>
      </w:r>
      <w:r w:rsidR="00665943" w:rsidRPr="00CA6DFB">
        <w:t xml:space="preserve"> bu</w:t>
      </w:r>
      <w:r w:rsidR="00C63E17" w:rsidRPr="00CA6DFB">
        <w:t>s</w:t>
      </w:r>
      <w:r w:rsidR="00665943" w:rsidRPr="00CA6DFB">
        <w:t>iness</w:t>
      </w:r>
      <w:r w:rsidRPr="00CA6DFB">
        <w:t xml:space="preserve">. The scheme extends the existing central region </w:t>
      </w:r>
      <w:r w:rsidR="003F10DE" w:rsidRPr="00CA6DFB">
        <w:t>guaranteed service level</w:t>
      </w:r>
      <w:r w:rsidRPr="00CA6DFB">
        <w:t xml:space="preserve"> scheme to the western region, </w:t>
      </w:r>
      <w:r w:rsidR="00AE422B" w:rsidRPr="00CA6DFB">
        <w:t xml:space="preserve">and adds a new water quality </w:t>
      </w:r>
      <w:r w:rsidR="00D133E7" w:rsidRPr="00CA6DFB">
        <w:t>guaranteed service level</w:t>
      </w:r>
      <w:r w:rsidR="00AE422B" w:rsidRPr="00CA6DFB">
        <w:t xml:space="preserve">, </w:t>
      </w:r>
      <w:r w:rsidRPr="00CA6DFB">
        <w:t>expanding guarantees to all customers. G</w:t>
      </w:r>
      <w:r w:rsidR="00AE422B" w:rsidRPr="00CA6DFB">
        <w:t>reater Western Water</w:t>
      </w:r>
      <w:r w:rsidRPr="00CA6DFB">
        <w:t xml:space="preserve"> will absorb all costs of the scheme.</w:t>
      </w:r>
    </w:p>
    <w:p w14:paraId="12801AD9" w14:textId="57549CA7" w:rsidR="00533834" w:rsidRPr="00CA6DFB" w:rsidRDefault="00533834" w:rsidP="00ED1290">
      <w:pPr>
        <w:pStyle w:val="ListBullet"/>
      </w:pPr>
      <w:r w:rsidRPr="00CA6DFB">
        <w:t>Its risk management policies and procedures are consistent with ISO31000</w:t>
      </w:r>
      <w:r w:rsidR="001E2468" w:rsidRPr="00CA6DFB">
        <w:t>, and its a</w:t>
      </w:r>
      <w:r w:rsidRPr="00CA6DFB">
        <w:t xml:space="preserve">sset management framework is consistent with </w:t>
      </w:r>
      <w:r w:rsidR="001E2468" w:rsidRPr="00CA6DFB">
        <w:t xml:space="preserve">the </w:t>
      </w:r>
      <w:r w:rsidRPr="00CA6DFB">
        <w:t>ISO55000 standard.</w:t>
      </w:r>
    </w:p>
    <w:p w14:paraId="7EAAFE58" w14:textId="424BBD61" w:rsidR="001337A0" w:rsidRPr="00CA6DFB" w:rsidRDefault="001337A0" w:rsidP="00555456">
      <w:r w:rsidRPr="00CA6DFB">
        <w:t xml:space="preserve">However, our </w:t>
      </w:r>
      <w:r w:rsidR="00382F1F" w:rsidRPr="00CA6DFB">
        <w:t xml:space="preserve">draft decision has proposed reductions to the </w:t>
      </w:r>
      <w:r w:rsidRPr="00CA6DFB">
        <w:t xml:space="preserve">operating and capital expenditure </w:t>
      </w:r>
      <w:r w:rsidR="00382F1F" w:rsidRPr="00CA6DFB">
        <w:t xml:space="preserve">forecasts put forward by Greater Western Water, and we </w:t>
      </w:r>
      <w:r w:rsidR="005A2518" w:rsidRPr="00CA6DFB">
        <w:t xml:space="preserve">did not accept its proposed standard new customer contribution on the basis they were not cost reflective. </w:t>
      </w:r>
      <w:r w:rsidR="00CD3E18" w:rsidRPr="00CA6DFB">
        <w:t xml:space="preserve">Our views on these matters are discussed </w:t>
      </w:r>
      <w:r w:rsidR="00B02EAB" w:rsidRPr="00CA6DFB">
        <w:t xml:space="preserve">under </w:t>
      </w:r>
      <w:r w:rsidR="00CD3E18" w:rsidRPr="00CA6DFB">
        <w:t xml:space="preserve">the Management </w:t>
      </w:r>
      <w:r w:rsidR="00B02EAB" w:rsidRPr="00CA6DFB">
        <w:t>element in Section 7.1.4 below.</w:t>
      </w:r>
    </w:p>
    <w:p w14:paraId="4B6934BF" w14:textId="5DE17F61" w:rsidR="00B06CFD" w:rsidRPr="00CA6DFB" w:rsidRDefault="00B06CFD" w:rsidP="00555456">
      <w:r w:rsidRPr="00CA6DFB">
        <w:t xml:space="preserve">Our draft decision is to accept </w:t>
      </w:r>
      <w:r w:rsidR="00AA1D9F" w:rsidRPr="00CA6DFB">
        <w:t>Greater Western Water</w:t>
      </w:r>
      <w:r w:rsidR="005126FE" w:rsidRPr="00CA6DFB">
        <w:t>’s</w:t>
      </w:r>
      <w:r w:rsidRPr="00CA6DFB">
        <w:t xml:space="preserve"> self-rating of </w:t>
      </w:r>
      <w:r w:rsidR="00D36273" w:rsidRPr="00CA6DFB">
        <w:t xml:space="preserve">its price submission as </w:t>
      </w:r>
      <w:r w:rsidRPr="00CA6DFB">
        <w:t>‘</w:t>
      </w:r>
      <w:r w:rsidR="00650946" w:rsidRPr="00CA6DFB">
        <w:t>Standard</w:t>
      </w:r>
      <w:r w:rsidRPr="00CA6DFB">
        <w:t xml:space="preserve">’ for </w:t>
      </w:r>
      <w:r w:rsidR="00D36273" w:rsidRPr="00CA6DFB">
        <w:t>R</w:t>
      </w:r>
      <w:r w:rsidRPr="00CA6DFB">
        <w:t>isk</w:t>
      </w:r>
      <w:r w:rsidR="00D36273" w:rsidRPr="00CA6DFB">
        <w:t>.</w:t>
      </w:r>
    </w:p>
    <w:p w14:paraId="526B08FA" w14:textId="77777777" w:rsidR="00732099" w:rsidRDefault="00732099" w:rsidP="00732099">
      <w:pPr>
        <w:pStyle w:val="Heading3"/>
      </w:pPr>
      <w:bookmarkStart w:id="134" w:name="_Toc121310472"/>
      <w:bookmarkStart w:id="135" w:name="_Toc121989586"/>
      <w:bookmarkStart w:id="136" w:name="_Toc150515717"/>
      <w:bookmarkStart w:id="137" w:name="_Toc161401012"/>
      <w:r>
        <w:lastRenderedPageBreak/>
        <w:t>7.1.3</w:t>
      </w:r>
      <w:r>
        <w:tab/>
        <w:t>Engagement</w:t>
      </w:r>
      <w:bookmarkEnd w:id="134"/>
      <w:bookmarkEnd w:id="135"/>
      <w:bookmarkEnd w:id="136"/>
      <w:bookmarkEnd w:id="137"/>
    </w:p>
    <w:p w14:paraId="7951DD4A" w14:textId="5F1696D0" w:rsidR="00732099" w:rsidRPr="00544D9E" w:rsidRDefault="00732099" w:rsidP="00732099">
      <w:r w:rsidRPr="00544D9E">
        <w:t xml:space="preserve">The </w:t>
      </w:r>
      <w:r w:rsidR="00F55CBB">
        <w:t>E</w:t>
      </w:r>
      <w:r w:rsidRPr="00544D9E">
        <w:t>ngagement element of PREMO is assessed against guiding questions such as the form, timing, and nature of matters engaged on by the water business, and the influence of engagement on proposals. We also consider the extent to which a business has undertaken inclusive engagement, including with First Nations peoples and those experiencing vulnerability.</w:t>
      </w:r>
      <w:r w:rsidRPr="00544D9E">
        <w:rPr>
          <w:rStyle w:val="FootnoteReference"/>
        </w:rPr>
        <w:footnoteReference w:id="118"/>
      </w:r>
      <w:r w:rsidRPr="00544D9E">
        <w:t xml:space="preserve"> </w:t>
      </w:r>
    </w:p>
    <w:p w14:paraId="54A360C2" w14:textId="42773669" w:rsidR="003B7236" w:rsidRPr="00CA6DFB" w:rsidRDefault="003B7236" w:rsidP="003B7236">
      <w:r w:rsidRPr="00CA6DFB">
        <w:t xml:space="preserve">Our draft decision is to accept Greater Western Water’s self-rating of ‘Advanced’ for the Engagement element of PREMO </w:t>
      </w:r>
      <w:proofErr w:type="gramStart"/>
      <w:r w:rsidRPr="00CA6DFB">
        <w:t>on the basis of</w:t>
      </w:r>
      <w:proofErr w:type="gramEnd"/>
      <w:r w:rsidRPr="00CA6DFB">
        <w:t xml:space="preserve"> the overall quality of its engagement program and the level of influence it afforded its stakeholders</w:t>
      </w:r>
      <w:r w:rsidR="000139A2" w:rsidRPr="00CA6DFB">
        <w:t>, as described below</w:t>
      </w:r>
      <w:r w:rsidRPr="00CA6DFB">
        <w:t>.</w:t>
      </w:r>
    </w:p>
    <w:p w14:paraId="1AC3DC81" w14:textId="06EA77B3" w:rsidR="003B7236" w:rsidRPr="00CA6DFB" w:rsidRDefault="003B7236" w:rsidP="003B7236">
      <w:r w:rsidRPr="00CA6DFB">
        <w:t xml:space="preserve">Greater Western Water designed inclusive engagement </w:t>
      </w:r>
      <w:r w:rsidRPr="00BE59A2">
        <w:t xml:space="preserve">methods and provided </w:t>
      </w:r>
      <w:r w:rsidR="00620F4F" w:rsidRPr="00BE59A2">
        <w:t>an extensive</w:t>
      </w:r>
      <w:r w:rsidRPr="00BE59A2">
        <w:t xml:space="preserve"> opportunity to participate to its diverse groups of customers including those experiencing</w:t>
      </w:r>
      <w:r w:rsidRPr="00CA6DFB">
        <w:t xml:space="preserve"> </w:t>
      </w:r>
      <w:r w:rsidRPr="002C431A">
        <w:t>vulnerability.</w:t>
      </w:r>
      <w:r w:rsidRPr="00CA6DFB">
        <w:t xml:space="preserve"> </w:t>
      </w:r>
    </w:p>
    <w:p w14:paraId="66EEF529" w14:textId="704B309A" w:rsidR="003B7236" w:rsidRDefault="003B7236" w:rsidP="003B7236">
      <w:r w:rsidRPr="00CA6DFB">
        <w:t xml:space="preserve">Key aspects of Greater Western Water’s engagement were influential on its submission, as evidenced by feedback from its community panel members who commented favourably on the alignment between their recommendations and the business’s proposals. Further, it received strong endorsement of the level of influence of customers on its pricing proposals from its Customer </w:t>
      </w:r>
      <w:r w:rsidR="006D14D8" w:rsidRPr="00CA6DFB">
        <w:t>A</w:t>
      </w:r>
      <w:r w:rsidRPr="00CA6DFB">
        <w:t xml:space="preserve">dvisory </w:t>
      </w:r>
      <w:r w:rsidR="006D14D8" w:rsidRPr="00CA6DFB">
        <w:t>G</w:t>
      </w:r>
      <w:r w:rsidRPr="00CA6DFB">
        <w:t>roup</w:t>
      </w:r>
      <w:r w:rsidR="007670D7" w:rsidRPr="00CA6DFB">
        <w:t>,</w:t>
      </w:r>
      <w:r w:rsidRPr="00CA6DFB">
        <w:t xml:space="preserve"> and the Maribyrnong and </w:t>
      </w:r>
      <w:proofErr w:type="spellStart"/>
      <w:r w:rsidRPr="00CA6DFB">
        <w:t>Brimbank</w:t>
      </w:r>
      <w:proofErr w:type="spellEnd"/>
      <w:r w:rsidRPr="00CA6DFB">
        <w:t xml:space="preserve"> City Councils had a positive view of its engagement program and the proposed engagement outcomes.</w:t>
      </w:r>
      <w:r>
        <w:t xml:space="preserve"> </w:t>
      </w:r>
    </w:p>
    <w:p w14:paraId="38466DE6" w14:textId="77777777" w:rsidR="00E54FAD" w:rsidRDefault="00E54FAD" w:rsidP="00E54FAD">
      <w:pPr>
        <w:pStyle w:val="Heading3"/>
      </w:pPr>
      <w:bookmarkStart w:id="138" w:name="_Toc121310473"/>
      <w:bookmarkStart w:id="139" w:name="_Toc121989587"/>
      <w:bookmarkStart w:id="140" w:name="_Toc150515718"/>
      <w:bookmarkStart w:id="141" w:name="_Toc161401013"/>
      <w:r>
        <w:t>7.1.4</w:t>
      </w:r>
      <w:r>
        <w:tab/>
        <w:t>Management</w:t>
      </w:r>
      <w:bookmarkEnd w:id="138"/>
      <w:bookmarkEnd w:id="139"/>
      <w:bookmarkEnd w:id="140"/>
      <w:bookmarkEnd w:id="141"/>
    </w:p>
    <w:p w14:paraId="00F2E6E0" w14:textId="77777777" w:rsidR="00E54FAD" w:rsidRPr="00544D9E" w:rsidRDefault="00E54FAD" w:rsidP="00E54FAD">
      <w:r w:rsidRPr="00544D9E">
        <w:t>The Management element of PREMO is assessed against guiding questions that cover matters such as the efficiency of proposed expenditure and prices, the quality of the business’s submission and supporting information to justify proposals, and evidence that there is senior-level ownership and commitment to the proposals contained in the submission.</w:t>
      </w:r>
      <w:r w:rsidRPr="00544D9E">
        <w:rPr>
          <w:rStyle w:val="FootnoteReference"/>
        </w:rPr>
        <w:footnoteReference w:id="119"/>
      </w:r>
      <w:r w:rsidRPr="00544D9E">
        <w:t xml:space="preserve"> </w:t>
      </w:r>
    </w:p>
    <w:p w14:paraId="336227C9" w14:textId="77777777" w:rsidR="00DD5ACD" w:rsidRDefault="00F01758" w:rsidP="0045361D">
      <w:r w:rsidRPr="00CA6DFB">
        <w:t xml:space="preserve">We consider </w:t>
      </w:r>
      <w:r w:rsidR="0094168A" w:rsidRPr="00CA6DFB">
        <w:t xml:space="preserve">Greater Western </w:t>
      </w:r>
      <w:r w:rsidRPr="00CA6DFB">
        <w:t xml:space="preserve">Water’s price submission was generally well presented, </w:t>
      </w:r>
      <w:r w:rsidR="0045361D" w:rsidRPr="00CA6DFB">
        <w:t>and clearly linked the outcomes of its engagement to planned outcomes and expenditure. I</w:t>
      </w:r>
      <w:r w:rsidRPr="00CA6DFB">
        <w:t>ts financial model contained no substantive errors and was consistent with its written submission. The Greater Western Water Board has also attested to the accuracy of the information contained in its submission, as required by our guidance.</w:t>
      </w:r>
    </w:p>
    <w:p w14:paraId="4E497548" w14:textId="2AF4D909" w:rsidR="00250DC7" w:rsidRPr="00CA6DFB" w:rsidRDefault="00250DC7" w:rsidP="0045361D">
      <w:r w:rsidRPr="00CA6DFB">
        <w:t xml:space="preserve">Greater Western Water’s price submission reflects considerable work to </w:t>
      </w:r>
      <w:r w:rsidR="00FC797B" w:rsidRPr="00CA6DFB">
        <w:t xml:space="preserve">harmonise its two tariff structures from the central and western regions, </w:t>
      </w:r>
      <w:r w:rsidR="00364FC9" w:rsidRPr="00CA6DFB">
        <w:t xml:space="preserve">simplifying tariffs with the removal of the </w:t>
      </w:r>
      <w:proofErr w:type="gramStart"/>
      <w:r w:rsidR="00364FC9" w:rsidRPr="00CA6DFB">
        <w:t>third tier</w:t>
      </w:r>
      <w:proofErr w:type="gramEnd"/>
      <w:r w:rsidR="00364FC9" w:rsidRPr="00CA6DFB">
        <w:t xml:space="preserve"> water usage charge </w:t>
      </w:r>
      <w:r w:rsidR="00F2293E" w:rsidRPr="00CA6DFB">
        <w:t xml:space="preserve">for western </w:t>
      </w:r>
      <w:r w:rsidR="0021129E" w:rsidRPr="00CA6DFB">
        <w:t xml:space="preserve">region </w:t>
      </w:r>
      <w:r w:rsidR="00F2293E" w:rsidRPr="00CA6DFB">
        <w:t xml:space="preserve">customers </w:t>
      </w:r>
      <w:r w:rsidR="00364FC9" w:rsidRPr="00CA6DFB">
        <w:t>and the sewer disposal ch</w:t>
      </w:r>
      <w:r w:rsidR="00F2293E" w:rsidRPr="00CA6DFB">
        <w:t>a</w:t>
      </w:r>
      <w:r w:rsidR="00364FC9" w:rsidRPr="00CA6DFB">
        <w:t>rge</w:t>
      </w:r>
      <w:r w:rsidR="00F2293E" w:rsidRPr="00CA6DFB">
        <w:t xml:space="preserve"> for central </w:t>
      </w:r>
      <w:r w:rsidR="0021129E" w:rsidRPr="00CA6DFB">
        <w:t xml:space="preserve">region </w:t>
      </w:r>
      <w:r w:rsidR="00F2293E" w:rsidRPr="00CA6DFB">
        <w:lastRenderedPageBreak/>
        <w:t xml:space="preserve">customers. </w:t>
      </w:r>
      <w:r w:rsidR="00DC6DB8" w:rsidRPr="00CA6DFB">
        <w:t xml:space="preserve">However, </w:t>
      </w:r>
      <w:r w:rsidR="00CF718D" w:rsidRPr="00CA6DFB">
        <w:t>our preliminary view is that</w:t>
      </w:r>
      <w:r w:rsidR="00DC6DB8" w:rsidRPr="00CA6DFB">
        <w:t xml:space="preserve"> the proposed </w:t>
      </w:r>
      <w:r w:rsidR="00323234" w:rsidRPr="00CA6DFB">
        <w:t xml:space="preserve">standard </w:t>
      </w:r>
      <w:r w:rsidR="00DC6DB8" w:rsidRPr="00CA6DFB">
        <w:t>new customer contribution</w:t>
      </w:r>
      <w:r w:rsidR="005B3427" w:rsidRPr="00CA6DFB">
        <w:t xml:space="preserve">s </w:t>
      </w:r>
      <w:r w:rsidR="00377B63" w:rsidRPr="00CA6DFB">
        <w:t>a</w:t>
      </w:r>
      <w:r w:rsidR="00323234" w:rsidRPr="00CA6DFB">
        <w:t xml:space="preserve">re </w:t>
      </w:r>
      <w:r w:rsidR="00377B63" w:rsidRPr="00CA6DFB">
        <w:t>not</w:t>
      </w:r>
      <w:r w:rsidR="00323234" w:rsidRPr="00CA6DFB">
        <w:t xml:space="preserve"> consistent with </w:t>
      </w:r>
      <w:r w:rsidR="00D93FB0" w:rsidRPr="00CA6DFB">
        <w:t xml:space="preserve">the pricing principles in </w:t>
      </w:r>
      <w:r w:rsidR="00323234" w:rsidRPr="00CA6DFB">
        <w:t xml:space="preserve">our guidance </w:t>
      </w:r>
      <w:r w:rsidR="00D93FB0" w:rsidRPr="00CA6DFB">
        <w:t xml:space="preserve">because </w:t>
      </w:r>
      <w:r w:rsidR="006807CF">
        <w:t xml:space="preserve">we don’t have sufficient information to </w:t>
      </w:r>
      <w:proofErr w:type="gramStart"/>
      <w:r w:rsidR="009475F3">
        <w:t>verify</w:t>
      </w:r>
      <w:proofErr w:type="gramEnd"/>
      <w:r w:rsidR="009475F3">
        <w:t xml:space="preserve"> </w:t>
      </w:r>
      <w:r w:rsidR="00D93FB0" w:rsidRPr="00CA6DFB">
        <w:t>they are cost reflective</w:t>
      </w:r>
      <w:r w:rsidR="00B03500" w:rsidRPr="00CA6DFB">
        <w:t>.</w:t>
      </w:r>
    </w:p>
    <w:p w14:paraId="5EFEDDB8" w14:textId="72F95957" w:rsidR="00DC492D" w:rsidRPr="00CA6DFB" w:rsidRDefault="00DC492D" w:rsidP="0045361D">
      <w:r w:rsidRPr="00CA6DFB">
        <w:t>Greater Western Water</w:t>
      </w:r>
      <w:r w:rsidR="006A6D0E" w:rsidRPr="00CA6DFB">
        <w:t xml:space="preserve">’s price submission </w:t>
      </w:r>
      <w:r w:rsidRPr="00CA6DFB">
        <w:t>pr</w:t>
      </w:r>
      <w:r w:rsidR="00E013FC" w:rsidRPr="00CA6DFB">
        <w:t>esents</w:t>
      </w:r>
      <w:r w:rsidRPr="00CA6DFB">
        <w:t xml:space="preserve"> an average efficiency improvement rate </w:t>
      </w:r>
      <w:r w:rsidR="00B56584" w:rsidRPr="00CA6DFB">
        <w:t xml:space="preserve">for controllable operating expenditure </w:t>
      </w:r>
      <w:r w:rsidRPr="00CA6DFB">
        <w:t>of 3</w:t>
      </w:r>
      <w:r w:rsidR="00AC1BDC" w:rsidRPr="00CA6DFB">
        <w:t>.0 </w:t>
      </w:r>
      <w:r w:rsidRPr="00CA6DFB">
        <w:t xml:space="preserve">per cent per year, however </w:t>
      </w:r>
      <w:r w:rsidR="009168A4" w:rsidRPr="00CA6DFB">
        <w:t xml:space="preserve">more than half this figure </w:t>
      </w:r>
      <w:r w:rsidR="00864328" w:rsidRPr="00CA6DFB">
        <w:t xml:space="preserve">comprises </w:t>
      </w:r>
      <w:r w:rsidR="00781F72" w:rsidRPr="00CA6DFB">
        <w:t>identifi</w:t>
      </w:r>
      <w:r w:rsidR="008853F3" w:rsidRPr="00CA6DFB">
        <w:t>e</w:t>
      </w:r>
      <w:r w:rsidR="00781F72" w:rsidRPr="00CA6DFB">
        <w:t xml:space="preserve">d </w:t>
      </w:r>
      <w:r w:rsidR="008E2295">
        <w:t xml:space="preserve">and unidentified </w:t>
      </w:r>
      <w:r w:rsidR="008853F3" w:rsidRPr="00CA6DFB">
        <w:t xml:space="preserve">cost </w:t>
      </w:r>
      <w:r w:rsidR="00AC1BDC" w:rsidRPr="00CA6DFB">
        <w:t xml:space="preserve">savings from </w:t>
      </w:r>
      <w:r w:rsidR="00261980" w:rsidRPr="00CA6DFB">
        <w:t xml:space="preserve">its business integration and transformation programs </w:t>
      </w:r>
      <w:r w:rsidR="00AC1BDC" w:rsidRPr="00CA6DFB">
        <w:t>a</w:t>
      </w:r>
      <w:r w:rsidR="00261980" w:rsidRPr="00CA6DFB">
        <w:t>nd</w:t>
      </w:r>
      <w:r w:rsidR="00AC1BDC" w:rsidRPr="00CA6DFB">
        <w:t xml:space="preserve"> major capital investment in a new billing system</w:t>
      </w:r>
      <w:r w:rsidR="00261980" w:rsidRPr="00CA6DFB">
        <w:t>.</w:t>
      </w:r>
      <w:r w:rsidR="006A6D0E" w:rsidRPr="00CA6DFB">
        <w:t xml:space="preserve"> The underlying </w:t>
      </w:r>
      <w:r w:rsidR="00250DC7" w:rsidRPr="00CA6DFB">
        <w:t xml:space="preserve">base </w:t>
      </w:r>
      <w:r w:rsidR="006A6D0E" w:rsidRPr="00CA6DFB">
        <w:t>efficiency improvem</w:t>
      </w:r>
      <w:r w:rsidR="00261980" w:rsidRPr="00CA6DFB">
        <w:t>e</w:t>
      </w:r>
      <w:r w:rsidR="006A6D0E" w:rsidRPr="00CA6DFB">
        <w:t xml:space="preserve">nt rate </w:t>
      </w:r>
      <w:r w:rsidR="00250DC7" w:rsidRPr="00CA6DFB">
        <w:t>is 1.4 per cent, which is on par for a ‘Standard’ PREMO rating.</w:t>
      </w:r>
    </w:p>
    <w:p w14:paraId="7561B832" w14:textId="0296959F" w:rsidR="008C0587" w:rsidRPr="00CA6DFB" w:rsidRDefault="008C0587" w:rsidP="008C0587">
      <w:r w:rsidRPr="00CA6DFB">
        <w:t>As noted in Section</w:t>
      </w:r>
      <w:r w:rsidR="0044505D" w:rsidRPr="00CA6DFB">
        <w:t> </w:t>
      </w:r>
      <w:r w:rsidRPr="00CA6DFB">
        <w:t>4.</w:t>
      </w:r>
      <w:r w:rsidR="007E5447" w:rsidRPr="00CA6DFB">
        <w:t>1.</w:t>
      </w:r>
      <w:r w:rsidR="0044505D" w:rsidRPr="00CA6DFB">
        <w:t>2</w:t>
      </w:r>
      <w:r w:rsidRPr="00CA6DFB">
        <w:t xml:space="preserve">, our preliminary view is that </w:t>
      </w:r>
      <w:r w:rsidR="0044505D" w:rsidRPr="00CA6DFB">
        <w:t xml:space="preserve">Greater Western </w:t>
      </w:r>
      <w:r w:rsidRPr="00CA6DFB">
        <w:t xml:space="preserve">Water has not sufficiently justified the </w:t>
      </w:r>
      <w:r w:rsidR="003B1AD6" w:rsidRPr="00CA6DFB">
        <w:t xml:space="preserve">baseline amount for </w:t>
      </w:r>
      <w:r w:rsidR="004900B0" w:rsidRPr="00CA6DFB">
        <w:t>its operating expenditure benchmarks.</w:t>
      </w:r>
      <w:r w:rsidR="003B1AD6" w:rsidRPr="00CA6DFB">
        <w:t xml:space="preserve"> </w:t>
      </w:r>
      <w:r w:rsidR="00611D73" w:rsidRPr="00CA6DFB">
        <w:t xml:space="preserve">The information provided by Greater Western Water was insufficient to enable our expenditure consultant to verify whether approximately two thirds of the additional expenditure </w:t>
      </w:r>
      <w:r w:rsidR="00564AB3" w:rsidRPr="00CA6DFB">
        <w:t xml:space="preserve">it incurred above baseline in 2022-23 </w:t>
      </w:r>
      <w:r w:rsidR="00611D73" w:rsidRPr="00CA6DFB">
        <w:t>was recurring and efficient, and our draft decision is to remove it from the forecast</w:t>
      </w:r>
      <w:r w:rsidR="00E84A56" w:rsidRPr="00CA6DFB">
        <w:t xml:space="preserve">. </w:t>
      </w:r>
    </w:p>
    <w:p w14:paraId="12ED978F" w14:textId="1B4BBF4A" w:rsidR="00957E11" w:rsidRPr="00CA6DFB" w:rsidRDefault="00957E11" w:rsidP="008C0587">
      <w:r w:rsidRPr="00CA6DFB">
        <w:t>Greater Western Water’s capital expenditure forecast was mostly verified as prudent and efficient</w:t>
      </w:r>
      <w:r w:rsidR="006B1DC4" w:rsidRPr="00CA6DFB">
        <w:t xml:space="preserve"> and deliverable within the regulatory period, however </w:t>
      </w:r>
      <w:r w:rsidR="00FC6D60" w:rsidRPr="00CA6DFB">
        <w:t xml:space="preserve">the information provided by Greater Western Water was insufficient to enable </w:t>
      </w:r>
      <w:r w:rsidR="006B1DC4" w:rsidRPr="00CA6DFB">
        <w:t xml:space="preserve">our consultant to verify </w:t>
      </w:r>
      <w:proofErr w:type="gramStart"/>
      <w:r w:rsidR="00283B67" w:rsidRPr="00CA6DFB">
        <w:t>all of</w:t>
      </w:r>
      <w:proofErr w:type="gramEnd"/>
      <w:r w:rsidR="00283B67" w:rsidRPr="00CA6DFB">
        <w:t xml:space="preserve"> the proposed expenditure.</w:t>
      </w:r>
    </w:p>
    <w:p w14:paraId="0F5A1323" w14:textId="6745F156" w:rsidR="00D42330" w:rsidRDefault="003E6C00" w:rsidP="008C0587">
      <w:r w:rsidRPr="00CA6DFB">
        <w:t xml:space="preserve">A key requirement </w:t>
      </w:r>
      <w:r w:rsidR="00CF52AE" w:rsidRPr="00CA6DFB">
        <w:t xml:space="preserve">for a ‘Standard’ rating for </w:t>
      </w:r>
      <w:r w:rsidR="00F1328F" w:rsidRPr="00CA6DFB">
        <w:t xml:space="preserve">the </w:t>
      </w:r>
      <w:r w:rsidR="00CF52AE" w:rsidRPr="00CA6DFB">
        <w:t xml:space="preserve">Management </w:t>
      </w:r>
      <w:r w:rsidR="00F1328F" w:rsidRPr="00CA6DFB">
        <w:t xml:space="preserve">element of PREMO is </w:t>
      </w:r>
      <w:r w:rsidR="00D56682" w:rsidRPr="00CA6DFB">
        <w:t xml:space="preserve">that proposed expenditure </w:t>
      </w:r>
      <w:r w:rsidR="004E3DDE" w:rsidRPr="00CA6DFB">
        <w:t xml:space="preserve">changes </w:t>
      </w:r>
      <w:r w:rsidR="00663287" w:rsidRPr="00CA6DFB">
        <w:t>can be clearly justified by the business</w:t>
      </w:r>
      <w:r w:rsidR="005419DF" w:rsidRPr="00CA6DFB">
        <w:t xml:space="preserve"> as prudent and </w:t>
      </w:r>
      <w:r w:rsidR="00B86E58" w:rsidRPr="00CA6DFB">
        <w:t>efficient expenditure</w:t>
      </w:r>
      <w:r w:rsidR="00663287" w:rsidRPr="00CA6DFB">
        <w:t xml:space="preserve">. </w:t>
      </w:r>
      <w:r w:rsidR="004A04FD" w:rsidRPr="00CA6DFB">
        <w:t>Consistent with our draft decision on its forecast operating and capital expenditure, o</w:t>
      </w:r>
      <w:r w:rsidR="00E61668" w:rsidRPr="00CA6DFB">
        <w:t xml:space="preserve">ur preliminary view is that Greater Western Water was unable to sufficiently justify elements of its forecasts for prudent and efficient expenditure, as </w:t>
      </w:r>
      <w:r w:rsidR="00E61668" w:rsidRPr="0097668E">
        <w:t>required by our guidance</w:t>
      </w:r>
      <w:r w:rsidR="005D2EE9" w:rsidRPr="0097668E">
        <w:t xml:space="preserve">, despite </w:t>
      </w:r>
      <w:r w:rsidR="00387001" w:rsidRPr="0097668E">
        <w:t>having ample opportunity to do so</w:t>
      </w:r>
      <w:r w:rsidR="004E441B" w:rsidRPr="0097668E">
        <w:t>.</w:t>
      </w:r>
      <w:r w:rsidR="00E04731">
        <w:t xml:space="preserve"> </w:t>
      </w:r>
    </w:p>
    <w:p w14:paraId="293DF772" w14:textId="7B9A7515" w:rsidR="00FF6C66" w:rsidRDefault="00E04731" w:rsidP="008C0587">
      <w:r w:rsidRPr="00CA6DFB">
        <w:t xml:space="preserve">The adjustments that we propose for our draft decision </w:t>
      </w:r>
      <w:r w:rsidR="00374A2D" w:rsidRPr="00CA6DFB">
        <w:t>are also large compared with other water businesses at recent price reviews</w:t>
      </w:r>
      <w:r w:rsidR="00E84385" w:rsidRPr="00CA6DFB">
        <w:t xml:space="preserve">. The 8.1 per cent reduction to controllable operating expenditure </w:t>
      </w:r>
      <w:r w:rsidR="003A7951" w:rsidRPr="00CA6DFB">
        <w:t xml:space="preserve">is </w:t>
      </w:r>
      <w:r w:rsidR="00DC0D2C" w:rsidRPr="00CA6DFB">
        <w:t>higher</w:t>
      </w:r>
      <w:r w:rsidR="00C3455E" w:rsidRPr="00CA6DFB">
        <w:t xml:space="preserve"> than</w:t>
      </w:r>
      <w:r w:rsidR="003A7951" w:rsidRPr="00CA6DFB">
        <w:t xml:space="preserve"> the largest </w:t>
      </w:r>
      <w:r w:rsidR="00C3455E" w:rsidRPr="00CA6DFB">
        <w:t>adjustment</w:t>
      </w:r>
      <w:r w:rsidR="003A7951" w:rsidRPr="00CA6DFB">
        <w:t xml:space="preserve"> from the 2023 price review, of </w:t>
      </w:r>
      <w:r w:rsidR="005E5E17" w:rsidRPr="00CA6DFB">
        <w:t>5.4 per cent, and that business</w:t>
      </w:r>
      <w:r w:rsidR="001B724F" w:rsidRPr="00CA6DFB">
        <w:t>’s PREMO rating for management was</w:t>
      </w:r>
      <w:r w:rsidR="005E5E17" w:rsidRPr="00CA6DFB">
        <w:t xml:space="preserve"> also </w:t>
      </w:r>
      <w:r w:rsidR="001B724F" w:rsidRPr="00CA6DFB">
        <w:t>reduced to ‘Basic’.</w:t>
      </w:r>
      <w:r w:rsidR="005E5E17" w:rsidRPr="00CA6DFB">
        <w:t xml:space="preserve"> </w:t>
      </w:r>
      <w:r w:rsidR="00236AF4" w:rsidRPr="00CA6DFB">
        <w:t xml:space="preserve">Our proposed </w:t>
      </w:r>
      <w:r w:rsidR="00875D92" w:rsidRPr="00CA6DFB">
        <w:t>$160 million</w:t>
      </w:r>
      <w:r w:rsidR="00236AF4" w:rsidRPr="00CA6DFB">
        <w:t xml:space="preserve"> adjustment to capital expenditure was also high compared to similar business</w:t>
      </w:r>
      <w:r w:rsidR="00750F09">
        <w:t>es</w:t>
      </w:r>
      <w:r w:rsidR="00131EDE" w:rsidRPr="00CA6DFB">
        <w:t xml:space="preserve"> – </w:t>
      </w:r>
      <w:r w:rsidR="00FC5C5D" w:rsidRPr="00CA6DFB">
        <w:t xml:space="preserve">in 2023, </w:t>
      </w:r>
      <w:proofErr w:type="gramStart"/>
      <w:r w:rsidR="00131EDE" w:rsidRPr="00CA6DFB">
        <w:t>S</w:t>
      </w:r>
      <w:r w:rsidR="0092188C" w:rsidRPr="00CA6DFB">
        <w:t>o</w:t>
      </w:r>
      <w:r w:rsidR="00131EDE" w:rsidRPr="00CA6DFB">
        <w:t>uth East</w:t>
      </w:r>
      <w:proofErr w:type="gramEnd"/>
      <w:r w:rsidR="00131EDE" w:rsidRPr="00CA6DFB">
        <w:t xml:space="preserve"> Water</w:t>
      </w:r>
      <w:r w:rsidR="00FC5C5D" w:rsidRPr="00CA6DFB">
        <w:t>’s forecast</w:t>
      </w:r>
      <w:r w:rsidR="00131EDE" w:rsidRPr="00CA6DFB">
        <w:t xml:space="preserve"> was </w:t>
      </w:r>
      <w:r w:rsidR="00FC5C5D" w:rsidRPr="00CA6DFB">
        <w:t>a</w:t>
      </w:r>
      <w:r w:rsidR="00131EDE" w:rsidRPr="00CA6DFB">
        <w:t xml:space="preserve">djusted down by </w:t>
      </w:r>
      <w:r w:rsidR="00051CC3" w:rsidRPr="00CA6DFB">
        <w:t xml:space="preserve">$25 million and Yarra Valley Water </w:t>
      </w:r>
      <w:r w:rsidR="00426435" w:rsidRPr="00CA6DFB">
        <w:t>required no adjustment.</w:t>
      </w:r>
    </w:p>
    <w:p w14:paraId="7E84F083" w14:textId="6EB85D73" w:rsidR="004646D3" w:rsidRDefault="004646D3" w:rsidP="004646D3">
      <w:r w:rsidRPr="00CA6DFB">
        <w:t>Given these factors noted above, our draft decision is to not accept Greater Western Water’s self-rating of its price submission as ‘Standard’ for Management, and instead adopt a rating of ‘Basic’.</w:t>
      </w:r>
    </w:p>
    <w:p w14:paraId="6A4B7E4F" w14:textId="77777777" w:rsidR="001429FE" w:rsidRDefault="001429FE" w:rsidP="004646D3"/>
    <w:p w14:paraId="29674DAF" w14:textId="77777777" w:rsidR="00AC3F2B" w:rsidRPr="00544D9E" w:rsidRDefault="00AC3F2B" w:rsidP="004646D3"/>
    <w:p w14:paraId="54C6C5BB" w14:textId="77777777" w:rsidR="007743A5" w:rsidRPr="003B4D73" w:rsidRDefault="007743A5" w:rsidP="007743A5">
      <w:pPr>
        <w:pStyle w:val="Heading3"/>
      </w:pPr>
      <w:bookmarkStart w:id="142" w:name="_Toc121310474"/>
      <w:bookmarkStart w:id="143" w:name="_Toc121989588"/>
      <w:bookmarkStart w:id="144" w:name="_Toc150515719"/>
      <w:bookmarkStart w:id="145" w:name="_Toc161401014"/>
      <w:r>
        <w:lastRenderedPageBreak/>
        <w:t>7.1.5</w:t>
      </w:r>
      <w:r>
        <w:tab/>
      </w:r>
      <w:r w:rsidRPr="003B4D73">
        <w:t>Outcomes</w:t>
      </w:r>
      <w:bookmarkEnd w:id="142"/>
      <w:bookmarkEnd w:id="143"/>
      <w:bookmarkEnd w:id="144"/>
      <w:bookmarkEnd w:id="145"/>
    </w:p>
    <w:p w14:paraId="689C8B4C" w14:textId="77777777" w:rsidR="007743A5" w:rsidRPr="00385E6A" w:rsidRDefault="007743A5" w:rsidP="007743A5">
      <w:r w:rsidRPr="00385E6A">
        <w:t>The Outcomes element of PREMO is assessed against guiding questions focused on:</w:t>
      </w:r>
    </w:p>
    <w:p w14:paraId="5898BFD2" w14:textId="77777777" w:rsidR="007743A5" w:rsidRPr="00385E6A" w:rsidRDefault="007743A5" w:rsidP="00ED1290">
      <w:pPr>
        <w:pStyle w:val="ListBullet"/>
      </w:pPr>
      <w:r w:rsidRPr="00385E6A">
        <w:t>the alignment of proposed outcomes with customer priorities and expenditure forecasts</w:t>
      </w:r>
    </w:p>
    <w:p w14:paraId="7703B3A0" w14:textId="77777777" w:rsidR="007743A5" w:rsidRPr="00385E6A" w:rsidRDefault="007743A5" w:rsidP="00ED1290">
      <w:pPr>
        <w:pStyle w:val="ListBullet"/>
      </w:pPr>
      <w:r w:rsidRPr="00385E6A">
        <w:t>whether the proposed outcomes are measurable</w:t>
      </w:r>
    </w:p>
    <w:p w14:paraId="640F073F" w14:textId="77777777" w:rsidR="007743A5" w:rsidRPr="00385E6A" w:rsidRDefault="007743A5" w:rsidP="00ED1290">
      <w:pPr>
        <w:pStyle w:val="ListBullet"/>
      </w:pPr>
      <w:r w:rsidRPr="00385E6A">
        <w:t>the processes established to measure performance and report to customers.</w:t>
      </w:r>
      <w:r w:rsidRPr="00385E6A">
        <w:rPr>
          <w:rStyle w:val="FootnoteReference"/>
        </w:rPr>
        <w:footnoteReference w:id="120"/>
      </w:r>
    </w:p>
    <w:p w14:paraId="7DE3FBD4" w14:textId="2FF87D74" w:rsidR="005C254D" w:rsidRPr="00CA6DFB" w:rsidRDefault="005C254D" w:rsidP="003A6763">
      <w:r w:rsidRPr="00CA6DFB">
        <w:t xml:space="preserve">Greater Western Water has </w:t>
      </w:r>
      <w:r w:rsidR="005333B4" w:rsidRPr="00CA6DFB">
        <w:t xml:space="preserve">prepared a single set of outcomes and measures, </w:t>
      </w:r>
      <w:proofErr w:type="gramStart"/>
      <w:r w:rsidR="007037C3" w:rsidRPr="00CA6DFB">
        <w:t>combining</w:t>
      </w:r>
      <w:proofErr w:type="gramEnd"/>
      <w:r w:rsidR="007037C3" w:rsidRPr="00CA6DFB">
        <w:t xml:space="preserve"> and </w:t>
      </w:r>
      <w:r w:rsidR="005333B4" w:rsidRPr="00CA6DFB">
        <w:t xml:space="preserve">consolidating the two </w:t>
      </w:r>
      <w:r w:rsidR="00272F6A" w:rsidRPr="00CA6DFB">
        <w:t xml:space="preserve">former </w:t>
      </w:r>
      <w:r w:rsidR="005333B4" w:rsidRPr="00CA6DFB">
        <w:t xml:space="preserve">sets </w:t>
      </w:r>
      <w:r w:rsidR="00272F6A" w:rsidRPr="00CA6DFB">
        <w:t xml:space="preserve">prepared </w:t>
      </w:r>
      <w:r w:rsidR="0032008D" w:rsidRPr="00CA6DFB">
        <w:t>by</w:t>
      </w:r>
      <w:r w:rsidR="00272F6A" w:rsidRPr="00CA6DFB">
        <w:t xml:space="preserve"> </w:t>
      </w:r>
      <w:r w:rsidR="005333B4" w:rsidRPr="00CA6DFB">
        <w:t>City West Water and Western Water.</w:t>
      </w:r>
    </w:p>
    <w:p w14:paraId="1D9CE28C" w14:textId="1E6D1E72" w:rsidR="00A80715" w:rsidRPr="00CA6DFB" w:rsidRDefault="003A6763" w:rsidP="003A6763">
      <w:r w:rsidRPr="00CA6DFB">
        <w:t>As noted in Section</w:t>
      </w:r>
      <w:r w:rsidR="00CA07ED" w:rsidRPr="00CA6DFB">
        <w:t> </w:t>
      </w:r>
      <w:r w:rsidRPr="00CA6DFB">
        <w:t xml:space="preserve">3.2, our preliminary view is that </w:t>
      </w:r>
      <w:r w:rsidR="00AA1D9F" w:rsidRPr="00CA6DFB">
        <w:t>Greater Western Water</w:t>
      </w:r>
      <w:r w:rsidRPr="00CA6DFB">
        <w:t xml:space="preserve"> has provided evidence that demonstrates its outcome measures and targets were developed in consultation with its customers, and that they are supported by customers. </w:t>
      </w:r>
    </w:p>
    <w:p w14:paraId="595B6BAD" w14:textId="29BFFF4C" w:rsidR="00B42753" w:rsidRPr="00CA6DFB" w:rsidRDefault="00A80715" w:rsidP="003A6763">
      <w:r w:rsidRPr="00CA6DFB">
        <w:t>It did this through a c</w:t>
      </w:r>
      <w:r w:rsidR="00847600" w:rsidRPr="00CA6DFB">
        <w:t>u</w:t>
      </w:r>
      <w:r w:rsidRPr="00CA6DFB">
        <w:t>stomer forum who</w:t>
      </w:r>
      <w:r w:rsidR="00847600" w:rsidRPr="00CA6DFB">
        <w:t>se members</w:t>
      </w:r>
      <w:r w:rsidRPr="00CA6DFB">
        <w:t xml:space="preserve"> selected</w:t>
      </w:r>
      <w:r w:rsidR="00847600" w:rsidRPr="00CA6DFB">
        <w:t xml:space="preserve"> the measures which best represented their values </w:t>
      </w:r>
      <w:r w:rsidRPr="00CA6DFB">
        <w:t>from a pool of proposed outcome promises.</w:t>
      </w:r>
      <w:r w:rsidR="00F03A17" w:rsidRPr="00CA6DFB">
        <w:t xml:space="preserve"> </w:t>
      </w:r>
      <w:r w:rsidR="00B42753" w:rsidRPr="00CA6DFB">
        <w:t xml:space="preserve">The outcomes, measures and targets were endorsed by both </w:t>
      </w:r>
      <w:r w:rsidR="008A6199" w:rsidRPr="00CA6DFB">
        <w:t xml:space="preserve">the </w:t>
      </w:r>
      <w:r w:rsidR="00B42753" w:rsidRPr="00CA6DFB">
        <w:t>customer forum and Greater Western Water’s Customer Advisory Group.</w:t>
      </w:r>
    </w:p>
    <w:p w14:paraId="5B64F424" w14:textId="04EEA660" w:rsidR="00EB1075" w:rsidRPr="00CA6DFB" w:rsidRDefault="003A6763" w:rsidP="00D76B73">
      <w:r w:rsidRPr="00CA6DFB">
        <w:t>Section</w:t>
      </w:r>
      <w:r w:rsidR="00383F08" w:rsidRPr="00CA6DFB">
        <w:t> </w:t>
      </w:r>
      <w:r w:rsidRPr="00CA6DFB">
        <w:t xml:space="preserve">3.1 provides a list of </w:t>
      </w:r>
      <w:r w:rsidR="00950F9A" w:rsidRPr="00CA6DFB">
        <w:t xml:space="preserve">commitments </w:t>
      </w:r>
      <w:r w:rsidRPr="00CA6DFB">
        <w:t xml:space="preserve">where we consider </w:t>
      </w:r>
      <w:r w:rsidR="00AA1D9F" w:rsidRPr="00CA6DFB">
        <w:t>Greater Western Water</w:t>
      </w:r>
      <w:r w:rsidRPr="00CA6DFB">
        <w:t xml:space="preserve"> has demonstrated the influence of customers on its proposed </w:t>
      </w:r>
      <w:r w:rsidR="00D41CAE">
        <w:t>o</w:t>
      </w:r>
      <w:r w:rsidRPr="00CA6DFB">
        <w:t xml:space="preserve">utcomes and other initiatives. </w:t>
      </w:r>
    </w:p>
    <w:p w14:paraId="30711F7D" w14:textId="31D17801" w:rsidR="00B13860" w:rsidRPr="00CA6DFB" w:rsidRDefault="00B13860" w:rsidP="003A6763">
      <w:r w:rsidRPr="00CA6DFB">
        <w:t>Generally, we consider Greater Western Water’s measures will provide a sound basis to track performance and delivery against each outcome, once the matters we identified in our assessment have been addressed.</w:t>
      </w:r>
      <w:r w:rsidR="0080074A" w:rsidRPr="00CA6DFB">
        <w:t xml:space="preserve"> </w:t>
      </w:r>
      <w:r w:rsidR="00A4298F" w:rsidRPr="00CA6DFB">
        <w:t xml:space="preserve">We are working with Greater Western Water to ensure its final set </w:t>
      </w:r>
      <w:r w:rsidR="00A728E9" w:rsidRPr="00CA6DFB">
        <w:t xml:space="preserve">of measures </w:t>
      </w:r>
      <w:r w:rsidR="00A4298F" w:rsidRPr="00CA6DFB">
        <w:t>is consistent with our guidance.</w:t>
      </w:r>
      <w:r w:rsidR="00A728E9" w:rsidRPr="00CA6DFB">
        <w:t xml:space="preserve"> </w:t>
      </w:r>
      <w:r w:rsidR="007D76B9" w:rsidRPr="00CA6DFB">
        <w:t xml:space="preserve">Most targets indicate Greater Western Water </w:t>
      </w:r>
      <w:r w:rsidR="006762EE" w:rsidRPr="00CA6DFB">
        <w:t>will deliver its custom</w:t>
      </w:r>
      <w:r w:rsidR="00823EA9" w:rsidRPr="00CA6DFB">
        <w:t>e</w:t>
      </w:r>
      <w:r w:rsidR="006762EE" w:rsidRPr="00CA6DFB">
        <w:t>rs a similar level of service</w:t>
      </w:r>
      <w:r w:rsidR="002E334A" w:rsidRPr="00CA6DFB">
        <w:t xml:space="preserve"> to the </w:t>
      </w:r>
      <w:r w:rsidR="00162EBB" w:rsidRPr="00CA6DFB">
        <w:t xml:space="preserve">current </w:t>
      </w:r>
      <w:r w:rsidR="00870EB1" w:rsidRPr="00CA6DFB">
        <w:t>period</w:t>
      </w:r>
      <w:r w:rsidR="007104DD" w:rsidRPr="00CA6DFB">
        <w:t>, which aligns with its stated objective of similar prices for similar service</w:t>
      </w:r>
      <w:r w:rsidR="00C85D76" w:rsidRPr="00CA6DFB">
        <w:t xml:space="preserve">. </w:t>
      </w:r>
    </w:p>
    <w:p w14:paraId="37EBF758" w14:textId="7EF10BAC" w:rsidR="001B303C" w:rsidRPr="00CA6DFB" w:rsidRDefault="0049719A" w:rsidP="003A6763">
      <w:r w:rsidRPr="00CA6DFB">
        <w:t>Greater Western Water has committed to reporting on its performance against its outcome commitments by publishing its performance on its website. It has also established an ongoing customer forum that will meet annually to track its performance against its outcomes ‘score card’.</w:t>
      </w:r>
    </w:p>
    <w:p w14:paraId="697AB34F" w14:textId="4FD16DE1" w:rsidR="003A6763" w:rsidRPr="00544D9E" w:rsidRDefault="003A6763" w:rsidP="003A6763">
      <w:r w:rsidRPr="00CA6DFB">
        <w:t xml:space="preserve">Accordingly, our draft decision is to accept </w:t>
      </w:r>
      <w:r w:rsidR="004412A2" w:rsidRPr="00CA6DFB">
        <w:t>Greater Western Water</w:t>
      </w:r>
      <w:r w:rsidRPr="00CA6DFB">
        <w:t>’s self-rating of ‘Standard’ for</w:t>
      </w:r>
      <w:r w:rsidR="00AA3313" w:rsidRPr="00CA6DFB">
        <w:t xml:space="preserve"> the Outcomes element of PREMO.</w:t>
      </w:r>
    </w:p>
    <w:p w14:paraId="3EBF2E3E" w14:textId="77777777" w:rsidR="007550B2" w:rsidRDefault="007550B2" w:rsidP="007550B2"/>
    <w:p w14:paraId="74EF70E5" w14:textId="77777777" w:rsidR="004309BF" w:rsidRDefault="004309BF">
      <w:pPr>
        <w:spacing w:line="259" w:lineRule="auto"/>
        <w:sectPr w:rsidR="004309BF" w:rsidSect="00736B75">
          <w:footerReference w:type="default" r:id="rId41"/>
          <w:pgSz w:w="11906" w:h="16838" w:code="9"/>
          <w:pgMar w:top="1134" w:right="1134" w:bottom="1134" w:left="1134" w:header="709" w:footer="692" w:gutter="0"/>
          <w:cols w:space="708"/>
          <w:docGrid w:linePitch="360"/>
        </w:sectPr>
      </w:pPr>
    </w:p>
    <w:p w14:paraId="0F7F75D7" w14:textId="036BBD85" w:rsidR="00375EFC" w:rsidRDefault="00D91A68" w:rsidP="001C750A">
      <w:pPr>
        <w:pStyle w:val="Heading1"/>
      </w:pPr>
      <w:bookmarkStart w:id="146" w:name="_Toc161401015"/>
      <w:r w:rsidRPr="00D91A68">
        <w:lastRenderedPageBreak/>
        <w:t>A</w:t>
      </w:r>
      <w:r>
        <w:t xml:space="preserve">ppendix </w:t>
      </w:r>
      <w:r w:rsidR="00D36A0D">
        <w:t>A</w:t>
      </w:r>
      <w:r w:rsidRPr="00D91A68">
        <w:t xml:space="preserve"> </w:t>
      </w:r>
      <w:r w:rsidR="000D6B4B">
        <w:t>—</w:t>
      </w:r>
      <w:r w:rsidRPr="00D91A68">
        <w:t xml:space="preserve"> </w:t>
      </w:r>
      <w:r w:rsidR="00A41BE7">
        <w:t>S</w:t>
      </w:r>
      <w:r w:rsidRPr="00D91A68">
        <w:t xml:space="preserve">ubmissions </w:t>
      </w:r>
      <w:proofErr w:type="gramStart"/>
      <w:r w:rsidRPr="00D91A68">
        <w:t>received</w:t>
      </w:r>
      <w:bookmarkEnd w:id="146"/>
      <w:proofErr w:type="gramEnd"/>
    </w:p>
    <w:tbl>
      <w:tblPr>
        <w:tblStyle w:val="TableGrid"/>
        <w:tblW w:w="0" w:type="auto"/>
        <w:tblLook w:val="04A0" w:firstRow="1" w:lastRow="0" w:firstColumn="1" w:lastColumn="0" w:noHBand="0" w:noVBand="1"/>
      </w:tblPr>
      <w:tblGrid>
        <w:gridCol w:w="4819"/>
        <w:gridCol w:w="4819"/>
      </w:tblGrid>
      <w:tr w:rsidR="00D91A68" w14:paraId="3A819A38" w14:textId="77777777" w:rsidTr="00D91A68">
        <w:trPr>
          <w:cnfStyle w:val="100000000000" w:firstRow="1" w:lastRow="0" w:firstColumn="0" w:lastColumn="0" w:oddVBand="0" w:evenVBand="0" w:oddHBand="0" w:evenHBand="0" w:firstRowFirstColumn="0" w:firstRowLastColumn="0" w:lastRowFirstColumn="0" w:lastRowLastColumn="0"/>
        </w:trPr>
        <w:tc>
          <w:tcPr>
            <w:tcW w:w="4819" w:type="dxa"/>
          </w:tcPr>
          <w:p w14:paraId="6F24285C" w14:textId="0182A67F" w:rsidR="00D91A68" w:rsidRPr="00CA6DFB" w:rsidRDefault="00D91A68" w:rsidP="00D91A68">
            <w:pPr>
              <w:pStyle w:val="TableHeading"/>
            </w:pPr>
            <w:r w:rsidRPr="00CA6DFB">
              <w:t xml:space="preserve">Name or </w:t>
            </w:r>
            <w:proofErr w:type="spellStart"/>
            <w:r w:rsidRPr="00CA6DFB">
              <w:t>organisation</w:t>
            </w:r>
            <w:proofErr w:type="spellEnd"/>
          </w:p>
        </w:tc>
        <w:tc>
          <w:tcPr>
            <w:tcW w:w="4819" w:type="dxa"/>
          </w:tcPr>
          <w:p w14:paraId="592D50CC" w14:textId="4726BF34" w:rsidR="00D91A68" w:rsidRPr="00CA6DFB" w:rsidRDefault="00D91A68" w:rsidP="00D91A68">
            <w:pPr>
              <w:pStyle w:val="TableHeading"/>
            </w:pPr>
            <w:r w:rsidRPr="00CA6DFB">
              <w:t>Date received</w:t>
            </w:r>
          </w:p>
        </w:tc>
      </w:tr>
      <w:tr w:rsidR="00D91A68" w14:paraId="65421143" w14:textId="77777777" w:rsidTr="00D91A68">
        <w:trPr>
          <w:cnfStyle w:val="000000100000" w:firstRow="0" w:lastRow="0" w:firstColumn="0" w:lastColumn="0" w:oddVBand="0" w:evenVBand="0" w:oddHBand="1" w:evenHBand="0" w:firstRowFirstColumn="0" w:firstRowLastColumn="0" w:lastRowFirstColumn="0" w:lastRowLastColumn="0"/>
        </w:trPr>
        <w:tc>
          <w:tcPr>
            <w:tcW w:w="4819" w:type="dxa"/>
          </w:tcPr>
          <w:p w14:paraId="190636B4" w14:textId="7F91F864" w:rsidR="00D91A68" w:rsidRPr="00CA6DFB" w:rsidRDefault="001B3B2E" w:rsidP="00D91A68">
            <w:pPr>
              <w:pStyle w:val="TableBody"/>
            </w:pPr>
            <w:r w:rsidRPr="00CA6DFB">
              <w:t xml:space="preserve">Christine Hicks </w:t>
            </w:r>
          </w:p>
        </w:tc>
        <w:tc>
          <w:tcPr>
            <w:tcW w:w="4819" w:type="dxa"/>
          </w:tcPr>
          <w:p w14:paraId="1E6D617F" w14:textId="6D9A9772" w:rsidR="00D91A68" w:rsidRPr="00CA6DFB" w:rsidRDefault="001B3B2E" w:rsidP="00D91A68">
            <w:pPr>
              <w:pStyle w:val="TableBody"/>
            </w:pPr>
            <w:r w:rsidRPr="00CA6DFB">
              <w:t xml:space="preserve">11 October 2023 </w:t>
            </w:r>
          </w:p>
        </w:tc>
      </w:tr>
      <w:tr w:rsidR="00B92431" w14:paraId="5D2BD160" w14:textId="77777777" w:rsidTr="00D91A68">
        <w:trPr>
          <w:cnfStyle w:val="000000010000" w:firstRow="0" w:lastRow="0" w:firstColumn="0" w:lastColumn="0" w:oddVBand="0" w:evenVBand="0" w:oddHBand="0" w:evenHBand="1" w:firstRowFirstColumn="0" w:firstRowLastColumn="0" w:lastRowFirstColumn="0" w:lastRowLastColumn="0"/>
        </w:trPr>
        <w:tc>
          <w:tcPr>
            <w:tcW w:w="4819" w:type="dxa"/>
          </w:tcPr>
          <w:p w14:paraId="329D2629" w14:textId="46B33C66" w:rsidR="00B92431" w:rsidRPr="00CA6DFB" w:rsidRDefault="002849E0" w:rsidP="00B92431">
            <w:pPr>
              <w:pStyle w:val="TableBody"/>
            </w:pPr>
            <w:r w:rsidRPr="00CA6DFB">
              <w:t xml:space="preserve">David </w:t>
            </w:r>
            <w:proofErr w:type="spellStart"/>
            <w:r w:rsidRPr="00CA6DFB">
              <w:t>Mould</w:t>
            </w:r>
            <w:proofErr w:type="spellEnd"/>
            <w:r w:rsidRPr="00CA6DFB">
              <w:t xml:space="preserve"> </w:t>
            </w:r>
          </w:p>
        </w:tc>
        <w:tc>
          <w:tcPr>
            <w:tcW w:w="4819" w:type="dxa"/>
          </w:tcPr>
          <w:p w14:paraId="51CDBF2C" w14:textId="2886DED1" w:rsidR="00B92431" w:rsidRPr="00CA6DFB" w:rsidRDefault="002849E0" w:rsidP="00B92431">
            <w:pPr>
              <w:pStyle w:val="TableBody"/>
            </w:pPr>
            <w:r w:rsidRPr="00CA6DFB">
              <w:t xml:space="preserve">24 October 2023 </w:t>
            </w:r>
          </w:p>
        </w:tc>
      </w:tr>
      <w:tr w:rsidR="00B92431" w14:paraId="74F24AA7" w14:textId="77777777" w:rsidTr="00D91A68">
        <w:trPr>
          <w:cnfStyle w:val="000000100000" w:firstRow="0" w:lastRow="0" w:firstColumn="0" w:lastColumn="0" w:oddVBand="0" w:evenVBand="0" w:oddHBand="1" w:evenHBand="0" w:firstRowFirstColumn="0" w:firstRowLastColumn="0" w:lastRowFirstColumn="0" w:lastRowLastColumn="0"/>
        </w:trPr>
        <w:tc>
          <w:tcPr>
            <w:tcW w:w="4819" w:type="dxa"/>
          </w:tcPr>
          <w:p w14:paraId="4C52F828" w14:textId="13D94CC5" w:rsidR="00B92431" w:rsidRPr="00CA6DFB" w:rsidRDefault="00212136" w:rsidP="00B92431">
            <w:pPr>
              <w:pStyle w:val="TableBody"/>
            </w:pPr>
            <w:r w:rsidRPr="00CA6DFB">
              <w:t xml:space="preserve">Helen van </w:t>
            </w:r>
            <w:proofErr w:type="spellStart"/>
            <w:r w:rsidRPr="00CA6DFB">
              <w:t>de</w:t>
            </w:r>
            <w:proofErr w:type="spellEnd"/>
            <w:r w:rsidRPr="00CA6DFB">
              <w:t xml:space="preserve"> Berg/Friends of Steele Creek</w:t>
            </w:r>
          </w:p>
        </w:tc>
        <w:tc>
          <w:tcPr>
            <w:tcW w:w="4819" w:type="dxa"/>
          </w:tcPr>
          <w:p w14:paraId="2606FBB0" w14:textId="4E32084B" w:rsidR="00B92431" w:rsidRPr="00CA6DFB" w:rsidRDefault="00212136" w:rsidP="00B92431">
            <w:pPr>
              <w:pStyle w:val="TableBody"/>
            </w:pPr>
            <w:r w:rsidRPr="00CA6DFB">
              <w:t xml:space="preserve">3 December 2023 </w:t>
            </w:r>
          </w:p>
        </w:tc>
      </w:tr>
      <w:tr w:rsidR="008B0341" w14:paraId="1C7FD279" w14:textId="77777777" w:rsidTr="00D91A68">
        <w:trPr>
          <w:cnfStyle w:val="000000010000" w:firstRow="0" w:lastRow="0" w:firstColumn="0" w:lastColumn="0" w:oddVBand="0" w:evenVBand="0" w:oddHBand="0" w:evenHBand="1" w:firstRowFirstColumn="0" w:firstRowLastColumn="0" w:lastRowFirstColumn="0" w:lastRowLastColumn="0"/>
        </w:trPr>
        <w:tc>
          <w:tcPr>
            <w:tcW w:w="4819" w:type="dxa"/>
          </w:tcPr>
          <w:p w14:paraId="750C3A45" w14:textId="6E9A4BAD" w:rsidR="008B0341" w:rsidRPr="00CA6DFB" w:rsidRDefault="0026690A" w:rsidP="008B0341">
            <w:pPr>
              <w:pStyle w:val="TableBody"/>
            </w:pPr>
            <w:r w:rsidRPr="00CA6DFB">
              <w:t>John Forrester on behalf of Werribee River Association</w:t>
            </w:r>
          </w:p>
        </w:tc>
        <w:tc>
          <w:tcPr>
            <w:tcW w:w="4819" w:type="dxa"/>
          </w:tcPr>
          <w:p w14:paraId="71246692" w14:textId="0F6D2A9F" w:rsidR="008B0341" w:rsidRPr="00CA6DFB" w:rsidRDefault="00667914" w:rsidP="008B0341">
            <w:pPr>
              <w:pStyle w:val="TableBody"/>
            </w:pPr>
            <w:r w:rsidRPr="00CA6DFB">
              <w:t>13 December 2023</w:t>
            </w:r>
          </w:p>
        </w:tc>
      </w:tr>
      <w:tr w:rsidR="008B0341" w14:paraId="6B7D73FD" w14:textId="77777777" w:rsidTr="00D91A68">
        <w:trPr>
          <w:cnfStyle w:val="000000100000" w:firstRow="0" w:lastRow="0" w:firstColumn="0" w:lastColumn="0" w:oddVBand="0" w:evenVBand="0" w:oddHBand="1" w:evenHBand="0" w:firstRowFirstColumn="0" w:firstRowLastColumn="0" w:lastRowFirstColumn="0" w:lastRowLastColumn="0"/>
        </w:trPr>
        <w:tc>
          <w:tcPr>
            <w:tcW w:w="4819" w:type="dxa"/>
          </w:tcPr>
          <w:p w14:paraId="6EBA20EE" w14:textId="7B605116" w:rsidR="008B0341" w:rsidRPr="00CA6DFB" w:rsidRDefault="00EB34EF" w:rsidP="008B0341">
            <w:pPr>
              <w:pStyle w:val="TableBody"/>
            </w:pPr>
            <w:r w:rsidRPr="00CA6DFB">
              <w:t>Macedon Water Think Tank</w:t>
            </w:r>
          </w:p>
        </w:tc>
        <w:tc>
          <w:tcPr>
            <w:tcW w:w="4819" w:type="dxa"/>
          </w:tcPr>
          <w:p w14:paraId="758E3468" w14:textId="6A08CC88" w:rsidR="008B0341" w:rsidRPr="00CA6DFB" w:rsidRDefault="00667914" w:rsidP="008B0341">
            <w:pPr>
              <w:pStyle w:val="TableBody"/>
            </w:pPr>
            <w:r w:rsidRPr="00CA6DFB">
              <w:t>13 December 2023</w:t>
            </w:r>
          </w:p>
        </w:tc>
      </w:tr>
      <w:tr w:rsidR="00D91A68" w14:paraId="3811B710" w14:textId="77777777" w:rsidTr="00D91A68">
        <w:trPr>
          <w:cnfStyle w:val="000000010000" w:firstRow="0" w:lastRow="0" w:firstColumn="0" w:lastColumn="0" w:oddVBand="0" w:evenVBand="0" w:oddHBand="0" w:evenHBand="1" w:firstRowFirstColumn="0" w:firstRowLastColumn="0" w:lastRowFirstColumn="0" w:lastRowLastColumn="0"/>
        </w:trPr>
        <w:tc>
          <w:tcPr>
            <w:tcW w:w="4819" w:type="dxa"/>
          </w:tcPr>
          <w:p w14:paraId="46D794A4" w14:textId="6C5FB76B" w:rsidR="00D91A68" w:rsidRPr="00CA6DFB" w:rsidRDefault="00667914" w:rsidP="00D91A68">
            <w:pPr>
              <w:pStyle w:val="TableBody"/>
            </w:pPr>
            <w:r w:rsidRPr="00CA6DFB">
              <w:t>Concerned Waterways Alliance</w:t>
            </w:r>
          </w:p>
        </w:tc>
        <w:tc>
          <w:tcPr>
            <w:tcW w:w="4819" w:type="dxa"/>
          </w:tcPr>
          <w:p w14:paraId="576E286D" w14:textId="5C16C195" w:rsidR="00D91A68" w:rsidRPr="00CA6DFB" w:rsidRDefault="00B507FD" w:rsidP="00D91A68">
            <w:pPr>
              <w:pStyle w:val="TableBody"/>
            </w:pPr>
            <w:r w:rsidRPr="00CA6DFB">
              <w:t>14 December</w:t>
            </w:r>
            <w:r w:rsidR="00667914" w:rsidRPr="00CA6DFB">
              <w:t xml:space="preserve"> </w:t>
            </w:r>
            <w:r w:rsidR="00BD6C45" w:rsidRPr="00CA6DFB">
              <w:t>2023</w:t>
            </w:r>
          </w:p>
        </w:tc>
      </w:tr>
    </w:tbl>
    <w:p w14:paraId="3C1E329C" w14:textId="77777777" w:rsidR="0001355B" w:rsidRDefault="0001355B" w:rsidP="001C750A"/>
    <w:p w14:paraId="40DFFB58" w14:textId="1E519DC4" w:rsidR="009443EE" w:rsidRDefault="00C72F6F" w:rsidP="001C750A">
      <w:r>
        <w:t>We also received 5 confidential submissions</w:t>
      </w:r>
      <w:r w:rsidR="00E75B46">
        <w:t xml:space="preserve"> from stakeholders requesting their submission not be published.</w:t>
      </w:r>
    </w:p>
    <w:p w14:paraId="69F81897" w14:textId="77777777" w:rsidR="00A267AB" w:rsidRDefault="00A267AB" w:rsidP="001C750A"/>
    <w:p w14:paraId="4896B77C" w14:textId="77777777" w:rsidR="009443EE" w:rsidRDefault="009443EE" w:rsidP="001C750A">
      <w:pPr>
        <w:sectPr w:rsidR="009443EE" w:rsidSect="00736B75">
          <w:footerReference w:type="default" r:id="rId42"/>
          <w:pgSz w:w="11906" w:h="16838" w:code="9"/>
          <w:pgMar w:top="1134" w:right="1134" w:bottom="1134" w:left="1134" w:header="709" w:footer="692" w:gutter="0"/>
          <w:cols w:space="708"/>
          <w:docGrid w:linePitch="360"/>
        </w:sectPr>
      </w:pPr>
    </w:p>
    <w:p w14:paraId="420514D7" w14:textId="59351BCD" w:rsidR="00D36A0D" w:rsidRDefault="00D36A0D" w:rsidP="00D36A0D">
      <w:pPr>
        <w:pStyle w:val="Heading1"/>
      </w:pPr>
      <w:bookmarkStart w:id="147" w:name="_Toc161401016"/>
      <w:r w:rsidRPr="00D36A0D">
        <w:lastRenderedPageBreak/>
        <w:t xml:space="preserve">Appendix </w:t>
      </w:r>
      <w:r>
        <w:t>B</w:t>
      </w:r>
      <w:r w:rsidRPr="00D36A0D">
        <w:t xml:space="preserve"> — </w:t>
      </w:r>
      <w:r>
        <w:t>Commission’s consideration of legal requirements</w:t>
      </w:r>
      <w:bookmarkEnd w:id="147"/>
    </w:p>
    <w:p w14:paraId="416911D1" w14:textId="1CCB6597" w:rsidR="00456FD5" w:rsidRPr="00636564" w:rsidRDefault="00456FD5" w:rsidP="00456FD5">
      <w:r w:rsidRPr="00636564">
        <w:t xml:space="preserve">Clause 11 of the Water Industry Regulatory Order 2014 (WIRO) specifies the mandatory factors we must have regard to when making a price determination. The WIRO covers matters that are included in the </w:t>
      </w:r>
      <w:r w:rsidRPr="00D93613">
        <w:rPr>
          <w:i/>
          <w:iCs/>
        </w:rPr>
        <w:t>Water Industry Act 1994</w:t>
      </w:r>
      <w:r w:rsidRPr="00636564">
        <w:t xml:space="preserve"> (WI Act) and the </w:t>
      </w:r>
      <w:r w:rsidRPr="00D93613">
        <w:rPr>
          <w:i/>
          <w:iCs/>
        </w:rPr>
        <w:t>Essential Services Commission Act 2001</w:t>
      </w:r>
      <w:r w:rsidRPr="00636564">
        <w:t xml:space="preserve"> (ESC Act).</w:t>
      </w:r>
    </w:p>
    <w:p w14:paraId="76DD51DE" w14:textId="161BAA83" w:rsidR="00456FD5" w:rsidRPr="00636564" w:rsidRDefault="00456FD5" w:rsidP="00456FD5">
      <w:r w:rsidRPr="00636564">
        <w:t xml:space="preserve">Below, we describe how we apply the mandatory factors and where we have done so in our draft decision for </w:t>
      </w:r>
      <w:r w:rsidR="00AA1D9F">
        <w:t>Greater Western Water</w:t>
      </w:r>
      <w:r w:rsidRPr="00636564">
        <w:t>.</w:t>
      </w:r>
    </w:p>
    <w:p w14:paraId="239AB4C6" w14:textId="6405120C" w:rsidR="00456FD5" w:rsidRPr="00636564" w:rsidRDefault="00456FD5" w:rsidP="00456FD5">
      <w:r w:rsidRPr="00636564">
        <w:t>In addition to the mandatory factors set out below, clause 11 of the WIRO requires the commission to have regard to the matters specified in the commission’s guidance.</w:t>
      </w:r>
      <w:r>
        <w:rPr>
          <w:rStyle w:val="FootnoteReference"/>
        </w:rPr>
        <w:footnoteReference w:id="121"/>
      </w:r>
      <w:r w:rsidRPr="00636564">
        <w:t xml:space="preserve"> We have had regard to the matters specified in our guidance in reaching our preliminary view. Our draft decision provides further information on where we have considered our guidance, and </w:t>
      </w:r>
      <w:r w:rsidR="00AA1D9F">
        <w:t>Greater Western Water</w:t>
      </w:r>
      <w:r w:rsidRPr="00636564">
        <w:t>’s compliance with our guidance, in reaching our preliminary view.</w:t>
      </w:r>
    </w:p>
    <w:p w14:paraId="0115E4FA" w14:textId="54B0F3C3" w:rsidR="00456FD5" w:rsidRPr="00636564" w:rsidRDefault="00456FD5" w:rsidP="00456FD5">
      <w:r w:rsidRPr="00636564">
        <w:t xml:space="preserve">Note: all chapter and section numbers referenced below refer to our draft decision for </w:t>
      </w:r>
      <w:r w:rsidR="00AA1D9F">
        <w:t>Greater Western Water</w:t>
      </w:r>
      <w:r w:rsidRPr="00636564">
        <w:t>.</w:t>
      </w:r>
    </w:p>
    <w:p w14:paraId="3FFE0484" w14:textId="77777777" w:rsidR="00456FD5" w:rsidRPr="00636564" w:rsidRDefault="00456FD5" w:rsidP="00456FD5">
      <w:pPr>
        <w:pStyle w:val="Heading2"/>
      </w:pPr>
      <w:bookmarkStart w:id="148" w:name="_Toc122514886"/>
      <w:bookmarkStart w:id="149" w:name="_Toc150515722"/>
      <w:bookmarkStart w:id="150" w:name="_Toc161401017"/>
      <w:r w:rsidRPr="00636564">
        <w:t>Economic efficiency and viability matters</w:t>
      </w:r>
      <w:bookmarkEnd w:id="148"/>
      <w:bookmarkEnd w:id="149"/>
      <w:bookmarkEnd w:id="150"/>
    </w:p>
    <w:p w14:paraId="0F00108D" w14:textId="77777777" w:rsidR="00456FD5" w:rsidRPr="00636564" w:rsidRDefault="00456FD5" w:rsidP="00456FD5">
      <w:pPr>
        <w:rPr>
          <w:b/>
          <w:bCs/>
        </w:rPr>
      </w:pPr>
      <w:r w:rsidRPr="00636564">
        <w:rPr>
          <w:b/>
          <w:bCs/>
        </w:rPr>
        <w:t>WIRO clause 8(b)(</w:t>
      </w:r>
      <w:proofErr w:type="spellStart"/>
      <w:r w:rsidRPr="00636564">
        <w:rPr>
          <w:b/>
          <w:bCs/>
        </w:rPr>
        <w:t>i</w:t>
      </w:r>
      <w:proofErr w:type="spellEnd"/>
      <w:r w:rsidRPr="00636564">
        <w:rPr>
          <w:b/>
          <w:bCs/>
        </w:rPr>
        <w:t xml:space="preserve">) requires us to have regard to the ‘promotion of efficient use of prescribed services by </w:t>
      </w:r>
      <w:proofErr w:type="gramStart"/>
      <w:r w:rsidRPr="00636564">
        <w:rPr>
          <w:b/>
          <w:bCs/>
        </w:rPr>
        <w:t>customers’</w:t>
      </w:r>
      <w:proofErr w:type="gramEnd"/>
      <w:r w:rsidRPr="00636564">
        <w:rPr>
          <w:b/>
          <w:bCs/>
        </w:rPr>
        <w:t xml:space="preserve">.  </w:t>
      </w:r>
    </w:p>
    <w:p w14:paraId="1087B2F0" w14:textId="77777777" w:rsidR="00456FD5" w:rsidRPr="00636564" w:rsidRDefault="00456FD5" w:rsidP="00456FD5">
      <w:r w:rsidRPr="00636564">
        <w:t xml:space="preserve">We consider that the efficient use of prescribed services by customers is promoted when a tariff is applied to customers benefiting from the service covered by the tariff, and tariffs send appropriate signals about efficient costs. </w:t>
      </w:r>
    </w:p>
    <w:p w14:paraId="40E86021" w14:textId="77777777" w:rsidR="00456FD5" w:rsidRPr="00636564" w:rsidRDefault="00456FD5" w:rsidP="00456FD5">
      <w:r w:rsidRPr="00636564">
        <w:t>The following chapters and sections of our draft decision involved consideration of this factor:</w:t>
      </w:r>
    </w:p>
    <w:p w14:paraId="2DBC9BA5" w14:textId="77777777" w:rsidR="00456FD5" w:rsidRPr="00636564" w:rsidRDefault="00456FD5" w:rsidP="00ED1290">
      <w:pPr>
        <w:pStyle w:val="ListBullet"/>
      </w:pPr>
      <w:r w:rsidRPr="00636564">
        <w:t>Our consideration of customer engagement (Section 3.1).</w:t>
      </w:r>
    </w:p>
    <w:p w14:paraId="37ABD19F" w14:textId="77777777" w:rsidR="00456FD5" w:rsidRPr="00636564" w:rsidRDefault="00456FD5" w:rsidP="00ED1290">
      <w:pPr>
        <w:pStyle w:val="ListBullet"/>
      </w:pPr>
      <w:r w:rsidRPr="00636564">
        <w:t>Our assessment of the revenue requirement (Chapter 4).</w:t>
      </w:r>
    </w:p>
    <w:p w14:paraId="5595A1F1" w14:textId="77777777" w:rsidR="00456FD5" w:rsidRPr="00636564" w:rsidRDefault="00456FD5" w:rsidP="00ED1290">
      <w:pPr>
        <w:pStyle w:val="ListBullet"/>
      </w:pPr>
      <w:r w:rsidRPr="00636564">
        <w:t xml:space="preserve">Our assessment of efficient operating expenditure (Section 4.1) and capital expenditure (Section 4.2). </w:t>
      </w:r>
    </w:p>
    <w:p w14:paraId="68728AF1" w14:textId="77777777" w:rsidR="00456FD5" w:rsidRPr="00636564" w:rsidRDefault="00456FD5" w:rsidP="00ED1290">
      <w:pPr>
        <w:pStyle w:val="ListBullet"/>
      </w:pPr>
      <w:r w:rsidRPr="00636564">
        <w:t xml:space="preserve">Our assessment of tariffs (Section 5.3). </w:t>
      </w:r>
    </w:p>
    <w:p w14:paraId="0D492B14" w14:textId="77777777" w:rsidR="00456FD5" w:rsidRPr="00636564" w:rsidRDefault="00456FD5" w:rsidP="00456FD5">
      <w:pPr>
        <w:rPr>
          <w:b/>
          <w:bCs/>
        </w:rPr>
      </w:pPr>
      <w:r w:rsidRPr="00636564">
        <w:rPr>
          <w:b/>
          <w:bCs/>
        </w:rPr>
        <w:lastRenderedPageBreak/>
        <w:t xml:space="preserve">WIRO clause 8(b)(ii) requires us to have regard to the ‘promotion of efficiency in regulated entities as well as efficiency in, and financial viability of, the regulated water industry’. </w:t>
      </w:r>
    </w:p>
    <w:p w14:paraId="4B06447B" w14:textId="27FB33AD" w:rsidR="00456FD5" w:rsidRPr="00636564" w:rsidRDefault="00456FD5" w:rsidP="00456FD5">
      <w:r w:rsidRPr="00636564">
        <w:t xml:space="preserve">We consider that the delivery of outcomes which reflect customer service priorities at an efficient cost promotes efficiency in regulated entities and the water industry. Our draft decision has therefore had regard to the extent that </w:t>
      </w:r>
      <w:r w:rsidR="00AA1D9F">
        <w:t>Greater Western Water</w:t>
      </w:r>
      <w:r w:rsidRPr="00636564">
        <w:t xml:space="preserve"> has demonstrated its proposed outcomes reflect customer service priorities, and whether its tariffs and forecast costs reflect efficient levels of expenditure. </w:t>
      </w:r>
    </w:p>
    <w:p w14:paraId="4A7DEE96" w14:textId="77777777" w:rsidR="00456FD5" w:rsidRPr="00636564" w:rsidRDefault="00456FD5" w:rsidP="00456FD5">
      <w:r w:rsidRPr="00636564">
        <w:t>The following chapters and sections of our draft decision involved consideration of this factor:</w:t>
      </w:r>
    </w:p>
    <w:p w14:paraId="5C36CA68" w14:textId="77777777" w:rsidR="00456FD5" w:rsidRPr="00636564" w:rsidRDefault="00456FD5" w:rsidP="00ED1290">
      <w:pPr>
        <w:pStyle w:val="ListBullet"/>
      </w:pPr>
      <w:r w:rsidRPr="00636564">
        <w:t>Our consideration of customer engagement (Section 3.1).</w:t>
      </w:r>
    </w:p>
    <w:p w14:paraId="3CFFD06C" w14:textId="77777777" w:rsidR="00456FD5" w:rsidRPr="00636564" w:rsidRDefault="00456FD5" w:rsidP="00ED1290">
      <w:pPr>
        <w:pStyle w:val="ListBullet"/>
      </w:pPr>
      <w:r w:rsidRPr="00636564">
        <w:t>Our assessment of the revenue requirement (Chapter 4).</w:t>
      </w:r>
    </w:p>
    <w:p w14:paraId="3CEB9481" w14:textId="77777777" w:rsidR="00456FD5" w:rsidRPr="00636564" w:rsidRDefault="00456FD5" w:rsidP="00ED1290">
      <w:pPr>
        <w:pStyle w:val="ListBullet"/>
      </w:pPr>
      <w:r w:rsidRPr="00636564">
        <w:t>Our assessment of efficient operating expenditure (Section 4.1) and capital expenditure (Section 4.2).</w:t>
      </w:r>
    </w:p>
    <w:p w14:paraId="34ACE777" w14:textId="77777777" w:rsidR="00456FD5" w:rsidRPr="00636564" w:rsidRDefault="00456FD5" w:rsidP="00ED1290">
      <w:pPr>
        <w:pStyle w:val="ListBullet"/>
      </w:pPr>
      <w:r w:rsidRPr="00636564">
        <w:t>Our assessment of tariffs (Section 5.3).</w:t>
      </w:r>
    </w:p>
    <w:p w14:paraId="68388876" w14:textId="77777777" w:rsidR="00456FD5" w:rsidRPr="00636564" w:rsidRDefault="00456FD5" w:rsidP="00ED1290">
      <w:pPr>
        <w:pStyle w:val="ListBullet"/>
      </w:pPr>
      <w:r w:rsidRPr="00636564">
        <w:t>Our assessment of financial viability (Chapter 6).</w:t>
      </w:r>
    </w:p>
    <w:p w14:paraId="5BD7F49A" w14:textId="77777777" w:rsidR="00456FD5" w:rsidRPr="00636564" w:rsidRDefault="00456FD5" w:rsidP="00456FD5">
      <w:pPr>
        <w:rPr>
          <w:b/>
          <w:bCs/>
        </w:rPr>
      </w:pPr>
      <w:r w:rsidRPr="00636564">
        <w:rPr>
          <w:b/>
          <w:bCs/>
        </w:rPr>
        <w:t xml:space="preserve">WIRO clause 8(b)(iii) requires us to have regard to the ‘provision to regulated entities of incentives to pursue efficiency </w:t>
      </w:r>
      <w:proofErr w:type="gramStart"/>
      <w:r w:rsidRPr="00636564">
        <w:rPr>
          <w:b/>
          <w:bCs/>
        </w:rPr>
        <w:t>improvements’</w:t>
      </w:r>
      <w:proofErr w:type="gramEnd"/>
      <w:r w:rsidRPr="00636564">
        <w:rPr>
          <w:b/>
          <w:bCs/>
        </w:rPr>
        <w:t xml:space="preserve">.  </w:t>
      </w:r>
    </w:p>
    <w:p w14:paraId="06CF9AB4" w14:textId="77777777" w:rsidR="00456FD5" w:rsidRPr="00636564" w:rsidRDefault="00456FD5" w:rsidP="00456FD5">
      <w:r w:rsidRPr="00636564">
        <w:t>We consider that the delivery of outcomes which reflect customer service priorities at an efficient cost provides regulated entities incentives to pursue efficiency improvements. The following chapters and sections of our draft decision involved consideration of this factor:</w:t>
      </w:r>
    </w:p>
    <w:p w14:paraId="656EAE4D" w14:textId="77777777" w:rsidR="00456FD5" w:rsidRPr="00636564" w:rsidRDefault="00456FD5" w:rsidP="00ED1290">
      <w:pPr>
        <w:pStyle w:val="ListBullet"/>
      </w:pPr>
      <w:r w:rsidRPr="00636564">
        <w:t>Our consideration of customer engagement (Section 3.1).</w:t>
      </w:r>
    </w:p>
    <w:p w14:paraId="6221A1AD" w14:textId="77777777" w:rsidR="00456FD5" w:rsidRPr="00636564" w:rsidRDefault="00456FD5" w:rsidP="00ED1290">
      <w:pPr>
        <w:pStyle w:val="ListBullet"/>
      </w:pPr>
      <w:r w:rsidRPr="00636564">
        <w:t xml:space="preserve">Our consideration of outcomes (Section 3.2). </w:t>
      </w:r>
    </w:p>
    <w:p w14:paraId="3F4464A8" w14:textId="77777777" w:rsidR="00456FD5" w:rsidRPr="00636564" w:rsidRDefault="00456FD5" w:rsidP="00ED1290">
      <w:pPr>
        <w:pStyle w:val="ListBullet"/>
      </w:pPr>
      <w:r w:rsidRPr="00636564">
        <w:t>Our assessment of the revenue requirement (Chapter 4).</w:t>
      </w:r>
    </w:p>
    <w:p w14:paraId="3DD64FB5" w14:textId="77777777" w:rsidR="00456FD5" w:rsidRPr="00636564" w:rsidRDefault="00456FD5" w:rsidP="00ED1290">
      <w:pPr>
        <w:pStyle w:val="ListBullet"/>
      </w:pPr>
      <w:r w:rsidRPr="00636564">
        <w:t>Our assessment of efficient operating expenditure (Section 4.1) and capital expenditure (Section 4.2).</w:t>
      </w:r>
    </w:p>
    <w:p w14:paraId="61BCA1F4" w14:textId="77777777" w:rsidR="00456FD5" w:rsidRPr="00636564" w:rsidRDefault="00456FD5" w:rsidP="00ED1290">
      <w:pPr>
        <w:pStyle w:val="ListBullet"/>
      </w:pPr>
      <w:r w:rsidRPr="00636564">
        <w:t>Our assessment of tariffs (Section 5.3).</w:t>
      </w:r>
    </w:p>
    <w:p w14:paraId="1C9DE742" w14:textId="77777777" w:rsidR="00456FD5" w:rsidRPr="00636564" w:rsidRDefault="00456FD5" w:rsidP="00456FD5">
      <w:r w:rsidRPr="00636564">
        <w:t xml:space="preserve">Additionally, our pricing approach allows a water corporation to retain the benefits of any cost efficiencies it generates until the end of its regulatory period. In other words, a water corporation has an incentive to outperform the operating and capital expenditure benchmarks we </w:t>
      </w:r>
      <w:proofErr w:type="gramStart"/>
      <w:r w:rsidRPr="00636564">
        <w:t>accept</w:t>
      </w:r>
      <w:proofErr w:type="gramEnd"/>
      <w:r w:rsidRPr="00636564">
        <w:t xml:space="preserve"> for the purpose of estimating its revenue requirement and prices. This is consistent with providing incentives for water corporations to pursue efficiency improvements.</w:t>
      </w:r>
    </w:p>
    <w:p w14:paraId="70BD8BBE" w14:textId="77777777" w:rsidR="00456FD5" w:rsidRPr="00636564" w:rsidRDefault="00456FD5" w:rsidP="00456FD5">
      <w:pPr>
        <w:rPr>
          <w:b/>
          <w:bCs/>
        </w:rPr>
      </w:pPr>
      <w:r w:rsidRPr="00636564">
        <w:rPr>
          <w:b/>
          <w:bCs/>
        </w:rPr>
        <w:t xml:space="preserve">ESC Act section 8A(1)(a) requires us to have regard to ‘efficiency in the industry and incentives for long term investment’.  </w:t>
      </w:r>
    </w:p>
    <w:p w14:paraId="32A6DDC7" w14:textId="77777777" w:rsidR="00456FD5" w:rsidRPr="00636564" w:rsidRDefault="00456FD5" w:rsidP="00456FD5">
      <w:r w:rsidRPr="00636564">
        <w:t xml:space="preserve">We consider that adopting forecasts of efficient expenditure that reflect the service priorities of the customers of each water corporation promotes efficiency in the water industry. </w:t>
      </w:r>
    </w:p>
    <w:p w14:paraId="4696E88B" w14:textId="77777777" w:rsidR="00456FD5" w:rsidRPr="00636564" w:rsidRDefault="00456FD5" w:rsidP="00456FD5">
      <w:r w:rsidRPr="00636564">
        <w:lastRenderedPageBreak/>
        <w:t>The following chapters and sections of our draft decision involved consideration of this factor:</w:t>
      </w:r>
    </w:p>
    <w:p w14:paraId="266400C1" w14:textId="77777777" w:rsidR="00456FD5" w:rsidRPr="00636564" w:rsidRDefault="00456FD5" w:rsidP="00ED1290">
      <w:pPr>
        <w:pStyle w:val="ListBullet"/>
      </w:pPr>
      <w:r w:rsidRPr="00636564">
        <w:t>Our consideration of customer engagement (Section 3.1).</w:t>
      </w:r>
    </w:p>
    <w:p w14:paraId="657DA0F0" w14:textId="77777777" w:rsidR="00456FD5" w:rsidRPr="00636564" w:rsidRDefault="00456FD5" w:rsidP="00ED1290">
      <w:pPr>
        <w:pStyle w:val="ListBullet"/>
      </w:pPr>
      <w:r w:rsidRPr="00636564">
        <w:t>Our consideration of outcomes (Section 3.2).</w:t>
      </w:r>
    </w:p>
    <w:p w14:paraId="1F93F334" w14:textId="77777777" w:rsidR="00456FD5" w:rsidRPr="00636564" w:rsidRDefault="00456FD5" w:rsidP="00ED1290">
      <w:pPr>
        <w:pStyle w:val="ListBullet"/>
      </w:pPr>
      <w:r w:rsidRPr="00636564">
        <w:t>Our assessment of the revenue requirement (Chapter 4).</w:t>
      </w:r>
    </w:p>
    <w:p w14:paraId="09E5C778" w14:textId="77777777" w:rsidR="00456FD5" w:rsidRPr="00636564" w:rsidRDefault="00456FD5" w:rsidP="00ED1290">
      <w:pPr>
        <w:pStyle w:val="ListBullet"/>
      </w:pPr>
      <w:r w:rsidRPr="00636564">
        <w:t>Our assessment of efficient operating expenditure (Section 4.1) and capital expenditure (Section 4.2).</w:t>
      </w:r>
    </w:p>
    <w:p w14:paraId="4F21F533" w14:textId="77777777" w:rsidR="00456FD5" w:rsidRPr="00636564" w:rsidRDefault="00456FD5" w:rsidP="00ED1290">
      <w:pPr>
        <w:pStyle w:val="ListBullet"/>
      </w:pPr>
      <w:r w:rsidRPr="00636564">
        <w:t>Our assessment of tariffs (Section 5.3).</w:t>
      </w:r>
    </w:p>
    <w:p w14:paraId="64C87E9D" w14:textId="77777777" w:rsidR="00456FD5" w:rsidRPr="00636564" w:rsidRDefault="00456FD5" w:rsidP="00456FD5">
      <w:r w:rsidRPr="00636564">
        <w:t>We have had regard to incentives for long term investment by adopting:</w:t>
      </w:r>
    </w:p>
    <w:p w14:paraId="7AAE4C1C" w14:textId="3A900FEB" w:rsidR="00456FD5" w:rsidRPr="00636564" w:rsidRDefault="00456FD5" w:rsidP="00ED1290">
      <w:pPr>
        <w:pStyle w:val="ListBullet"/>
      </w:pPr>
      <w:r w:rsidRPr="00636564">
        <w:t xml:space="preserve">A </w:t>
      </w:r>
      <w:r w:rsidR="005E22D6">
        <w:t>10</w:t>
      </w:r>
      <w:r w:rsidRPr="00636564">
        <w:t>-year trailing average approach to estimating the benchmark cost of debt (see Section</w:t>
      </w:r>
      <w:r>
        <w:t> </w:t>
      </w:r>
      <w:r w:rsidRPr="00636564">
        <w:t xml:space="preserve">4.4.1). </w:t>
      </w:r>
    </w:p>
    <w:p w14:paraId="0BAAD0C7" w14:textId="1E8BF5BC" w:rsidR="00456FD5" w:rsidRPr="00636564" w:rsidRDefault="00456FD5" w:rsidP="00ED1290">
      <w:pPr>
        <w:pStyle w:val="ListBullet"/>
      </w:pPr>
      <w:r w:rsidRPr="00636564">
        <w:t xml:space="preserve">A regulatory rate of return that we consider will enable </w:t>
      </w:r>
      <w:r w:rsidR="00AA1D9F">
        <w:t>Greater Western Water</w:t>
      </w:r>
      <w:r w:rsidRPr="00636564">
        <w:t xml:space="preserve"> to recover borrowing costs associated with its investment in </w:t>
      </w:r>
      <w:proofErr w:type="gramStart"/>
      <w:r w:rsidRPr="00636564">
        <w:t>services, and</w:t>
      </w:r>
      <w:proofErr w:type="gramEnd"/>
      <w:r w:rsidRPr="00636564">
        <w:t xml:space="preserve"> generate a return on assets.</w:t>
      </w:r>
      <w:r>
        <w:rPr>
          <w:rStyle w:val="FootnoteReference"/>
        </w:rPr>
        <w:footnoteReference w:id="122"/>
      </w:r>
      <w:r w:rsidRPr="00636564">
        <w:t xml:space="preserve"> </w:t>
      </w:r>
    </w:p>
    <w:p w14:paraId="3318067C" w14:textId="77777777" w:rsidR="00456FD5" w:rsidRPr="00636564" w:rsidRDefault="00456FD5" w:rsidP="00456FD5">
      <w:pPr>
        <w:rPr>
          <w:b/>
          <w:bCs/>
        </w:rPr>
      </w:pPr>
      <w:r w:rsidRPr="00636564">
        <w:rPr>
          <w:b/>
          <w:bCs/>
        </w:rPr>
        <w:t xml:space="preserve">ESC Act section 8A(1)(b) requires us to have regard to the ‘financial viability of the industry’.  </w:t>
      </w:r>
    </w:p>
    <w:p w14:paraId="3BBD929F" w14:textId="77777777" w:rsidR="00456FD5" w:rsidRPr="00636564" w:rsidRDefault="00456FD5" w:rsidP="00456FD5">
      <w:r w:rsidRPr="00636564">
        <w:t>We consider that the financial viability of the industry is secured by approving prices that provide a high degree of certainty that each water corporation can maintain an investment grade credit rating. Further, prices should enable each corporation to generate cash flow to service financing costs arising from investments to meet service expectations.</w:t>
      </w:r>
    </w:p>
    <w:p w14:paraId="72AEB3DA" w14:textId="77777777" w:rsidR="00456FD5" w:rsidRPr="00636564" w:rsidRDefault="00456FD5" w:rsidP="00456FD5">
      <w:r w:rsidRPr="00636564">
        <w:t>We have had regard to this matter in Chapter 6.</w:t>
      </w:r>
    </w:p>
    <w:p w14:paraId="3336A716" w14:textId="77777777" w:rsidR="00456FD5" w:rsidRPr="00636564" w:rsidRDefault="00456FD5" w:rsidP="00456FD5">
      <w:pPr>
        <w:rPr>
          <w:b/>
          <w:bCs/>
        </w:rPr>
      </w:pPr>
      <w:r w:rsidRPr="00636564">
        <w:rPr>
          <w:b/>
          <w:bCs/>
        </w:rPr>
        <w:t xml:space="preserve">ESC Act section 33(3)(b) requires us to have regard to the ‘efficient costs of producing or supplying regulated goods or services and of complying with relevant legislation and relevant health, safety, environmental and social legislation applying to the regulated industry’.  </w:t>
      </w:r>
    </w:p>
    <w:p w14:paraId="52B4B841" w14:textId="262F4E9A" w:rsidR="00456FD5" w:rsidRPr="00636564" w:rsidRDefault="00456FD5" w:rsidP="00456FD5">
      <w:r w:rsidRPr="00636564">
        <w:t xml:space="preserve">In preparing our draft decision, we have had regard to the extent </w:t>
      </w:r>
      <w:r w:rsidR="00AA1D9F">
        <w:t>Greater Western Water</w:t>
      </w:r>
      <w:r w:rsidRPr="00636564">
        <w:t xml:space="preserve"> has demonstrated its forecasts reflect efficient costs to deliver services valued by customers, and to deliver on relevant legislation and relevant health, safety, environmental and social obligations.</w:t>
      </w:r>
    </w:p>
    <w:p w14:paraId="7A0D7777" w14:textId="77777777" w:rsidR="00456FD5" w:rsidRPr="00636564" w:rsidRDefault="00456FD5" w:rsidP="00456FD5">
      <w:r w:rsidRPr="00636564">
        <w:t>The following chapters and sections of our draft decision involved consideration of this factor:</w:t>
      </w:r>
    </w:p>
    <w:p w14:paraId="71AD18F9" w14:textId="77777777" w:rsidR="00456FD5" w:rsidRPr="00636564" w:rsidRDefault="00456FD5" w:rsidP="00ED1290">
      <w:pPr>
        <w:pStyle w:val="ListBullet"/>
      </w:pPr>
      <w:r w:rsidRPr="00636564">
        <w:t>Our consideration of customer engagement (Section 3.1).</w:t>
      </w:r>
    </w:p>
    <w:p w14:paraId="18A3F555" w14:textId="77777777" w:rsidR="00456FD5" w:rsidRPr="00636564" w:rsidRDefault="00456FD5" w:rsidP="00ED1290">
      <w:pPr>
        <w:pStyle w:val="ListBullet"/>
      </w:pPr>
      <w:r w:rsidRPr="00636564">
        <w:t>Our assessment of the revenue requirement (Chapter 4).</w:t>
      </w:r>
    </w:p>
    <w:p w14:paraId="65076E81" w14:textId="77777777" w:rsidR="00456FD5" w:rsidRPr="00636564" w:rsidRDefault="00456FD5" w:rsidP="00ED1290">
      <w:pPr>
        <w:pStyle w:val="ListBullet"/>
      </w:pPr>
      <w:r w:rsidRPr="00636564">
        <w:t>Our assessment of efficient operating expenditure (Section 4.1) and capital expenditure (Section 4.2).</w:t>
      </w:r>
    </w:p>
    <w:p w14:paraId="692746A5" w14:textId="77777777" w:rsidR="00456FD5" w:rsidRPr="00636564" w:rsidRDefault="00456FD5" w:rsidP="00ED1290">
      <w:pPr>
        <w:pStyle w:val="ListBullet"/>
      </w:pPr>
      <w:r w:rsidRPr="00636564">
        <w:lastRenderedPageBreak/>
        <w:t>Our assessment of tariffs (Section 5.3).</w:t>
      </w:r>
    </w:p>
    <w:p w14:paraId="22CE047B" w14:textId="699EBD4C" w:rsidR="00456FD5" w:rsidRPr="00636564" w:rsidRDefault="00456FD5" w:rsidP="00456FD5">
      <w:pPr>
        <w:pStyle w:val="Heading2"/>
      </w:pPr>
      <w:bookmarkStart w:id="151" w:name="_Toc122514887"/>
      <w:bookmarkStart w:id="152" w:name="_Toc150515723"/>
      <w:bookmarkStart w:id="153" w:name="_Toc161401018"/>
      <w:r w:rsidRPr="00636564">
        <w:t>Industry specific matters</w:t>
      </w:r>
      <w:bookmarkEnd w:id="151"/>
      <w:bookmarkEnd w:id="152"/>
      <w:bookmarkEnd w:id="153"/>
    </w:p>
    <w:p w14:paraId="548EA2AC" w14:textId="77777777" w:rsidR="00456FD5" w:rsidRPr="00636564" w:rsidRDefault="00456FD5" w:rsidP="00456FD5">
      <w:pPr>
        <w:rPr>
          <w:b/>
          <w:bCs/>
        </w:rPr>
      </w:pPr>
      <w:r w:rsidRPr="00636564">
        <w:rPr>
          <w:b/>
          <w:bCs/>
        </w:rPr>
        <w:t xml:space="preserve">ESC Act section 33(3)(a) requires us to have regard to the ‘particular circumstances of the regulated industry and the prescribed goods and services for which the determination is being made’.  </w:t>
      </w:r>
    </w:p>
    <w:p w14:paraId="7F037EF7" w14:textId="77777777" w:rsidR="00456FD5" w:rsidRPr="00636564" w:rsidRDefault="00456FD5" w:rsidP="00456FD5">
      <w:r w:rsidRPr="00636564">
        <w:t xml:space="preserve">Our pricing approach allows each water corporation to propose outcomes, tariff structures and expenditure that reflect its </w:t>
      </w:r>
      <w:proofErr w:type="gramStart"/>
      <w:r w:rsidRPr="00636564">
        <w:t>particular circumstances</w:t>
      </w:r>
      <w:proofErr w:type="gramEnd"/>
      <w:r w:rsidRPr="00636564">
        <w:t xml:space="preserve">. We consider that </w:t>
      </w:r>
      <w:proofErr w:type="gramStart"/>
      <w:r w:rsidRPr="00636564">
        <w:t>taking into account</w:t>
      </w:r>
      <w:proofErr w:type="gramEnd"/>
      <w:r w:rsidRPr="00636564">
        <w:t xml:space="preserve"> the particular circumstances of each water corporation is consistent with taking into account the particular circumstances of the water industry.</w:t>
      </w:r>
    </w:p>
    <w:p w14:paraId="442ACBCE" w14:textId="77777777" w:rsidR="00456FD5" w:rsidRPr="00636564" w:rsidRDefault="00456FD5" w:rsidP="00456FD5">
      <w:r w:rsidRPr="00636564">
        <w:t>The following chapters and sections of our draft decision involved consideration of this factor:</w:t>
      </w:r>
    </w:p>
    <w:p w14:paraId="38D98444" w14:textId="77777777" w:rsidR="00456FD5" w:rsidRPr="00636564" w:rsidRDefault="00456FD5" w:rsidP="00ED1290">
      <w:pPr>
        <w:pStyle w:val="ListBullet"/>
      </w:pPr>
      <w:r w:rsidRPr="00636564">
        <w:t>Our consideration of customer engagement (Section 3.1).</w:t>
      </w:r>
    </w:p>
    <w:p w14:paraId="0BB3E3CC" w14:textId="77777777" w:rsidR="00456FD5" w:rsidRPr="00636564" w:rsidRDefault="00456FD5" w:rsidP="00ED1290">
      <w:pPr>
        <w:pStyle w:val="ListBullet"/>
      </w:pPr>
      <w:r w:rsidRPr="00636564">
        <w:t>Our consideration of outcomes (Section 3.2).</w:t>
      </w:r>
    </w:p>
    <w:p w14:paraId="0F36BA57" w14:textId="77777777" w:rsidR="00456FD5" w:rsidRPr="00636564" w:rsidRDefault="00456FD5" w:rsidP="00ED1290">
      <w:pPr>
        <w:pStyle w:val="ListBullet"/>
      </w:pPr>
      <w:r w:rsidRPr="00636564">
        <w:t>Our assessment of the revenue requirement (Chapter 4).</w:t>
      </w:r>
    </w:p>
    <w:p w14:paraId="41975C0B" w14:textId="77777777" w:rsidR="00456FD5" w:rsidRPr="00636564" w:rsidRDefault="00456FD5" w:rsidP="00ED1290">
      <w:pPr>
        <w:pStyle w:val="ListBullet"/>
      </w:pPr>
      <w:r w:rsidRPr="00636564">
        <w:t>Our assessment of efficient operating expenditure (Section 4.1) and capital expenditure (Section 4.2).</w:t>
      </w:r>
    </w:p>
    <w:p w14:paraId="66B2F3ED" w14:textId="77777777" w:rsidR="00456FD5" w:rsidRPr="00636564" w:rsidRDefault="00456FD5" w:rsidP="00ED1290">
      <w:pPr>
        <w:pStyle w:val="ListBullet"/>
      </w:pPr>
      <w:r w:rsidRPr="00636564">
        <w:t>Our assessment of tariffs (Section 5.3).</w:t>
      </w:r>
    </w:p>
    <w:p w14:paraId="7A44B472" w14:textId="636E66BA" w:rsidR="00456FD5" w:rsidRPr="00636564" w:rsidRDefault="00456FD5" w:rsidP="00456FD5">
      <w:r w:rsidRPr="00636564">
        <w:t xml:space="preserve">We have had regard to the prescribed services listed in the WIRO in making our decision. This includes adopting operating and capital expenditure benchmarks that we consider will allow </w:t>
      </w:r>
      <w:r w:rsidR="00AA1D9F">
        <w:t>Greater Western Water</w:t>
      </w:r>
      <w:r w:rsidRPr="00636564">
        <w:t xml:space="preserve"> to deliver services that are covered by the prescribed services listed in the WIRO. </w:t>
      </w:r>
    </w:p>
    <w:p w14:paraId="38CB6217" w14:textId="77777777" w:rsidR="00456FD5" w:rsidRPr="00636564" w:rsidRDefault="00456FD5" w:rsidP="00456FD5">
      <w:pPr>
        <w:rPr>
          <w:b/>
          <w:bCs/>
        </w:rPr>
      </w:pPr>
      <w:r w:rsidRPr="00636564">
        <w:rPr>
          <w:b/>
          <w:bCs/>
        </w:rPr>
        <w:t xml:space="preserve">ESC Act section 33(3)(c) requires us to have regard to the ‘return on assets in the regulated industry’.  </w:t>
      </w:r>
    </w:p>
    <w:p w14:paraId="6D7EDCC0" w14:textId="35CC259B" w:rsidR="00456FD5" w:rsidRPr="00636564" w:rsidRDefault="00456FD5" w:rsidP="00456FD5">
      <w:r w:rsidRPr="00636564">
        <w:t xml:space="preserve">Our draft decision provides for </w:t>
      </w:r>
      <w:r w:rsidR="00AA1D9F">
        <w:t>Greater Western Water</w:t>
      </w:r>
      <w:r w:rsidRPr="00636564">
        <w:t xml:space="preserve"> to generate a return on assets through:</w:t>
      </w:r>
    </w:p>
    <w:p w14:paraId="36E7AE22" w14:textId="77777777" w:rsidR="00456FD5" w:rsidRPr="00636564" w:rsidRDefault="00456FD5" w:rsidP="00ED1290">
      <w:pPr>
        <w:pStyle w:val="ListBullet"/>
      </w:pPr>
      <w:r w:rsidRPr="00636564">
        <w:t>Our consideration of the regulatory asset base (Section 4.3).</w:t>
      </w:r>
    </w:p>
    <w:p w14:paraId="711015E8" w14:textId="77777777" w:rsidR="00456FD5" w:rsidRPr="00636564" w:rsidRDefault="00456FD5" w:rsidP="00ED1290">
      <w:pPr>
        <w:pStyle w:val="ListBullet"/>
      </w:pPr>
      <w:r w:rsidRPr="00636564">
        <w:t>Our consideration of the cost of debt (Section 4.4.1).</w:t>
      </w:r>
    </w:p>
    <w:p w14:paraId="11255108" w14:textId="77777777" w:rsidR="00456FD5" w:rsidRPr="00636564" w:rsidRDefault="00456FD5" w:rsidP="00ED1290">
      <w:pPr>
        <w:pStyle w:val="ListBullet"/>
      </w:pPr>
      <w:r w:rsidRPr="00636564">
        <w:t>Our consideration of the return on equity (Section 4.4.2).</w:t>
      </w:r>
    </w:p>
    <w:p w14:paraId="5FA25B2C" w14:textId="77777777" w:rsidR="00456FD5" w:rsidRPr="00636564" w:rsidRDefault="00456FD5" w:rsidP="00456FD5">
      <w:pPr>
        <w:keepNext/>
        <w:rPr>
          <w:b/>
          <w:bCs/>
        </w:rPr>
      </w:pPr>
      <w:r w:rsidRPr="00636564">
        <w:rPr>
          <w:b/>
          <w:bCs/>
        </w:rPr>
        <w:t xml:space="preserve">ESC Act Section 33(3)(d) requires us to have regard to ‘any relevant interstate and international benchmarks for prices, costs and return on assets in comparable </w:t>
      </w:r>
      <w:proofErr w:type="gramStart"/>
      <w:r w:rsidRPr="00636564">
        <w:rPr>
          <w:b/>
          <w:bCs/>
        </w:rPr>
        <w:t>industries’</w:t>
      </w:r>
      <w:proofErr w:type="gramEnd"/>
      <w:r w:rsidRPr="00636564">
        <w:rPr>
          <w:b/>
          <w:bCs/>
        </w:rPr>
        <w:t xml:space="preserve">.  </w:t>
      </w:r>
    </w:p>
    <w:p w14:paraId="72909AD2" w14:textId="77777777" w:rsidR="00456FD5" w:rsidRPr="00636564" w:rsidRDefault="00456FD5" w:rsidP="00456FD5">
      <w:r w:rsidRPr="00636564">
        <w:t>In assessing costs, prices and return on assets we have had regard to relevant interstate benchmarks:</w:t>
      </w:r>
    </w:p>
    <w:p w14:paraId="30906373" w14:textId="5249E386" w:rsidR="00456FD5" w:rsidRPr="004E635E" w:rsidRDefault="00456FD5" w:rsidP="00ED1290">
      <w:pPr>
        <w:pStyle w:val="ListBullet"/>
      </w:pPr>
      <w:r w:rsidRPr="004E635E">
        <w:lastRenderedPageBreak/>
        <w:t>indicative bills paid by customers in other jurisdictions in Australia</w:t>
      </w:r>
      <w:r w:rsidRPr="004E635E">
        <w:rPr>
          <w:rStyle w:val="FootnoteReference"/>
        </w:rPr>
        <w:footnoteReference w:id="123"/>
      </w:r>
      <w:r w:rsidRPr="004E635E">
        <w:t xml:space="preserve">  </w:t>
      </w:r>
    </w:p>
    <w:p w14:paraId="2E4401AE" w14:textId="77777777" w:rsidR="00456FD5" w:rsidRPr="004E635E" w:rsidRDefault="00456FD5" w:rsidP="00ED1290">
      <w:pPr>
        <w:pStyle w:val="ListBullet"/>
      </w:pPr>
      <w:r w:rsidRPr="004E635E">
        <w:t>operating and capital expenditure costs per connection throughout Australia</w:t>
      </w:r>
      <w:r w:rsidRPr="004E635E">
        <w:rPr>
          <w:rStyle w:val="FootnoteReference"/>
        </w:rPr>
        <w:footnoteReference w:id="124"/>
      </w:r>
      <w:r w:rsidRPr="004E635E">
        <w:t xml:space="preserve"> </w:t>
      </w:r>
    </w:p>
    <w:p w14:paraId="02012DF5" w14:textId="77777777" w:rsidR="00456FD5" w:rsidRPr="004E635E" w:rsidRDefault="00456FD5" w:rsidP="00ED1290">
      <w:pPr>
        <w:pStyle w:val="ListBullet"/>
      </w:pPr>
      <w:r w:rsidRPr="004E635E">
        <w:t>tariff structures applied by water corporations throughout Australia</w:t>
      </w:r>
      <w:r w:rsidRPr="004E635E">
        <w:rPr>
          <w:rStyle w:val="FootnoteReference"/>
        </w:rPr>
        <w:footnoteReference w:id="125"/>
      </w:r>
      <w:r w:rsidRPr="004E635E">
        <w:t xml:space="preserve"> </w:t>
      </w:r>
    </w:p>
    <w:p w14:paraId="024CB6E5" w14:textId="77777777" w:rsidR="00456FD5" w:rsidRPr="004E635E" w:rsidRDefault="00456FD5" w:rsidP="00ED1290">
      <w:pPr>
        <w:pStyle w:val="ListBullet"/>
      </w:pPr>
      <w:r w:rsidRPr="004E635E">
        <w:t>the regulatory rate of return set by other regulators.</w:t>
      </w:r>
      <w:r w:rsidRPr="004E635E">
        <w:rPr>
          <w:rStyle w:val="FootnoteReference"/>
        </w:rPr>
        <w:footnoteReference w:id="126"/>
      </w:r>
      <w:r w:rsidRPr="004E635E">
        <w:t xml:space="preserve">  </w:t>
      </w:r>
    </w:p>
    <w:p w14:paraId="54112D15" w14:textId="77777777" w:rsidR="00456FD5" w:rsidRPr="00636564" w:rsidRDefault="00456FD5" w:rsidP="00456FD5">
      <w:r w:rsidRPr="00636564">
        <w:t>We are not aware of any international benchmarks that are relevant to our decision.</w:t>
      </w:r>
    </w:p>
    <w:p w14:paraId="31FB70D1" w14:textId="77777777" w:rsidR="00456FD5" w:rsidRPr="00636564" w:rsidRDefault="00456FD5" w:rsidP="00456FD5">
      <w:pPr>
        <w:rPr>
          <w:b/>
          <w:bCs/>
        </w:rPr>
      </w:pPr>
      <w:r w:rsidRPr="00636564">
        <w:rPr>
          <w:b/>
          <w:bCs/>
        </w:rPr>
        <w:t xml:space="preserve">WI Act section 4C(b) requires us to ‘ensure that regulatory decision </w:t>
      </w:r>
      <w:proofErr w:type="gramStart"/>
      <w:r w:rsidRPr="00636564">
        <w:rPr>
          <w:b/>
          <w:bCs/>
        </w:rPr>
        <w:t>making</w:t>
      </w:r>
      <w:proofErr w:type="gramEnd"/>
      <w:r w:rsidRPr="00636564">
        <w:rPr>
          <w:b/>
          <w:bCs/>
        </w:rPr>
        <w:t xml:space="preserve"> and regulatory processes have regard to any differences between the operating environments of regulated entities’.  </w:t>
      </w:r>
    </w:p>
    <w:p w14:paraId="1623CD3B" w14:textId="77777777" w:rsidR="00456FD5" w:rsidRPr="00636564" w:rsidRDefault="00456FD5" w:rsidP="00456FD5">
      <w:r w:rsidRPr="00636564">
        <w:t xml:space="preserve">Our pricing approach allows each water corporation to propose outcomes, a revenue requirement, </w:t>
      </w:r>
      <w:proofErr w:type="gramStart"/>
      <w:r w:rsidRPr="00636564">
        <w:t>expenditure</w:t>
      </w:r>
      <w:proofErr w:type="gramEnd"/>
      <w:r w:rsidRPr="00636564">
        <w:t xml:space="preserve"> and tariffs that reflect its particular circumstances and operating environment. </w:t>
      </w:r>
    </w:p>
    <w:p w14:paraId="768518F6" w14:textId="77777777" w:rsidR="00456FD5" w:rsidRPr="00636564" w:rsidRDefault="00456FD5" w:rsidP="00456FD5">
      <w:r w:rsidRPr="00636564">
        <w:t>The following chapters and sections of our draft decision involved consideration of this factor:</w:t>
      </w:r>
    </w:p>
    <w:p w14:paraId="6B1B8EF9" w14:textId="77777777" w:rsidR="00456FD5" w:rsidRPr="00636564" w:rsidRDefault="00456FD5" w:rsidP="00ED1290">
      <w:pPr>
        <w:pStyle w:val="ListBullet"/>
      </w:pPr>
      <w:r w:rsidRPr="00636564">
        <w:t>Our consideration of customer engagement (Section 3.1).</w:t>
      </w:r>
    </w:p>
    <w:p w14:paraId="1B48DF2B" w14:textId="77777777" w:rsidR="00456FD5" w:rsidRPr="00636564" w:rsidRDefault="00456FD5" w:rsidP="00ED1290">
      <w:pPr>
        <w:pStyle w:val="ListBullet"/>
      </w:pPr>
      <w:r w:rsidRPr="00636564">
        <w:t>Our consideration of outcomes (Section 3.2).</w:t>
      </w:r>
    </w:p>
    <w:p w14:paraId="55A64013" w14:textId="77777777" w:rsidR="00456FD5" w:rsidRPr="00636564" w:rsidRDefault="00456FD5" w:rsidP="00ED1290">
      <w:pPr>
        <w:pStyle w:val="ListBullet"/>
      </w:pPr>
      <w:r w:rsidRPr="00636564">
        <w:t>Our assessment of the revenue requirement (Chapter 4).</w:t>
      </w:r>
    </w:p>
    <w:p w14:paraId="65F4EF5E" w14:textId="77777777" w:rsidR="00456FD5" w:rsidRPr="00636564" w:rsidRDefault="00456FD5" w:rsidP="00ED1290">
      <w:pPr>
        <w:pStyle w:val="ListBullet"/>
      </w:pPr>
      <w:r w:rsidRPr="00636564">
        <w:t>Our assessment of efficient operating expenditure (Section 4.1) and capital expenditure (Section 4.2).</w:t>
      </w:r>
    </w:p>
    <w:p w14:paraId="008FDA85" w14:textId="77777777" w:rsidR="00456FD5" w:rsidRPr="00636564" w:rsidRDefault="00456FD5" w:rsidP="00ED1290">
      <w:pPr>
        <w:pStyle w:val="ListBullet"/>
      </w:pPr>
      <w:r w:rsidRPr="00636564">
        <w:t>Our assessment of tariffs (Section 5.3).</w:t>
      </w:r>
    </w:p>
    <w:p w14:paraId="29BECCFA" w14:textId="5E9538F2" w:rsidR="00456FD5" w:rsidRPr="00636564" w:rsidRDefault="00456FD5" w:rsidP="00456FD5">
      <w:r w:rsidRPr="00636564">
        <w:t xml:space="preserve">Our price review also considers the views of stakeholders affected by </w:t>
      </w:r>
      <w:r w:rsidR="00AA1D9F">
        <w:t>Greater Western Water</w:t>
      </w:r>
      <w:r w:rsidRPr="00636564">
        <w:t>’s proposals, including through submissions and public meetings.</w:t>
      </w:r>
    </w:p>
    <w:p w14:paraId="17CA5031" w14:textId="77777777" w:rsidR="00456FD5" w:rsidRPr="00636564" w:rsidRDefault="00456FD5" w:rsidP="00456FD5">
      <w:pPr>
        <w:pStyle w:val="Heading2"/>
      </w:pPr>
      <w:bookmarkStart w:id="154" w:name="_Toc122514888"/>
      <w:bookmarkStart w:id="155" w:name="_Toc150515724"/>
      <w:bookmarkStart w:id="156" w:name="_Toc161401019"/>
      <w:r w:rsidRPr="00636564">
        <w:lastRenderedPageBreak/>
        <w:t>Customer matters</w:t>
      </w:r>
      <w:bookmarkEnd w:id="154"/>
      <w:bookmarkEnd w:id="155"/>
      <w:bookmarkEnd w:id="156"/>
    </w:p>
    <w:p w14:paraId="47731DB6" w14:textId="77777777" w:rsidR="00456FD5" w:rsidRPr="003D6992" w:rsidRDefault="00456FD5" w:rsidP="00456FD5">
      <w:pPr>
        <w:keepNext/>
        <w:keepLines/>
        <w:rPr>
          <w:b/>
          <w:bCs/>
        </w:rPr>
      </w:pPr>
      <w:r w:rsidRPr="003D6992">
        <w:rPr>
          <w:b/>
          <w:bCs/>
        </w:rPr>
        <w:t xml:space="preserve">ESC Act section 8(1) requires us to have regard to the fact that the ‘objective of the Commission is to promote the </w:t>
      </w:r>
      <w:proofErr w:type="gramStart"/>
      <w:r w:rsidRPr="003D6992">
        <w:rPr>
          <w:b/>
          <w:bCs/>
        </w:rPr>
        <w:t>long term</w:t>
      </w:r>
      <w:proofErr w:type="gramEnd"/>
      <w:r w:rsidRPr="003D6992">
        <w:rPr>
          <w:b/>
          <w:bCs/>
        </w:rPr>
        <w:t xml:space="preserve"> interests of Victorian consumers’.  </w:t>
      </w:r>
    </w:p>
    <w:p w14:paraId="2647B043" w14:textId="77777777" w:rsidR="00456FD5" w:rsidRPr="00636564" w:rsidRDefault="00456FD5" w:rsidP="00456FD5">
      <w:r w:rsidRPr="00636564">
        <w:t>We consider that promoting efficiency in delivering outcomes that align to service priorities of customers is consistent with promoting the long</w:t>
      </w:r>
      <w:r>
        <w:noBreakHyphen/>
      </w:r>
      <w:r w:rsidRPr="00636564">
        <w:t>term interests of Victorian consumers.</w:t>
      </w:r>
    </w:p>
    <w:p w14:paraId="2741D41B" w14:textId="77777777" w:rsidR="00456FD5" w:rsidRPr="00636564" w:rsidRDefault="00456FD5" w:rsidP="00456FD5">
      <w:r w:rsidRPr="00636564">
        <w:t>The following chapters and sections of our draft decision involved consideration of this factor:</w:t>
      </w:r>
    </w:p>
    <w:p w14:paraId="2372DA84" w14:textId="77777777" w:rsidR="00456FD5" w:rsidRPr="00636564" w:rsidRDefault="00456FD5" w:rsidP="00ED1290">
      <w:pPr>
        <w:pStyle w:val="ListBullet"/>
      </w:pPr>
      <w:r w:rsidRPr="00636564">
        <w:t>Our consideration of customer engagement (Section 3.1).</w:t>
      </w:r>
    </w:p>
    <w:p w14:paraId="0835B11B" w14:textId="77777777" w:rsidR="00456FD5" w:rsidRPr="00636564" w:rsidRDefault="00456FD5" w:rsidP="00ED1290">
      <w:pPr>
        <w:pStyle w:val="ListBullet"/>
      </w:pPr>
      <w:r w:rsidRPr="00636564">
        <w:t>Our consideration of outcomes (Section 3.2).</w:t>
      </w:r>
    </w:p>
    <w:p w14:paraId="0ED8004D" w14:textId="77777777" w:rsidR="00456FD5" w:rsidRPr="00636564" w:rsidRDefault="00456FD5" w:rsidP="00ED1290">
      <w:pPr>
        <w:pStyle w:val="ListBullet"/>
      </w:pPr>
      <w:r w:rsidRPr="00636564">
        <w:t>Our assessment of the revenue requirement (Chapter 4).</w:t>
      </w:r>
    </w:p>
    <w:p w14:paraId="0F9032E3" w14:textId="77777777" w:rsidR="00456FD5" w:rsidRPr="00636564" w:rsidRDefault="00456FD5" w:rsidP="00ED1290">
      <w:pPr>
        <w:pStyle w:val="ListBullet"/>
      </w:pPr>
      <w:r w:rsidRPr="00636564">
        <w:t>Our assessment of efficient operating expenditure (Section 4.1) and capital expenditure (Section 4.2).</w:t>
      </w:r>
    </w:p>
    <w:p w14:paraId="29FCE8B0" w14:textId="77777777" w:rsidR="00456FD5" w:rsidRPr="00636564" w:rsidRDefault="00456FD5" w:rsidP="00ED1290">
      <w:pPr>
        <w:pStyle w:val="ListBullet"/>
      </w:pPr>
      <w:r w:rsidRPr="00636564">
        <w:t>Our assessment of tariffs (Section 5.3).</w:t>
      </w:r>
    </w:p>
    <w:p w14:paraId="66776095" w14:textId="77777777" w:rsidR="00456FD5" w:rsidRPr="003D6992" w:rsidRDefault="00456FD5" w:rsidP="00456FD5">
      <w:pPr>
        <w:rPr>
          <w:b/>
          <w:bCs/>
        </w:rPr>
      </w:pPr>
      <w:r w:rsidRPr="003D6992">
        <w:rPr>
          <w:b/>
          <w:bCs/>
        </w:rPr>
        <w:t xml:space="preserve">ESC Act Section 8(2) requires us to ‘have regard to the price, </w:t>
      </w:r>
      <w:proofErr w:type="gramStart"/>
      <w:r w:rsidRPr="003D6992">
        <w:rPr>
          <w:b/>
          <w:bCs/>
        </w:rPr>
        <w:t>quality</w:t>
      </w:r>
      <w:proofErr w:type="gramEnd"/>
      <w:r w:rsidRPr="003D6992">
        <w:rPr>
          <w:b/>
          <w:bCs/>
        </w:rPr>
        <w:t xml:space="preserve"> and reliability of essential services’ in seeking to achieve the objective in section 8(1) of the ESC Act.  </w:t>
      </w:r>
    </w:p>
    <w:p w14:paraId="0CC11A42" w14:textId="77777777" w:rsidR="00456FD5" w:rsidRPr="00636564" w:rsidRDefault="00456FD5" w:rsidP="00456FD5">
      <w:r w:rsidRPr="00636564">
        <w:t xml:space="preserve">We consider that promoting efficiency in delivering outcomes that align to service priorities of customers, and allowing businesses to meet regulatory and policy obligations is consistent with this objective. </w:t>
      </w:r>
    </w:p>
    <w:p w14:paraId="67191F8E" w14:textId="77777777" w:rsidR="00456FD5" w:rsidRPr="00636564" w:rsidRDefault="00456FD5" w:rsidP="00456FD5">
      <w:r w:rsidRPr="00636564">
        <w:t>In terms of prices, the following chapters and sections of our draft decision involved consideration of this factor:</w:t>
      </w:r>
    </w:p>
    <w:p w14:paraId="49DC72A9" w14:textId="77777777" w:rsidR="00456FD5" w:rsidRPr="00636564" w:rsidRDefault="00456FD5" w:rsidP="00ED1290">
      <w:pPr>
        <w:pStyle w:val="ListBullet"/>
      </w:pPr>
      <w:r w:rsidRPr="00636564">
        <w:t>Our consideration of the revenue requirement (Chapter 4).</w:t>
      </w:r>
    </w:p>
    <w:p w14:paraId="2927A2B3" w14:textId="77777777" w:rsidR="00456FD5" w:rsidRPr="00636564" w:rsidRDefault="00456FD5" w:rsidP="00ED1290">
      <w:pPr>
        <w:pStyle w:val="ListBullet"/>
      </w:pPr>
      <w:r w:rsidRPr="00636564">
        <w:t>Our assessment of efficient operating expenditure (Section 4.1) and capital expenditure (Section 4.2).</w:t>
      </w:r>
    </w:p>
    <w:p w14:paraId="709976AE" w14:textId="77777777" w:rsidR="00456FD5" w:rsidRPr="00636564" w:rsidRDefault="00456FD5" w:rsidP="00ED1290">
      <w:pPr>
        <w:pStyle w:val="ListBullet"/>
      </w:pPr>
      <w:r w:rsidRPr="00636564">
        <w:t>Our consideration of demand (Section 5.1).</w:t>
      </w:r>
    </w:p>
    <w:p w14:paraId="4A6AE041" w14:textId="77777777" w:rsidR="00456FD5" w:rsidRPr="00636564" w:rsidRDefault="00456FD5" w:rsidP="00ED1290">
      <w:pPr>
        <w:pStyle w:val="ListBullet"/>
      </w:pPr>
      <w:r w:rsidRPr="00636564">
        <w:t>Our consideration of tariffs (Section 5.3).</w:t>
      </w:r>
    </w:p>
    <w:p w14:paraId="0129FEF3" w14:textId="77777777" w:rsidR="00456FD5" w:rsidRPr="00636564" w:rsidRDefault="00456FD5" w:rsidP="00456FD5">
      <w:r w:rsidRPr="00636564">
        <w:t>In terms of the quality and reliability of services, the following sections of our draft decision involved consideration of this factor:</w:t>
      </w:r>
    </w:p>
    <w:p w14:paraId="432661E1" w14:textId="77777777" w:rsidR="00456FD5" w:rsidRPr="00636564" w:rsidRDefault="00456FD5" w:rsidP="00ED1290">
      <w:pPr>
        <w:pStyle w:val="ListBullet"/>
      </w:pPr>
      <w:r w:rsidRPr="00636564">
        <w:t>Our consideration of customer engagement (Section 3.1).</w:t>
      </w:r>
    </w:p>
    <w:p w14:paraId="3285D805" w14:textId="77777777" w:rsidR="00456FD5" w:rsidRPr="00636564" w:rsidRDefault="00456FD5" w:rsidP="00ED1290">
      <w:pPr>
        <w:pStyle w:val="ListBullet"/>
      </w:pPr>
      <w:r w:rsidRPr="00636564">
        <w:t>Our consideration of outcomes (Section 3.2).</w:t>
      </w:r>
    </w:p>
    <w:p w14:paraId="53BD109B" w14:textId="7D6E2C29" w:rsidR="00456FD5" w:rsidRPr="003D6992" w:rsidRDefault="00456FD5" w:rsidP="00456FD5">
      <w:pPr>
        <w:keepNext/>
        <w:keepLines/>
        <w:rPr>
          <w:b/>
          <w:bCs/>
        </w:rPr>
      </w:pPr>
      <w:r w:rsidRPr="003D6992">
        <w:rPr>
          <w:b/>
          <w:bCs/>
        </w:rPr>
        <w:lastRenderedPageBreak/>
        <w:t>WIRO Clause 11(d)(</w:t>
      </w:r>
      <w:proofErr w:type="spellStart"/>
      <w:r w:rsidRPr="003D6992">
        <w:rPr>
          <w:b/>
          <w:bCs/>
        </w:rPr>
        <w:t>i</w:t>
      </w:r>
      <w:proofErr w:type="spellEnd"/>
      <w:r w:rsidRPr="003D6992">
        <w:rPr>
          <w:b/>
          <w:bCs/>
        </w:rPr>
        <w:t xml:space="preserve">) requires us to have regard to whether </w:t>
      </w:r>
      <w:r w:rsidR="00AA1D9F">
        <w:rPr>
          <w:b/>
          <w:bCs/>
        </w:rPr>
        <w:t>Greater Western Water</w:t>
      </w:r>
      <w:r w:rsidRPr="003D6992">
        <w:rPr>
          <w:b/>
          <w:bCs/>
        </w:rPr>
        <w:t xml:space="preserve">’s prices ‘enable customers or potential customers of the regulated entity to easily understand prices charged by the regulated entity for prescribed services or the manner in which such prices are calculated, determined or otherwise regulated’.  </w:t>
      </w:r>
    </w:p>
    <w:p w14:paraId="1732ED84" w14:textId="6BBC6DA4" w:rsidR="00456FD5" w:rsidRPr="00636564" w:rsidRDefault="00456FD5" w:rsidP="00456FD5">
      <w:r w:rsidRPr="00636564">
        <w:t xml:space="preserve">We consider that the following matters are relevant when considering whether </w:t>
      </w:r>
      <w:r w:rsidR="00AA1D9F">
        <w:t>Greater Western Water</w:t>
      </w:r>
      <w:r w:rsidRPr="00636564">
        <w:t xml:space="preserve">’s prices enable customers or potential customers to easily understand prices, or the </w:t>
      </w:r>
      <w:proofErr w:type="gramStart"/>
      <w:r w:rsidRPr="00636564">
        <w:t>manner in which</w:t>
      </w:r>
      <w:proofErr w:type="gramEnd"/>
      <w:r w:rsidRPr="00636564">
        <w:t xml:space="preserve"> prices are calculated, determined or otherwise regulated:</w:t>
      </w:r>
    </w:p>
    <w:p w14:paraId="17CEA750" w14:textId="77777777" w:rsidR="00456FD5" w:rsidRPr="00636564" w:rsidRDefault="00456FD5" w:rsidP="00ED1290">
      <w:pPr>
        <w:pStyle w:val="ListBullet"/>
      </w:pPr>
      <w:r w:rsidRPr="00636564">
        <w:t xml:space="preserve">feedback from customers during a water corporation’s engagement </w:t>
      </w:r>
    </w:p>
    <w:p w14:paraId="6DF5710A" w14:textId="77777777" w:rsidR="00456FD5" w:rsidRPr="00636564" w:rsidRDefault="00456FD5" w:rsidP="00ED1290">
      <w:pPr>
        <w:pStyle w:val="ListBullet"/>
      </w:pPr>
      <w:r w:rsidRPr="00636564">
        <w:t>the structure of individual tariffs</w:t>
      </w:r>
    </w:p>
    <w:p w14:paraId="7BFE89AF" w14:textId="77777777" w:rsidR="00456FD5" w:rsidRPr="00636564" w:rsidRDefault="00456FD5" w:rsidP="00ED1290">
      <w:pPr>
        <w:pStyle w:val="ListBullet"/>
      </w:pPr>
      <w:r w:rsidRPr="00636564">
        <w:t>the proposed form of price control</w:t>
      </w:r>
    </w:p>
    <w:p w14:paraId="6EF504EB" w14:textId="77777777" w:rsidR="00456FD5" w:rsidRPr="00636564" w:rsidRDefault="00456FD5" w:rsidP="00ED1290">
      <w:pPr>
        <w:pStyle w:val="ListBullet"/>
      </w:pPr>
      <w:r w:rsidRPr="00636564">
        <w:t>any changes to tariffs and how water corporations explain them to customers.</w:t>
      </w:r>
    </w:p>
    <w:p w14:paraId="48CA9F6F" w14:textId="77777777" w:rsidR="00456FD5" w:rsidRPr="00636564" w:rsidRDefault="00456FD5" w:rsidP="00456FD5">
      <w:r w:rsidRPr="00636564">
        <w:t>The following sections of our draft decision involved consideration of this factor:</w:t>
      </w:r>
    </w:p>
    <w:p w14:paraId="20534D1A" w14:textId="77777777" w:rsidR="00456FD5" w:rsidRPr="00636564" w:rsidRDefault="00456FD5" w:rsidP="00ED1290">
      <w:pPr>
        <w:pStyle w:val="ListBullet"/>
      </w:pPr>
      <w:r w:rsidRPr="00636564">
        <w:t>Our consideration of tariffs and the form of price control (Section 5.2 and Section 5.3).</w:t>
      </w:r>
    </w:p>
    <w:p w14:paraId="36C1A7E0" w14:textId="0FBAC11A" w:rsidR="00456FD5" w:rsidRPr="003D6992" w:rsidRDefault="00456FD5" w:rsidP="00456FD5">
      <w:pPr>
        <w:rPr>
          <w:b/>
          <w:bCs/>
        </w:rPr>
      </w:pPr>
      <w:r w:rsidRPr="003D6992">
        <w:rPr>
          <w:b/>
          <w:bCs/>
        </w:rPr>
        <w:t xml:space="preserve">WIRO Clause 11(d)(ii) requires us to have regard to whether </w:t>
      </w:r>
      <w:r w:rsidR="00AA1D9F">
        <w:rPr>
          <w:b/>
          <w:bCs/>
        </w:rPr>
        <w:t>Greater Western Water</w:t>
      </w:r>
      <w:r w:rsidRPr="003D6992">
        <w:rPr>
          <w:b/>
          <w:bCs/>
        </w:rPr>
        <w:t xml:space="preserve">’s prices ‘provide signals about the efficient costs of providing prescribed services to customers while avoiding price shocks where possible’.  </w:t>
      </w:r>
    </w:p>
    <w:p w14:paraId="3E521684" w14:textId="77777777" w:rsidR="00456FD5" w:rsidRPr="00636564" w:rsidRDefault="00456FD5" w:rsidP="00456FD5">
      <w:r w:rsidRPr="00636564">
        <w:t xml:space="preserve">We consider prices can provide signals about efficient costs when a tariff is applied to customers benefiting from the service covered by the tariff, and tariffs send appropriate signals about efficient costs. </w:t>
      </w:r>
    </w:p>
    <w:p w14:paraId="6E368D22" w14:textId="77777777" w:rsidR="00456FD5" w:rsidRPr="00636564" w:rsidRDefault="00456FD5" w:rsidP="00813046">
      <w:r w:rsidRPr="00636564">
        <w:t>The following chapters and sections of our draft decision involved consideration of this factor:</w:t>
      </w:r>
    </w:p>
    <w:p w14:paraId="3DD1409F" w14:textId="77777777" w:rsidR="00456FD5" w:rsidRPr="00636564" w:rsidRDefault="00456FD5" w:rsidP="00ED1290">
      <w:pPr>
        <w:pStyle w:val="ListBullet"/>
      </w:pPr>
      <w:r w:rsidRPr="00636564">
        <w:t>Our consideration of customer engagement (Section 3.1).</w:t>
      </w:r>
    </w:p>
    <w:p w14:paraId="1FA8E390" w14:textId="77777777" w:rsidR="00456FD5" w:rsidRPr="00636564" w:rsidRDefault="00456FD5" w:rsidP="00ED1290">
      <w:pPr>
        <w:pStyle w:val="ListBullet"/>
      </w:pPr>
      <w:r w:rsidRPr="00636564">
        <w:t>Our assessment of the revenue requirement (Chapter 4).</w:t>
      </w:r>
    </w:p>
    <w:p w14:paraId="2D2ECFF3" w14:textId="77777777" w:rsidR="00456FD5" w:rsidRPr="00636564" w:rsidRDefault="00456FD5" w:rsidP="00ED1290">
      <w:pPr>
        <w:pStyle w:val="ListBullet"/>
      </w:pPr>
      <w:r w:rsidRPr="00636564">
        <w:t>Our assessment of efficient operating expenditure (Section 4.1) and capital expenditure (Section 4.2).</w:t>
      </w:r>
    </w:p>
    <w:p w14:paraId="77EC5F70" w14:textId="77777777" w:rsidR="00456FD5" w:rsidRPr="00636564" w:rsidRDefault="00456FD5" w:rsidP="00ED1290">
      <w:pPr>
        <w:pStyle w:val="ListBullet"/>
      </w:pPr>
      <w:r w:rsidRPr="00636564">
        <w:t>Our assessment of tariffs (Section 5.3).</w:t>
      </w:r>
    </w:p>
    <w:p w14:paraId="42163470" w14:textId="21308189" w:rsidR="00456FD5" w:rsidRPr="003D6992" w:rsidRDefault="00456FD5" w:rsidP="00456FD5">
      <w:pPr>
        <w:rPr>
          <w:b/>
          <w:bCs/>
        </w:rPr>
      </w:pPr>
      <w:r w:rsidRPr="003D6992">
        <w:rPr>
          <w:b/>
          <w:bCs/>
        </w:rPr>
        <w:t xml:space="preserve">WIRO Clause 11(d)(iii) requires us to have regard to whether </w:t>
      </w:r>
      <w:r w:rsidR="00AA1D9F">
        <w:rPr>
          <w:b/>
          <w:bCs/>
        </w:rPr>
        <w:t>Greater Western Water</w:t>
      </w:r>
      <w:r w:rsidRPr="003D6992">
        <w:rPr>
          <w:b/>
          <w:bCs/>
        </w:rPr>
        <w:t xml:space="preserve">’s prices ‘take into account the interests of customers of the regulated entity, including low income and vulnerable </w:t>
      </w:r>
      <w:proofErr w:type="gramStart"/>
      <w:r w:rsidRPr="003D6992">
        <w:rPr>
          <w:b/>
          <w:bCs/>
        </w:rPr>
        <w:t>customers’</w:t>
      </w:r>
      <w:proofErr w:type="gramEnd"/>
      <w:r w:rsidRPr="003D6992">
        <w:rPr>
          <w:b/>
          <w:bCs/>
        </w:rPr>
        <w:t xml:space="preserve">.  </w:t>
      </w:r>
    </w:p>
    <w:p w14:paraId="72612830" w14:textId="77777777" w:rsidR="009B319E" w:rsidRDefault="00255204" w:rsidP="00456FD5">
      <w:r>
        <w:t xml:space="preserve">We consider that customer </w:t>
      </w:r>
      <w:r w:rsidR="0050466C">
        <w:t>value established through prices and customer outcomes, as well as tariff structure</w:t>
      </w:r>
      <w:r w:rsidR="009B319E">
        <w:t>s, assistance available to customers having difficulty paying bills is relevant to this objective.</w:t>
      </w:r>
    </w:p>
    <w:p w14:paraId="68E68420" w14:textId="4E1439A2" w:rsidR="00456FD5" w:rsidRPr="00636564" w:rsidRDefault="000C3A15" w:rsidP="00456FD5">
      <w:r>
        <w:t xml:space="preserve">The following chapters and sections of our draft decision involved consideration of </w:t>
      </w:r>
      <w:r w:rsidR="00CA1149">
        <w:t>this factor:</w:t>
      </w:r>
    </w:p>
    <w:p w14:paraId="173DA210" w14:textId="1F637F4F" w:rsidR="00813046" w:rsidRPr="00691513" w:rsidRDefault="00813046" w:rsidP="00ED1290">
      <w:pPr>
        <w:pStyle w:val="ListBullet"/>
      </w:pPr>
      <w:r w:rsidRPr="00691513">
        <w:t xml:space="preserve">Our consideration of customer </w:t>
      </w:r>
      <w:r w:rsidR="00CA1149" w:rsidRPr="00691513">
        <w:t xml:space="preserve">engagement </w:t>
      </w:r>
      <w:r w:rsidRPr="00691513">
        <w:t>(</w:t>
      </w:r>
      <w:r w:rsidR="00CA1149" w:rsidRPr="00691513">
        <w:t>Section 3.1</w:t>
      </w:r>
      <w:r w:rsidRPr="00691513">
        <w:t xml:space="preserve">) </w:t>
      </w:r>
    </w:p>
    <w:p w14:paraId="26A9C265" w14:textId="19F05184" w:rsidR="0028149E" w:rsidRPr="00691513" w:rsidRDefault="0028149E" w:rsidP="00ED1290">
      <w:pPr>
        <w:pStyle w:val="ListBullet"/>
      </w:pPr>
      <w:r w:rsidRPr="00691513">
        <w:lastRenderedPageBreak/>
        <w:t>Our consideration of outcomes (Section 3.2)</w:t>
      </w:r>
    </w:p>
    <w:p w14:paraId="010D311C" w14:textId="53DB2B89" w:rsidR="0028149E" w:rsidRPr="00691513" w:rsidRDefault="0028149E" w:rsidP="00ED1290">
      <w:pPr>
        <w:pStyle w:val="ListBullet"/>
      </w:pPr>
      <w:r w:rsidRPr="00691513">
        <w:t>Our consideration of guaranteed service levels (Section 3.</w:t>
      </w:r>
      <w:r w:rsidR="00691513" w:rsidRPr="00691513">
        <w:t>4)</w:t>
      </w:r>
    </w:p>
    <w:p w14:paraId="0F629E11" w14:textId="65764530" w:rsidR="00B278EA" w:rsidRPr="00691513" w:rsidRDefault="00813046" w:rsidP="00ED1290">
      <w:pPr>
        <w:pStyle w:val="ListBullet"/>
      </w:pPr>
      <w:r w:rsidRPr="00691513">
        <w:t>O</w:t>
      </w:r>
      <w:r w:rsidR="00B278EA" w:rsidRPr="00691513">
        <w:t>u</w:t>
      </w:r>
      <w:r w:rsidRPr="00691513">
        <w:t xml:space="preserve">r assessment of </w:t>
      </w:r>
      <w:r w:rsidR="00B278EA" w:rsidRPr="00691513">
        <w:t>tariff structure and prices (</w:t>
      </w:r>
      <w:r w:rsidR="00E97F31" w:rsidRPr="00691513">
        <w:t xml:space="preserve">Chapter 5) </w:t>
      </w:r>
    </w:p>
    <w:p w14:paraId="47824DD3" w14:textId="300BACF2" w:rsidR="00456FD5" w:rsidRPr="00636564" w:rsidRDefault="00456FD5" w:rsidP="00456FD5">
      <w:pPr>
        <w:pStyle w:val="Heading2"/>
      </w:pPr>
      <w:bookmarkStart w:id="157" w:name="_Toc122514889"/>
      <w:bookmarkStart w:id="158" w:name="_Toc150515725"/>
      <w:bookmarkStart w:id="159" w:name="_Toc161401020"/>
      <w:r w:rsidRPr="00636564">
        <w:t>Health, safety, environmental and social obligations</w:t>
      </w:r>
      <w:bookmarkEnd w:id="157"/>
      <w:bookmarkEnd w:id="158"/>
      <w:bookmarkEnd w:id="159"/>
    </w:p>
    <w:p w14:paraId="6CF067F9" w14:textId="77777777" w:rsidR="00456FD5" w:rsidRPr="003D6992" w:rsidRDefault="00456FD5" w:rsidP="00456FD5">
      <w:pPr>
        <w:rPr>
          <w:b/>
          <w:bCs/>
        </w:rPr>
      </w:pPr>
      <w:r w:rsidRPr="003D6992">
        <w:rPr>
          <w:b/>
          <w:bCs/>
        </w:rPr>
        <w:t xml:space="preserve">ESC Act Section 8A(1)(d) requires us to have regard to ‘the relevant health, safety, environmental and social legislation applying to the industry’.  </w:t>
      </w:r>
    </w:p>
    <w:p w14:paraId="5DD1B0DE" w14:textId="05E33088" w:rsidR="00456FD5" w:rsidRPr="00636564" w:rsidRDefault="00456FD5" w:rsidP="00456FD5">
      <w:r w:rsidRPr="00636564">
        <w:t xml:space="preserve">Our draft decision proposes to approve a revenue requirement that will enable </w:t>
      </w:r>
      <w:r w:rsidR="00AA1D9F">
        <w:t>Greater Western Water</w:t>
      </w:r>
      <w:r w:rsidRPr="00636564">
        <w:t xml:space="preserve"> to deliver the outcomes valued by customers, and on its legal and regulatory obligations.  </w:t>
      </w:r>
    </w:p>
    <w:p w14:paraId="507B26C3" w14:textId="77777777" w:rsidR="00456FD5" w:rsidRPr="00636564" w:rsidRDefault="00456FD5" w:rsidP="00456FD5">
      <w:r w:rsidRPr="00636564">
        <w:t>The following chapters and sections of our draft decision involved consideration of this factor:</w:t>
      </w:r>
    </w:p>
    <w:p w14:paraId="1F8AF92F" w14:textId="77777777" w:rsidR="00456FD5" w:rsidRPr="00636564" w:rsidRDefault="00456FD5" w:rsidP="00ED1290">
      <w:pPr>
        <w:pStyle w:val="ListBullet"/>
      </w:pPr>
      <w:r w:rsidRPr="00636564">
        <w:t>Our assessment of the revenue requirement (Chapter 4).</w:t>
      </w:r>
    </w:p>
    <w:p w14:paraId="31863A98" w14:textId="77777777" w:rsidR="00456FD5" w:rsidRPr="00636564" w:rsidRDefault="00456FD5" w:rsidP="00ED1290">
      <w:pPr>
        <w:pStyle w:val="ListBullet"/>
      </w:pPr>
      <w:r w:rsidRPr="00636564">
        <w:t>Our assessment of efficient operating expenditure (Section 4.1) and capital expenditure (Section 4.2).</w:t>
      </w:r>
    </w:p>
    <w:p w14:paraId="0582ADBE" w14:textId="77777777" w:rsidR="00456FD5" w:rsidRPr="00636564" w:rsidRDefault="00456FD5" w:rsidP="00ED1290">
      <w:pPr>
        <w:pStyle w:val="ListBullet"/>
      </w:pPr>
      <w:r w:rsidRPr="00636564">
        <w:t>Our assessment of the form of price control (Section 5.2).</w:t>
      </w:r>
    </w:p>
    <w:p w14:paraId="0150014F" w14:textId="77777777" w:rsidR="00456FD5" w:rsidRPr="003D6992" w:rsidRDefault="00456FD5" w:rsidP="00456FD5">
      <w:pPr>
        <w:rPr>
          <w:b/>
          <w:bCs/>
        </w:rPr>
      </w:pPr>
      <w:r w:rsidRPr="003D6992">
        <w:rPr>
          <w:b/>
          <w:bCs/>
        </w:rPr>
        <w:t xml:space="preserve">WI Act section 4C(c) requires us to ‘ensure that regulatory decision making has regard to the health, safety, environmental sustainability (including water conservation) and social obligations of regulated </w:t>
      </w:r>
      <w:proofErr w:type="gramStart"/>
      <w:r w:rsidRPr="003D6992">
        <w:rPr>
          <w:b/>
          <w:bCs/>
        </w:rPr>
        <w:t>entities’</w:t>
      </w:r>
      <w:proofErr w:type="gramEnd"/>
      <w:r w:rsidRPr="003D6992">
        <w:rPr>
          <w:b/>
          <w:bCs/>
        </w:rPr>
        <w:t xml:space="preserve">.  </w:t>
      </w:r>
    </w:p>
    <w:p w14:paraId="754ED869" w14:textId="096BBEBC" w:rsidR="00456FD5" w:rsidRPr="00636564" w:rsidRDefault="00456FD5" w:rsidP="00456FD5">
      <w:r w:rsidRPr="00636564">
        <w:t xml:space="preserve">Our draft decision proposes to approve a revenue requirement that will enable </w:t>
      </w:r>
      <w:r w:rsidR="00AA1D9F">
        <w:t>Greater Western Water</w:t>
      </w:r>
      <w:r w:rsidRPr="00636564">
        <w:t xml:space="preserve"> to deliver the outcomes valued by customers, and on its health, safety, environmental </w:t>
      </w:r>
      <w:proofErr w:type="gramStart"/>
      <w:r w:rsidRPr="00636564">
        <w:t>sustainability</w:t>
      </w:r>
      <w:proofErr w:type="gramEnd"/>
      <w:r w:rsidRPr="00636564">
        <w:t xml:space="preserve"> and social obligations. </w:t>
      </w:r>
    </w:p>
    <w:p w14:paraId="6CD1347F" w14:textId="77777777" w:rsidR="00456FD5" w:rsidRPr="00636564" w:rsidRDefault="00456FD5" w:rsidP="00456FD5">
      <w:r w:rsidRPr="00636564">
        <w:t>The following chapters and sections of our draft decision involved consideration of this factor:</w:t>
      </w:r>
    </w:p>
    <w:p w14:paraId="30D7D75C" w14:textId="77777777" w:rsidR="00456FD5" w:rsidRPr="00636564" w:rsidRDefault="00456FD5" w:rsidP="00ED1290">
      <w:pPr>
        <w:pStyle w:val="ListBullet"/>
      </w:pPr>
      <w:r w:rsidRPr="00636564">
        <w:t>Our assessment of the revenue requirement (Chapter 4).</w:t>
      </w:r>
    </w:p>
    <w:p w14:paraId="636DBB90" w14:textId="77777777" w:rsidR="00456FD5" w:rsidRPr="00636564" w:rsidRDefault="00456FD5" w:rsidP="00ED1290">
      <w:pPr>
        <w:pStyle w:val="ListBullet"/>
      </w:pPr>
      <w:r w:rsidRPr="00636564">
        <w:t>Our assessment of efficient operating expenditure (Section 4.1) and capital expenditure (Section 4.2).</w:t>
      </w:r>
    </w:p>
    <w:p w14:paraId="03C166AC" w14:textId="77777777" w:rsidR="00456FD5" w:rsidRPr="00636564" w:rsidRDefault="00456FD5" w:rsidP="00ED1290">
      <w:pPr>
        <w:pStyle w:val="ListBullet"/>
      </w:pPr>
      <w:r w:rsidRPr="00636564">
        <w:t>Our assessment of tariffs (Section 5.3).</w:t>
      </w:r>
    </w:p>
    <w:p w14:paraId="2D8C826B" w14:textId="08F38C6F" w:rsidR="00456FD5" w:rsidRPr="00636564" w:rsidRDefault="00456FD5" w:rsidP="00456FD5">
      <w:pPr>
        <w:pStyle w:val="Heading2"/>
      </w:pPr>
      <w:bookmarkStart w:id="160" w:name="_Toc122514890"/>
      <w:bookmarkStart w:id="161" w:name="_Toc150515726"/>
      <w:bookmarkStart w:id="162" w:name="_Toc161401021"/>
      <w:r w:rsidRPr="00636564">
        <w:t>Other matters</w:t>
      </w:r>
      <w:bookmarkEnd w:id="160"/>
      <w:bookmarkEnd w:id="161"/>
      <w:bookmarkEnd w:id="162"/>
    </w:p>
    <w:p w14:paraId="0274039D" w14:textId="77777777" w:rsidR="00456FD5" w:rsidRPr="003D6992" w:rsidRDefault="00456FD5" w:rsidP="00456FD5">
      <w:pPr>
        <w:rPr>
          <w:b/>
          <w:bCs/>
        </w:rPr>
      </w:pPr>
      <w:r w:rsidRPr="003D6992">
        <w:rPr>
          <w:b/>
          <w:bCs/>
        </w:rPr>
        <w:t xml:space="preserve">ESC Act section 8A(1)(c) requires us to have regard to ‘the degree of, and scope for, competition within the industry, including countervailing market power and information </w:t>
      </w:r>
      <w:proofErr w:type="gramStart"/>
      <w:r w:rsidRPr="003D6992">
        <w:rPr>
          <w:b/>
          <w:bCs/>
        </w:rPr>
        <w:t>asymmetries’</w:t>
      </w:r>
      <w:proofErr w:type="gramEnd"/>
      <w:r w:rsidRPr="003D6992">
        <w:rPr>
          <w:b/>
          <w:bCs/>
        </w:rPr>
        <w:t xml:space="preserve">.  </w:t>
      </w:r>
    </w:p>
    <w:p w14:paraId="37BB4F1D" w14:textId="3BD67BCB" w:rsidR="00456FD5" w:rsidRPr="00636564" w:rsidRDefault="00456FD5" w:rsidP="00456FD5">
      <w:r w:rsidRPr="00636564">
        <w:t xml:space="preserve">In relation to the above, </w:t>
      </w:r>
      <w:r w:rsidR="00AA1D9F">
        <w:t>Greater Western Water</w:t>
      </w:r>
      <w:r w:rsidRPr="00636564">
        <w:t xml:space="preserve"> does not face any competition in the delivery of its prescribed services within its region. Our draft decision takes this into account through our consideration of forecast efficient </w:t>
      </w:r>
      <w:proofErr w:type="gramStart"/>
      <w:r w:rsidRPr="00636564">
        <w:t>costs, and</w:t>
      </w:r>
      <w:proofErr w:type="gramEnd"/>
      <w:r w:rsidRPr="00636564">
        <w:t xml:space="preserve"> considering the service priorities of customers as revealed through a business’s customer engagement. </w:t>
      </w:r>
    </w:p>
    <w:p w14:paraId="27D6E467" w14:textId="77777777" w:rsidR="00456FD5" w:rsidRPr="00636564" w:rsidRDefault="00456FD5" w:rsidP="00456FD5">
      <w:r w:rsidRPr="00636564">
        <w:lastRenderedPageBreak/>
        <w:t>The following sections of our draft decision involved consideration of this factor:</w:t>
      </w:r>
    </w:p>
    <w:p w14:paraId="7A051E3A" w14:textId="77777777" w:rsidR="00456FD5" w:rsidRPr="00636564" w:rsidRDefault="00456FD5" w:rsidP="00ED1290">
      <w:pPr>
        <w:pStyle w:val="ListBullet"/>
      </w:pPr>
      <w:r w:rsidRPr="00636564">
        <w:t>Our assessment of engagement (Section 3.1)</w:t>
      </w:r>
    </w:p>
    <w:p w14:paraId="31659CF8" w14:textId="77777777" w:rsidR="00456FD5" w:rsidRPr="00636564" w:rsidRDefault="00456FD5" w:rsidP="00ED1290">
      <w:pPr>
        <w:pStyle w:val="ListBullet"/>
      </w:pPr>
      <w:r w:rsidRPr="00636564">
        <w:t>Our assessment of outcomes (Section 3.2)</w:t>
      </w:r>
    </w:p>
    <w:p w14:paraId="2243A05A" w14:textId="77777777" w:rsidR="00456FD5" w:rsidRPr="00636564" w:rsidRDefault="00456FD5" w:rsidP="00ED1290">
      <w:pPr>
        <w:pStyle w:val="ListBullet"/>
      </w:pPr>
      <w:r w:rsidRPr="00636564">
        <w:t>Our assessment of efficient operating expenditure (Section 4.1) and capital expenditure (Section 4.2).</w:t>
      </w:r>
    </w:p>
    <w:p w14:paraId="176B5066" w14:textId="77777777" w:rsidR="00456FD5" w:rsidRPr="00636564" w:rsidRDefault="00456FD5" w:rsidP="00456FD5">
      <w:r w:rsidRPr="00636564">
        <w:t>We consider that our pricing approach helps to address market power and information asymmetries relating to the water corporations. Our PREMO water pricing approach provides incentives for a water corporation to provide its “best offer” to customers in its price submission. This is described in further detail in a report we released in 2016.</w:t>
      </w:r>
      <w:r>
        <w:rPr>
          <w:rStyle w:val="FootnoteReference"/>
        </w:rPr>
        <w:footnoteReference w:id="127"/>
      </w:r>
      <w:r w:rsidRPr="00636564">
        <w:t xml:space="preserve"> </w:t>
      </w:r>
    </w:p>
    <w:p w14:paraId="0AF81946" w14:textId="77777777" w:rsidR="00456FD5" w:rsidRPr="003D6992" w:rsidRDefault="00456FD5" w:rsidP="00456FD5">
      <w:pPr>
        <w:rPr>
          <w:b/>
          <w:bCs/>
        </w:rPr>
      </w:pPr>
      <w:r w:rsidRPr="003D6992">
        <w:rPr>
          <w:b/>
          <w:bCs/>
        </w:rPr>
        <w:t>ESC Act section 8A(1)(e) requires us to have regard to the ‘benefits and costs of regulation (including externalities and gains from competition and efficiency) for: (</w:t>
      </w:r>
      <w:proofErr w:type="spellStart"/>
      <w:r w:rsidRPr="003D6992">
        <w:rPr>
          <w:b/>
          <w:bCs/>
        </w:rPr>
        <w:t>i</w:t>
      </w:r>
      <w:proofErr w:type="spellEnd"/>
      <w:r w:rsidRPr="003D6992">
        <w:rPr>
          <w:b/>
          <w:bCs/>
        </w:rPr>
        <w:t xml:space="preserve">) consumers and users of products or services (including low income and vulnerable consumers); and (ii) regulated </w:t>
      </w:r>
      <w:proofErr w:type="gramStart"/>
      <w:r w:rsidRPr="003D6992">
        <w:rPr>
          <w:b/>
          <w:bCs/>
        </w:rPr>
        <w:t>entities’</w:t>
      </w:r>
      <w:proofErr w:type="gramEnd"/>
      <w:r w:rsidRPr="003D6992">
        <w:rPr>
          <w:b/>
          <w:bCs/>
        </w:rPr>
        <w:t xml:space="preserve">.  </w:t>
      </w:r>
    </w:p>
    <w:p w14:paraId="6AEE3917" w14:textId="77777777" w:rsidR="00456FD5" w:rsidRPr="00636564" w:rsidRDefault="00456FD5" w:rsidP="00456FD5">
      <w:r w:rsidRPr="00636564">
        <w:t>We have had regard to benefits and costs of regulation by:</w:t>
      </w:r>
    </w:p>
    <w:p w14:paraId="50111D11" w14:textId="77777777" w:rsidR="00456FD5" w:rsidRPr="00636564" w:rsidRDefault="00456FD5" w:rsidP="00ED1290">
      <w:pPr>
        <w:pStyle w:val="ListBullet"/>
      </w:pPr>
      <w:r w:rsidRPr="00636564">
        <w:t xml:space="preserve">Implementing a price review process so that water corporations may receive streamlined price reviews if they submit a </w:t>
      </w:r>
      <w:proofErr w:type="gramStart"/>
      <w:r w:rsidRPr="00636564">
        <w:t>high quality</w:t>
      </w:r>
      <w:proofErr w:type="gramEnd"/>
      <w:r w:rsidRPr="00636564">
        <w:t xml:space="preserve"> price submission. This reduces the costs of regulation for water corporations and the commission. </w:t>
      </w:r>
    </w:p>
    <w:p w14:paraId="3B94FCCD" w14:textId="77777777" w:rsidR="00456FD5" w:rsidRPr="00636564" w:rsidRDefault="00456FD5" w:rsidP="00ED1290">
      <w:pPr>
        <w:pStyle w:val="ListBullet"/>
      </w:pPr>
      <w:r w:rsidRPr="00636564">
        <w:t xml:space="preserve">Focusing our assessments of price submissions on the materiality of proposals to customer interests (including low income and vulnerable services), including in terms of price, </w:t>
      </w:r>
      <w:proofErr w:type="gramStart"/>
      <w:r w:rsidRPr="00636564">
        <w:t>bill</w:t>
      </w:r>
      <w:proofErr w:type="gramEnd"/>
      <w:r w:rsidRPr="00636564">
        <w:t xml:space="preserve"> and service impacts.</w:t>
      </w:r>
    </w:p>
    <w:p w14:paraId="5DB32654" w14:textId="77777777" w:rsidR="00456FD5" w:rsidRPr="00636564" w:rsidRDefault="00456FD5" w:rsidP="00ED1290">
      <w:pPr>
        <w:pStyle w:val="ListBullet"/>
      </w:pPr>
      <w:r w:rsidRPr="00636564">
        <w:t>Designing our guidance so we minimise the compliance costs for water corporations. Our guidance noted that much of the information required in price submissions should be readily available to water corporations as it would be relevant for other purposes such as corporate planning and project prioritisation and justification.</w:t>
      </w:r>
      <w:r>
        <w:rPr>
          <w:rStyle w:val="FootnoteReference"/>
        </w:rPr>
        <w:footnoteReference w:id="128"/>
      </w:r>
      <w:r w:rsidRPr="00636564">
        <w:t xml:space="preserve"> </w:t>
      </w:r>
    </w:p>
    <w:p w14:paraId="3CD246E6" w14:textId="77777777" w:rsidR="00456FD5" w:rsidRPr="003D6992" w:rsidRDefault="00456FD5" w:rsidP="00456FD5">
      <w:pPr>
        <w:rPr>
          <w:b/>
          <w:bCs/>
        </w:rPr>
      </w:pPr>
      <w:r w:rsidRPr="003D6992">
        <w:rPr>
          <w:b/>
          <w:bCs/>
        </w:rPr>
        <w:t xml:space="preserve">ESC Act section 8A(1)(f) requires us to have regard to ‘consistency in regulation between States and on a national </w:t>
      </w:r>
      <w:proofErr w:type="gramStart"/>
      <w:r w:rsidRPr="003D6992">
        <w:rPr>
          <w:b/>
          <w:bCs/>
        </w:rPr>
        <w:t>basis’</w:t>
      </w:r>
      <w:proofErr w:type="gramEnd"/>
      <w:r w:rsidRPr="003D6992">
        <w:rPr>
          <w:b/>
          <w:bCs/>
        </w:rPr>
        <w:t xml:space="preserve">.  </w:t>
      </w:r>
    </w:p>
    <w:p w14:paraId="69F6ABFC" w14:textId="77777777" w:rsidR="00456FD5" w:rsidRPr="00636564" w:rsidRDefault="00456FD5" w:rsidP="00456FD5">
      <w:proofErr w:type="gramStart"/>
      <w:r w:rsidRPr="00636564">
        <w:t>Similar to</w:t>
      </w:r>
      <w:proofErr w:type="gramEnd"/>
      <w:r w:rsidRPr="00636564">
        <w:t xml:space="preserve"> other state and national regulators, our economic regulatory approach:</w:t>
      </w:r>
    </w:p>
    <w:p w14:paraId="3730D8DC" w14:textId="77777777" w:rsidR="00456FD5" w:rsidRPr="00636564" w:rsidRDefault="00456FD5" w:rsidP="00ED1290">
      <w:pPr>
        <w:pStyle w:val="ListBullet"/>
      </w:pPr>
      <w:r w:rsidRPr="00636564">
        <w:t xml:space="preserve">uses the building block method to estimate a water corporation’s revenue </w:t>
      </w:r>
      <w:proofErr w:type="gramStart"/>
      <w:r w:rsidRPr="00636564">
        <w:t>requirement</w:t>
      </w:r>
      <w:proofErr w:type="gramEnd"/>
    </w:p>
    <w:p w14:paraId="67FC427E" w14:textId="77777777" w:rsidR="00456FD5" w:rsidRPr="00636564" w:rsidRDefault="00456FD5" w:rsidP="00ED1290">
      <w:pPr>
        <w:pStyle w:val="ListBullet"/>
      </w:pPr>
      <w:r w:rsidRPr="00636564">
        <w:t xml:space="preserve">allows water corporations to implement various forms of price control, including price caps and revenue </w:t>
      </w:r>
      <w:proofErr w:type="gramStart"/>
      <w:r w:rsidRPr="00636564">
        <w:t>caps</w:t>
      </w:r>
      <w:proofErr w:type="gramEnd"/>
    </w:p>
    <w:p w14:paraId="538FBC0E" w14:textId="77777777" w:rsidR="00456FD5" w:rsidRPr="00636564" w:rsidRDefault="00456FD5" w:rsidP="00ED1290">
      <w:pPr>
        <w:pStyle w:val="ListBullet"/>
      </w:pPr>
      <w:r w:rsidRPr="00636564">
        <w:lastRenderedPageBreak/>
        <w:t>allows for consultation with key stakeholders during a price review, including through the release of a draft decision.</w:t>
      </w:r>
    </w:p>
    <w:p w14:paraId="4C2E4E96" w14:textId="77777777" w:rsidR="00456FD5" w:rsidRPr="003D6992" w:rsidRDefault="00456FD5" w:rsidP="00456FD5">
      <w:pPr>
        <w:rPr>
          <w:b/>
          <w:bCs/>
        </w:rPr>
      </w:pPr>
      <w:r w:rsidRPr="003D6992">
        <w:rPr>
          <w:b/>
          <w:bCs/>
        </w:rPr>
        <w:t xml:space="preserve">WI Act section 4C(a) requires us to ‘ensure that the costs of regulation do not exceed the </w:t>
      </w:r>
      <w:proofErr w:type="gramStart"/>
      <w:r w:rsidRPr="003D6992">
        <w:rPr>
          <w:b/>
          <w:bCs/>
        </w:rPr>
        <w:t>benefits’</w:t>
      </w:r>
      <w:proofErr w:type="gramEnd"/>
      <w:r w:rsidRPr="003D6992">
        <w:rPr>
          <w:b/>
          <w:bCs/>
        </w:rPr>
        <w:t xml:space="preserve">.  </w:t>
      </w:r>
    </w:p>
    <w:p w14:paraId="2789A0BE" w14:textId="77777777" w:rsidR="00456FD5" w:rsidRPr="00636564" w:rsidRDefault="00456FD5" w:rsidP="00456FD5">
      <w:r w:rsidRPr="00636564">
        <w:t>We have sought to ensure that the costs of regulation do not exceed the benefits by:</w:t>
      </w:r>
    </w:p>
    <w:p w14:paraId="65E8611A" w14:textId="77777777" w:rsidR="00456FD5" w:rsidRPr="00636564" w:rsidRDefault="00456FD5" w:rsidP="00ED1290">
      <w:pPr>
        <w:pStyle w:val="ListBullet"/>
      </w:pPr>
      <w:r w:rsidRPr="00636564">
        <w:t xml:space="preserve">Implementing a price review process so that water corporations may receive streamlined price reviews if they submit a </w:t>
      </w:r>
      <w:proofErr w:type="gramStart"/>
      <w:r w:rsidRPr="00636564">
        <w:t>high quality</w:t>
      </w:r>
      <w:proofErr w:type="gramEnd"/>
      <w:r w:rsidRPr="00636564">
        <w:t xml:space="preserve"> price submission. This reduces the costs of regulation for water corporations and the commission. </w:t>
      </w:r>
    </w:p>
    <w:p w14:paraId="1EE2189C" w14:textId="1AAEC240" w:rsidR="00456FD5" w:rsidRPr="00636564" w:rsidRDefault="00456FD5" w:rsidP="00ED1290">
      <w:pPr>
        <w:pStyle w:val="ListBullet"/>
      </w:pPr>
      <w:r w:rsidRPr="00636564">
        <w:t xml:space="preserve">Focusing our assessments of price submissions on the materiality of proposals to customer </w:t>
      </w:r>
      <w:r w:rsidRPr="00377DB9">
        <w:t xml:space="preserve">interests (including </w:t>
      </w:r>
      <w:proofErr w:type="gramStart"/>
      <w:r w:rsidRPr="00377DB9">
        <w:t>low income</w:t>
      </w:r>
      <w:proofErr w:type="gramEnd"/>
      <w:r w:rsidRPr="00377DB9">
        <w:t xml:space="preserve"> </w:t>
      </w:r>
      <w:r w:rsidR="003069AB" w:rsidRPr="00377DB9">
        <w:t xml:space="preserve">customers </w:t>
      </w:r>
      <w:r w:rsidRPr="00377DB9">
        <w:t xml:space="preserve">and </w:t>
      </w:r>
      <w:r w:rsidR="005A4731" w:rsidRPr="00377DB9">
        <w:t>customers</w:t>
      </w:r>
      <w:r w:rsidR="00BA428E" w:rsidRPr="00377DB9">
        <w:t xml:space="preserve"> experiencing vulnerability</w:t>
      </w:r>
      <w:r w:rsidRPr="00377DB9">
        <w:t>), including</w:t>
      </w:r>
      <w:r w:rsidRPr="00636564">
        <w:t xml:space="preserve"> in terms of price, bill and service impacts.</w:t>
      </w:r>
    </w:p>
    <w:p w14:paraId="62D6DD4E" w14:textId="77777777" w:rsidR="00456FD5" w:rsidRPr="00636564" w:rsidRDefault="00456FD5" w:rsidP="00ED1290">
      <w:pPr>
        <w:pStyle w:val="ListBullet"/>
      </w:pPr>
      <w:r w:rsidRPr="00636564">
        <w:t>Designing our guidance so we minimise the compliance costs for water corporations. Our guidance noted that much of the information required in price submissions should be readily available to water corporations as it would be relevant for other purposes such as corporate planning and project prioritisation and justification.</w:t>
      </w:r>
      <w:r>
        <w:rPr>
          <w:rStyle w:val="FootnoteReference"/>
        </w:rPr>
        <w:footnoteReference w:id="129"/>
      </w:r>
      <w:r w:rsidRPr="00636564">
        <w:t xml:space="preserve"> </w:t>
      </w:r>
    </w:p>
    <w:p w14:paraId="67F4E1DC" w14:textId="77777777" w:rsidR="00456FD5" w:rsidRPr="00636564" w:rsidRDefault="00456FD5" w:rsidP="00456FD5"/>
    <w:p w14:paraId="27D878F2" w14:textId="7BBF1059" w:rsidR="001C750A" w:rsidRPr="001C750A" w:rsidRDefault="001C750A" w:rsidP="001C750A"/>
    <w:sectPr w:rsidR="001C750A" w:rsidRPr="001C750A" w:rsidSect="00736B75">
      <w:footerReference w:type="default" r:id="rId43"/>
      <w:pgSz w:w="11906" w:h="16838" w:code="9"/>
      <w:pgMar w:top="1134" w:right="1134" w:bottom="1134" w:left="1134" w:header="709" w:footer="6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D61AF" w14:textId="77777777" w:rsidR="00736B75" w:rsidRDefault="00736B75" w:rsidP="00AE03FA">
      <w:pPr>
        <w:spacing w:after="0"/>
      </w:pPr>
      <w:r>
        <w:separator/>
      </w:r>
    </w:p>
    <w:p w14:paraId="2859494C" w14:textId="77777777" w:rsidR="00736B75" w:rsidRDefault="00736B75"/>
  </w:endnote>
  <w:endnote w:type="continuationSeparator" w:id="0">
    <w:p w14:paraId="1947A67D" w14:textId="77777777" w:rsidR="00736B75" w:rsidRDefault="00736B75" w:rsidP="00AE03FA">
      <w:pPr>
        <w:spacing w:after="0"/>
      </w:pPr>
      <w:r>
        <w:continuationSeparator/>
      </w:r>
    </w:p>
    <w:p w14:paraId="6CCADA68" w14:textId="77777777" w:rsidR="00736B75" w:rsidRDefault="00736B75"/>
  </w:endnote>
  <w:endnote w:type="continuationNotice" w:id="1">
    <w:p w14:paraId="03326B08" w14:textId="77777777" w:rsidR="00736B75" w:rsidRDefault="00736B7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67BC" w14:textId="77777777" w:rsidR="00B11D90" w:rsidRDefault="00B11D9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71BB2" w14:textId="77777777" w:rsidR="00F53B83" w:rsidRDefault="00F53B83" w:rsidP="00F53B83">
    <w:pPr>
      <w:pStyle w:val="FooterSpace"/>
      <w:ind w:right="707"/>
    </w:pPr>
    <w:r w:rsidRPr="00A97818">
      <w:t>Our role and approach to water pricing</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A85963" w14:paraId="23034FAF"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781D9C55" w14:textId="77777777" w:rsidR="00A85963" w:rsidRPr="009E15D6" w:rsidRDefault="00A8596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5114A824" w14:textId="3C426BD5" w:rsidR="00A85963" w:rsidRPr="002C2ADF" w:rsidRDefault="00A85963" w:rsidP="00A236AB">
    <w:pPr>
      <w:pStyle w:val="Footer"/>
      <w:ind w:right="707"/>
      <w:rPr>
        <w:b/>
      </w:rPr>
    </w:pPr>
    <w:r>
      <w:t xml:space="preserve">Essential Services Commission </w:t>
    </w:r>
    <w:sdt>
      <w:sdtPr>
        <w:rPr>
          <w:b/>
        </w:rPr>
        <w:alias w:val="Title"/>
        <w:tag w:val=""/>
        <w:id w:val="531080814"/>
        <w:placeholder>
          <w:docPart w:val="CBB558AD63A54A23BA83322EC5CE4376"/>
        </w:placeholder>
        <w:dataBinding w:prefixMappings="xmlns:ns0='http://purl.org/dc/elements/1.1/' xmlns:ns1='http://schemas.openxmlformats.org/package/2006/metadata/core-properties' " w:xpath="/ns1:coreProperties[1]/ns0:title[1]" w:storeItemID="{6C3C8BC8-F283-45AE-878A-BAB7291924A1}"/>
        <w:text/>
      </w:sdtPr>
      <w:sdtEndPr/>
      <w:sdtContent>
        <w:r w:rsidR="00AA1D9F">
          <w:rPr>
            <w:b/>
          </w:rPr>
          <w:t>Greater Western Water</w:t>
        </w:r>
        <w:r>
          <w:rPr>
            <w:b/>
          </w:rPr>
          <w:t xml:space="preserve"> draft decision</w:t>
        </w:r>
      </w:sdtContent>
    </w:sdt>
    <w:r>
      <w:rPr>
        <w:b/>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9B82D" w14:textId="77777777" w:rsidR="00F53B83" w:rsidRDefault="00F53B83" w:rsidP="00A236AB">
    <w:pPr>
      <w:pStyle w:val="FooterSpace"/>
      <w:ind w:right="707"/>
    </w:pPr>
    <w:r w:rsidRPr="000242A8">
      <w:t xml:space="preserve">Our assessment of </w:t>
    </w:r>
    <w:r>
      <w:t>Greater Western Water</w:t>
    </w:r>
    <w:r w:rsidRPr="000242A8">
      <w:t>’s price submission</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F53B83" w14:paraId="38F401DA"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43EB67A5" w14:textId="77777777" w:rsidR="00F53B83" w:rsidRPr="009E15D6" w:rsidRDefault="00F53B8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03F7EB08" w14:textId="77777777" w:rsidR="00F53B83" w:rsidRPr="002C2ADF" w:rsidRDefault="00F53B83" w:rsidP="00A236AB">
    <w:pPr>
      <w:pStyle w:val="Footer"/>
      <w:ind w:right="707"/>
      <w:rPr>
        <w:b/>
      </w:rPr>
    </w:pPr>
    <w:r>
      <w:t xml:space="preserve">Essential Services Commission </w:t>
    </w:r>
    <w:sdt>
      <w:sdtPr>
        <w:rPr>
          <w:b/>
        </w:rPr>
        <w:alias w:val="Title"/>
        <w:tag w:val=""/>
        <w:id w:val="-2019605654"/>
        <w:placeholder>
          <w:docPart w:val="1AF01A76DD19495EBCF8267E59DE7E6A"/>
        </w:placeholder>
        <w:dataBinding w:prefixMappings="xmlns:ns0='http://purl.org/dc/elements/1.1/' xmlns:ns1='http://schemas.openxmlformats.org/package/2006/metadata/core-properties' " w:xpath="/ns1:coreProperties[1]/ns0:title[1]" w:storeItemID="{6C3C8BC8-F283-45AE-878A-BAB7291924A1}"/>
        <w:text/>
      </w:sdtPr>
      <w:sdtEndPr/>
      <w:sdtContent>
        <w:r>
          <w:rPr>
            <w:b/>
          </w:rPr>
          <w:t>Greater Western Water draft decision</w:t>
        </w:r>
      </w:sdtContent>
    </w:sdt>
    <w:r>
      <w:rPr>
        <w:b/>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F8069" w14:textId="2038D777" w:rsidR="00A12BC9" w:rsidRDefault="00A12BC9" w:rsidP="00A236AB">
    <w:pPr>
      <w:pStyle w:val="FooterSpace"/>
      <w:ind w:right="707"/>
    </w:pPr>
    <w:r>
      <w:t>Customer outcomes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A12BC9" w14:paraId="0968B8B2"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3ACDEF79" w14:textId="77777777" w:rsidR="00A12BC9" w:rsidRPr="009E15D6" w:rsidRDefault="00A12BC9"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11823FEF" w14:textId="3E72F576" w:rsidR="00A12BC9" w:rsidRPr="002C2ADF" w:rsidRDefault="00A12BC9" w:rsidP="00A236AB">
    <w:pPr>
      <w:pStyle w:val="Footer"/>
      <w:ind w:right="707"/>
      <w:rPr>
        <w:b/>
      </w:rPr>
    </w:pPr>
    <w:r>
      <w:t xml:space="preserve">Essential Services Commission </w:t>
    </w:r>
    <w:sdt>
      <w:sdtPr>
        <w:rPr>
          <w:b/>
        </w:rPr>
        <w:alias w:val="Title"/>
        <w:tag w:val=""/>
        <w:id w:val="-1761904198"/>
        <w:placeholder>
          <w:docPart w:val="B4B87671E4104AA3857A6481E2189FCF"/>
        </w:placeholder>
        <w:dataBinding w:prefixMappings="xmlns:ns0='http://purl.org/dc/elements/1.1/' xmlns:ns1='http://schemas.openxmlformats.org/package/2006/metadata/core-properties' " w:xpath="/ns1:coreProperties[1]/ns0:title[1]" w:storeItemID="{6C3C8BC8-F283-45AE-878A-BAB7291924A1}"/>
        <w:text/>
      </w:sdtPr>
      <w:sdtEndPr/>
      <w:sdtContent>
        <w:r w:rsidR="00AA1D9F">
          <w:rPr>
            <w:b/>
          </w:rPr>
          <w:t>Greater Western Water</w:t>
        </w:r>
        <w:r>
          <w:rPr>
            <w:b/>
          </w:rPr>
          <w:t xml:space="preserve"> draft decision</w:t>
        </w:r>
      </w:sdtContent>
    </w:sdt>
    <w:r>
      <w:rPr>
        <w:b/>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9B68A" w14:textId="78E5B075" w:rsidR="00A66EE0" w:rsidRDefault="00A66EE0" w:rsidP="00A236AB">
    <w:pPr>
      <w:pStyle w:val="FooterSpace"/>
      <w:ind w:right="707"/>
    </w:pPr>
    <w:r>
      <w:t>Revenue requirement</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6E766C" w14:paraId="3030D888"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7E697EC2" w14:textId="77777777" w:rsidR="006E766C" w:rsidRPr="009E15D6" w:rsidRDefault="006E766C"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5CEF9D37" w14:textId="30CC0855" w:rsidR="00A66EE0" w:rsidRPr="002C2ADF" w:rsidRDefault="006E766C" w:rsidP="00A236AB">
    <w:pPr>
      <w:pStyle w:val="Footer"/>
      <w:ind w:right="707"/>
      <w:rPr>
        <w:b/>
      </w:rPr>
    </w:pPr>
    <w:r>
      <w:t xml:space="preserve">Essential Services Commission </w:t>
    </w:r>
    <w:sdt>
      <w:sdtPr>
        <w:rPr>
          <w:b/>
        </w:rPr>
        <w:alias w:val="Title"/>
        <w:tag w:val=""/>
        <w:id w:val="1211313634"/>
        <w:placeholder>
          <w:docPart w:val="2E62AC3538364BBE8F79A1B85B60A21C"/>
        </w:placeholder>
        <w:dataBinding w:prefixMappings="xmlns:ns0='http://purl.org/dc/elements/1.1/' xmlns:ns1='http://schemas.openxmlformats.org/package/2006/metadata/core-properties' " w:xpath="/ns1:coreProperties[1]/ns0:title[1]" w:storeItemID="{6C3C8BC8-F283-45AE-878A-BAB7291924A1}"/>
        <w:text/>
      </w:sdtPr>
      <w:sdtEndPr/>
      <w:sdtContent>
        <w:r>
          <w:rPr>
            <w:b/>
          </w:rPr>
          <w:t>Greater Western Water draft decision</w:t>
        </w:r>
      </w:sdtContent>
    </w:sdt>
    <w:r>
      <w:rPr>
        <w:b/>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C7429" w14:textId="2B5901D9" w:rsidR="00BB45EB" w:rsidRDefault="00BB45EB" w:rsidP="00A236AB">
    <w:pPr>
      <w:pStyle w:val="FooterSpace"/>
      <w:ind w:right="707"/>
    </w:pPr>
    <w:r w:rsidRPr="00BB45EB">
      <w:t xml:space="preserve">Demand, tariffs and </w:t>
    </w:r>
    <w:proofErr w:type="gramStart"/>
    <w:r w:rsidRPr="00BB45EB">
      <w:t>prices</w:t>
    </w:r>
    <w:proofErr w:type="gramEnd"/>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BB45EB" w14:paraId="4F948FD6"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4811025D" w14:textId="77777777" w:rsidR="00BB45EB" w:rsidRPr="009E15D6" w:rsidRDefault="00BB45EB"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115EEDB8" w14:textId="0B3741B1" w:rsidR="00BB45EB" w:rsidRPr="002C2ADF" w:rsidRDefault="00BB45EB" w:rsidP="00A236AB">
    <w:pPr>
      <w:pStyle w:val="Footer"/>
      <w:ind w:right="707"/>
      <w:rPr>
        <w:b/>
      </w:rPr>
    </w:pPr>
    <w:r>
      <w:t xml:space="preserve">Essential Services Commission </w:t>
    </w:r>
    <w:sdt>
      <w:sdtPr>
        <w:rPr>
          <w:b/>
        </w:rPr>
        <w:alias w:val="Title"/>
        <w:tag w:val=""/>
        <w:id w:val="-608437720"/>
        <w:dataBinding w:prefixMappings="xmlns:ns0='http://purl.org/dc/elements/1.1/' xmlns:ns1='http://schemas.openxmlformats.org/package/2006/metadata/core-properties' " w:xpath="/ns1:coreProperties[1]/ns0:title[1]" w:storeItemID="{6C3C8BC8-F283-45AE-878A-BAB7291924A1}"/>
        <w:text/>
      </w:sdtPr>
      <w:sdtEndPr/>
      <w:sdtContent>
        <w:r w:rsidR="00AA1D9F">
          <w:rPr>
            <w:b/>
          </w:rPr>
          <w:t>Greater Western Water</w:t>
        </w:r>
        <w:r>
          <w:rPr>
            <w:b/>
          </w:rPr>
          <w:t xml:space="preserve"> draft decision</w:t>
        </w:r>
      </w:sdtContent>
    </w:sdt>
    <w:r>
      <w:rPr>
        <w:b/>
      </w:rPr>
      <w:t xml:space="preserve">   </w:t>
    </w:r>
  </w:p>
  <w:p w14:paraId="225F85EB" w14:textId="77777777" w:rsidR="00BB45EB" w:rsidRDefault="00BB45E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716C6" w14:textId="2F32B743" w:rsidR="00BF7DEC" w:rsidRDefault="00BF7DEC" w:rsidP="00A236AB">
    <w:pPr>
      <w:pStyle w:val="FooterSpace"/>
      <w:ind w:right="707"/>
    </w:pPr>
    <w:r>
      <w:t>Financial position</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BF7DEC" w14:paraId="62E0BC59"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1E815684" w14:textId="77777777" w:rsidR="00BF7DEC" w:rsidRPr="009E15D6" w:rsidRDefault="00BF7DEC"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62A69D96" w14:textId="3ED1F4DF" w:rsidR="00BF7DEC" w:rsidRPr="002C2ADF" w:rsidRDefault="00BF7DEC" w:rsidP="00A236AB">
    <w:pPr>
      <w:pStyle w:val="Footer"/>
      <w:ind w:right="707"/>
      <w:rPr>
        <w:b/>
      </w:rPr>
    </w:pPr>
    <w:r>
      <w:t xml:space="preserve">Essential Services Commission </w:t>
    </w:r>
    <w:sdt>
      <w:sdtPr>
        <w:rPr>
          <w:b/>
        </w:rPr>
        <w:alias w:val="Title"/>
        <w:tag w:val=""/>
        <w:id w:val="378051864"/>
        <w:placeholder>
          <w:docPart w:val="307D8913B3F44B87874977D2938EAB5A"/>
        </w:placeholder>
        <w:dataBinding w:prefixMappings="xmlns:ns0='http://purl.org/dc/elements/1.1/' xmlns:ns1='http://schemas.openxmlformats.org/package/2006/metadata/core-properties' " w:xpath="/ns1:coreProperties[1]/ns0:title[1]" w:storeItemID="{6C3C8BC8-F283-45AE-878A-BAB7291924A1}"/>
        <w:text/>
      </w:sdtPr>
      <w:sdtEndPr/>
      <w:sdtContent>
        <w:r w:rsidR="00AA1D9F">
          <w:rPr>
            <w:b/>
          </w:rPr>
          <w:t>Greater Western Water</w:t>
        </w:r>
        <w:r>
          <w:rPr>
            <w:b/>
          </w:rPr>
          <w:t xml:space="preserve"> draft decision</w:t>
        </w:r>
      </w:sdtContent>
    </w:sdt>
    <w:r>
      <w:rPr>
        <w:b/>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8894F" w14:textId="0C0234E7" w:rsidR="008706A9" w:rsidRDefault="008706A9" w:rsidP="00A236AB">
    <w:pPr>
      <w:pStyle w:val="FooterSpace"/>
      <w:ind w:right="707"/>
    </w:pPr>
    <w:r>
      <w:t>PREMO rating</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8706A9" w14:paraId="68A1FACD"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40C88BA4" w14:textId="77777777" w:rsidR="008706A9" w:rsidRPr="009E15D6" w:rsidRDefault="008706A9"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291F7DB7" w14:textId="70BE7ABE" w:rsidR="008706A9" w:rsidRPr="002C2ADF" w:rsidRDefault="008706A9" w:rsidP="00A236AB">
    <w:pPr>
      <w:pStyle w:val="Footer"/>
      <w:ind w:right="707"/>
      <w:rPr>
        <w:b/>
      </w:rPr>
    </w:pPr>
    <w:r>
      <w:t xml:space="preserve">Essential Services Commission </w:t>
    </w:r>
    <w:sdt>
      <w:sdtPr>
        <w:rPr>
          <w:b/>
        </w:rPr>
        <w:alias w:val="Title"/>
        <w:tag w:val=""/>
        <w:id w:val="1201286275"/>
        <w:placeholder>
          <w:docPart w:val="567F915EBA9D43F3BFA4445247AF7E8D"/>
        </w:placeholder>
        <w:dataBinding w:prefixMappings="xmlns:ns0='http://purl.org/dc/elements/1.1/' xmlns:ns1='http://schemas.openxmlformats.org/package/2006/metadata/core-properties' " w:xpath="/ns1:coreProperties[1]/ns0:title[1]" w:storeItemID="{6C3C8BC8-F283-45AE-878A-BAB7291924A1}"/>
        <w:text/>
      </w:sdtPr>
      <w:sdtEndPr/>
      <w:sdtContent>
        <w:r w:rsidR="00AA1D9F">
          <w:rPr>
            <w:b/>
          </w:rPr>
          <w:t>Greater Western Water</w:t>
        </w:r>
        <w:r>
          <w:rPr>
            <w:b/>
          </w:rPr>
          <w:t xml:space="preserve"> draft decision</w:t>
        </w:r>
      </w:sdtContent>
    </w:sdt>
    <w:r>
      <w:rPr>
        <w:b/>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A0B22" w14:textId="77777777" w:rsidR="00A46468" w:rsidRDefault="00A46468" w:rsidP="00A236AB">
    <w:pPr>
      <w:pStyle w:val="FooterSpace"/>
      <w:ind w:right="707"/>
    </w:pPr>
    <w:r>
      <w:t xml:space="preserve">Submissions </w:t>
    </w:r>
    <w:proofErr w:type="gramStart"/>
    <w:r>
      <w:t>received</w:t>
    </w:r>
    <w:proofErr w:type="gramEnd"/>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A46468" w14:paraId="53A00420"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09A9D6BF" w14:textId="77777777" w:rsidR="00A46468" w:rsidRPr="009E15D6" w:rsidRDefault="00A46468"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3CCB15F1" w14:textId="2EA5B5BF" w:rsidR="00A46468" w:rsidRPr="002C2ADF" w:rsidRDefault="00A46468" w:rsidP="00A236AB">
    <w:pPr>
      <w:pStyle w:val="Footer"/>
      <w:ind w:right="707"/>
      <w:rPr>
        <w:b/>
      </w:rPr>
    </w:pPr>
    <w:r>
      <w:t xml:space="preserve">Essential Services Commission </w:t>
    </w:r>
    <w:sdt>
      <w:sdtPr>
        <w:rPr>
          <w:b/>
        </w:rPr>
        <w:alias w:val="Title"/>
        <w:tag w:val=""/>
        <w:id w:val="-1595700930"/>
        <w:placeholder>
          <w:docPart w:val="1758A017CD6B41D088D263D4E6DEDA78"/>
        </w:placeholder>
        <w:dataBinding w:prefixMappings="xmlns:ns0='http://purl.org/dc/elements/1.1/' xmlns:ns1='http://schemas.openxmlformats.org/package/2006/metadata/core-properties' " w:xpath="/ns1:coreProperties[1]/ns0:title[1]" w:storeItemID="{6C3C8BC8-F283-45AE-878A-BAB7291924A1}"/>
        <w:text/>
      </w:sdtPr>
      <w:sdtEndPr/>
      <w:sdtContent>
        <w:r w:rsidR="00AA1D9F">
          <w:rPr>
            <w:b/>
          </w:rPr>
          <w:t>Greater Western Water</w:t>
        </w:r>
        <w:r>
          <w:rPr>
            <w:b/>
          </w:rPr>
          <w:t xml:space="preserve"> draft decision</w:t>
        </w:r>
      </w:sdtContent>
    </w:sdt>
    <w:r>
      <w:rPr>
        <w:b/>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E84A8" w14:textId="5E20277B" w:rsidR="00456FD5" w:rsidRDefault="00D36A0D" w:rsidP="00A236AB">
    <w:pPr>
      <w:pStyle w:val="FooterSpace"/>
      <w:ind w:right="707"/>
    </w:pPr>
    <w:r w:rsidRPr="00D36A0D">
      <w:t>Commission’s consideration of legal requirements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456FD5" w14:paraId="720ED9BF"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0953E1EC" w14:textId="77777777" w:rsidR="00456FD5" w:rsidRPr="009E15D6" w:rsidRDefault="00456FD5"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3EC46B60" w14:textId="54E349B6" w:rsidR="00456FD5" w:rsidRPr="002C2ADF" w:rsidRDefault="00456FD5" w:rsidP="00A236AB">
    <w:pPr>
      <w:pStyle w:val="Footer"/>
      <w:ind w:right="707"/>
      <w:rPr>
        <w:b/>
      </w:rPr>
    </w:pPr>
    <w:r>
      <w:t xml:space="preserve">Essential Services Commission </w:t>
    </w:r>
    <w:sdt>
      <w:sdtPr>
        <w:rPr>
          <w:b/>
        </w:rPr>
        <w:alias w:val="Title"/>
        <w:tag w:val=""/>
        <w:id w:val="-106974279"/>
        <w:placeholder>
          <w:docPart w:val="CC1463DA7ABD447A96090107B133C92F"/>
        </w:placeholder>
        <w:dataBinding w:prefixMappings="xmlns:ns0='http://purl.org/dc/elements/1.1/' xmlns:ns1='http://schemas.openxmlformats.org/package/2006/metadata/core-properties' " w:xpath="/ns1:coreProperties[1]/ns0:title[1]" w:storeItemID="{6C3C8BC8-F283-45AE-878A-BAB7291924A1}"/>
        <w:text/>
      </w:sdtPr>
      <w:sdtEndPr/>
      <w:sdtContent>
        <w:r w:rsidR="00AA1D9F">
          <w:rPr>
            <w:b/>
          </w:rPr>
          <w:t>Greater Western Water</w:t>
        </w:r>
        <w:r>
          <w:rPr>
            <w:b/>
          </w:rPr>
          <w:t xml:space="preserve"> draft decision</w:t>
        </w:r>
      </w:sdtContent>
    </w:sdt>
    <w:r>
      <w:rPr>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68D3C" w14:textId="77777777" w:rsidR="00B11D90" w:rsidRDefault="00B11D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4DE43" w14:textId="77777777" w:rsidR="00B11D90" w:rsidRDefault="00B11D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8971D" w14:textId="77777777" w:rsidR="003A30F3" w:rsidRDefault="003A30F3" w:rsidP="00A236AB">
    <w:pPr>
      <w:pStyle w:val="FooterSpace"/>
      <w:ind w:right="707"/>
    </w:pPr>
    <w:r>
      <w:t>Preface</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50F0C0F2"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4EBA0222" w14:textId="77777777" w:rsidR="003A30F3" w:rsidRPr="009E15D6" w:rsidRDefault="003A30F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936B74">
            <w:rPr>
              <w:rStyle w:val="PageNumber"/>
              <w:noProof/>
            </w:rPr>
            <w:t>i</w:t>
          </w:r>
          <w:r w:rsidRPr="009E15D6">
            <w:rPr>
              <w:rStyle w:val="PageNumber"/>
            </w:rPr>
            <w:fldChar w:fldCharType="end"/>
          </w:r>
        </w:p>
      </w:tc>
    </w:tr>
  </w:tbl>
  <w:p w14:paraId="3F26E1A6" w14:textId="46F20BB8" w:rsidR="003A30F3" w:rsidRPr="002C2ADF" w:rsidRDefault="003A30F3" w:rsidP="00A236AB">
    <w:pPr>
      <w:pStyle w:val="Footer"/>
      <w:ind w:right="707"/>
      <w:rPr>
        <w:b/>
      </w:rPr>
    </w:pPr>
    <w:r>
      <w:t xml:space="preserve">Essential Services Commission </w:t>
    </w:r>
    <w:sdt>
      <w:sdtPr>
        <w:rPr>
          <w:b/>
        </w:rPr>
        <w:alias w:val="Title"/>
        <w:tag w:val=""/>
        <w:id w:val="779065399"/>
        <w:placeholder>
          <w:docPart w:val="0D8C47B280514B998F856862935366E6"/>
        </w:placeholder>
        <w:dataBinding w:prefixMappings="xmlns:ns0='http://purl.org/dc/elements/1.1/' xmlns:ns1='http://schemas.openxmlformats.org/package/2006/metadata/core-properties' " w:xpath="/ns1:coreProperties[1]/ns0:title[1]" w:storeItemID="{6C3C8BC8-F283-45AE-878A-BAB7291924A1}"/>
        <w:text/>
      </w:sdtPr>
      <w:sdtEndPr/>
      <w:sdtContent>
        <w:r w:rsidR="00AA1D9F">
          <w:rPr>
            <w:b/>
          </w:rPr>
          <w:t>Greater Western Water</w:t>
        </w:r>
        <w:r w:rsidR="008F4FDA">
          <w:rPr>
            <w:b/>
          </w:rPr>
          <w:t xml:space="preserve"> draft decision</w:t>
        </w:r>
      </w:sdtContent>
    </w:sdt>
    <w:r>
      <w:rPr>
        <w: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47720" w14:textId="77777777" w:rsidR="003A30F3" w:rsidRPr="00707B2F" w:rsidRDefault="003A30F3" w:rsidP="00A236AB">
    <w:pPr>
      <w:pStyle w:val="FooterSpace"/>
      <w:ind w:right="707"/>
    </w:pPr>
    <w:r>
      <w:t>Contents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381773F3"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5DDB1091" w14:textId="77777777" w:rsidR="003A30F3" w:rsidRPr="009E15D6" w:rsidRDefault="003A30F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936B74">
            <w:rPr>
              <w:rStyle w:val="PageNumber"/>
              <w:noProof/>
            </w:rPr>
            <w:t>iii</w:t>
          </w:r>
          <w:r w:rsidRPr="009E15D6">
            <w:rPr>
              <w:rStyle w:val="PageNumber"/>
            </w:rPr>
            <w:fldChar w:fldCharType="end"/>
          </w:r>
        </w:p>
      </w:tc>
    </w:tr>
  </w:tbl>
  <w:p w14:paraId="76C812FB" w14:textId="64EEE254" w:rsidR="003A30F3" w:rsidRPr="002C2ADF" w:rsidRDefault="003A30F3" w:rsidP="00A236AB">
    <w:pPr>
      <w:pStyle w:val="Footer"/>
      <w:ind w:right="283"/>
      <w:rPr>
        <w:b/>
      </w:rPr>
    </w:pPr>
    <w:r>
      <w:t xml:space="preserve">Essential Services Commission </w:t>
    </w:r>
    <w:sdt>
      <w:sdtPr>
        <w:rPr>
          <w:b/>
        </w:rPr>
        <w:alias w:val="Title"/>
        <w:tag w:val=""/>
        <w:id w:val="233746944"/>
        <w:placeholder>
          <w:docPart w:val="F92DE4CB5F3D4409942609ECF7F112C8"/>
        </w:placeholder>
        <w:dataBinding w:prefixMappings="xmlns:ns0='http://purl.org/dc/elements/1.1/' xmlns:ns1='http://schemas.openxmlformats.org/package/2006/metadata/core-properties' " w:xpath="/ns1:coreProperties[1]/ns0:title[1]" w:storeItemID="{6C3C8BC8-F283-45AE-878A-BAB7291924A1}"/>
        <w:text/>
      </w:sdtPr>
      <w:sdtEndPr/>
      <w:sdtContent>
        <w:r w:rsidR="00AA1D9F">
          <w:rPr>
            <w:b/>
          </w:rPr>
          <w:t>Greater Western Water</w:t>
        </w:r>
        <w:r w:rsidR="008F4FDA">
          <w:rPr>
            <w:b/>
          </w:rPr>
          <w:t xml:space="preserve"> draft decision</w:t>
        </w:r>
      </w:sdtContent>
    </w:sdt>
    <w:r w:rsidR="00392C6B">
      <w:rPr>
        <w:b/>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DDC05" w14:textId="77777777" w:rsidR="003A30F3" w:rsidRDefault="003A30F3" w:rsidP="00A236AB">
    <w:pPr>
      <w:pStyle w:val="FooterSpace"/>
      <w:ind w:right="707"/>
    </w:pPr>
    <w:r>
      <w:t>Summary</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7F2013B1"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5CCEA86C" w14:textId="77777777" w:rsidR="003A30F3" w:rsidRPr="009E15D6" w:rsidRDefault="003A30F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936B74">
            <w:rPr>
              <w:rStyle w:val="PageNumber"/>
              <w:noProof/>
            </w:rPr>
            <w:t>iv</w:t>
          </w:r>
          <w:r w:rsidRPr="009E15D6">
            <w:rPr>
              <w:rStyle w:val="PageNumber"/>
            </w:rPr>
            <w:fldChar w:fldCharType="end"/>
          </w:r>
        </w:p>
      </w:tc>
    </w:tr>
  </w:tbl>
  <w:p w14:paraId="0CA0730D" w14:textId="3C996687" w:rsidR="003A30F3" w:rsidRPr="002C2ADF" w:rsidRDefault="003A30F3" w:rsidP="00A236AB">
    <w:pPr>
      <w:pStyle w:val="Footer"/>
      <w:ind w:right="707"/>
      <w:rPr>
        <w:b/>
      </w:rPr>
    </w:pPr>
    <w:r>
      <w:t xml:space="preserve">Essential Services Commission </w:t>
    </w:r>
    <w:sdt>
      <w:sdtPr>
        <w:rPr>
          <w:b/>
        </w:rPr>
        <w:alias w:val="Title"/>
        <w:tag w:val=""/>
        <w:id w:val="215248778"/>
        <w:placeholder>
          <w:docPart w:val="CBB558AD63A54A23BA83322EC5CE4376"/>
        </w:placeholder>
        <w:dataBinding w:prefixMappings="xmlns:ns0='http://purl.org/dc/elements/1.1/' xmlns:ns1='http://schemas.openxmlformats.org/package/2006/metadata/core-properties' " w:xpath="/ns1:coreProperties[1]/ns0:title[1]" w:storeItemID="{6C3C8BC8-F283-45AE-878A-BAB7291924A1}"/>
        <w:text/>
      </w:sdtPr>
      <w:sdtEndPr/>
      <w:sdtContent>
        <w:r w:rsidR="00AA1D9F">
          <w:rPr>
            <w:b/>
          </w:rPr>
          <w:t>Greater Western Water</w:t>
        </w:r>
        <w:r w:rsidR="008F4FDA">
          <w:rPr>
            <w:b/>
          </w:rPr>
          <w:t xml:space="preserve"> draft decision</w:t>
        </w:r>
      </w:sdtContent>
    </w:sdt>
    <w:r>
      <w:rPr>
        <w:b/>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0E88C" w14:textId="77777777" w:rsidR="00E25F73" w:rsidRDefault="00E25F73" w:rsidP="00A236AB">
    <w:pPr>
      <w:pStyle w:val="FooterSpace"/>
      <w:ind w:right="707"/>
    </w:pPr>
    <w:r>
      <w:t>Summary</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E25F73" w14:paraId="62008B44"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0C061FD9" w14:textId="77777777" w:rsidR="00E25F73" w:rsidRPr="009E15D6" w:rsidRDefault="00E25F7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49EB9BD3" w14:textId="71782518" w:rsidR="00E25F73" w:rsidRPr="002C2ADF" w:rsidRDefault="00E25F73" w:rsidP="00A236AB">
    <w:pPr>
      <w:pStyle w:val="Footer"/>
      <w:ind w:right="707"/>
      <w:rPr>
        <w:b/>
      </w:rPr>
    </w:pPr>
    <w:r>
      <w:t xml:space="preserve">Essential Services Commission </w:t>
    </w:r>
    <w:sdt>
      <w:sdtPr>
        <w:rPr>
          <w:b/>
        </w:rPr>
        <w:alias w:val="Title"/>
        <w:tag w:val=""/>
        <w:id w:val="-549460968"/>
        <w:placeholder>
          <w:docPart w:val="CBB558AD63A54A23BA83322EC5CE4376"/>
        </w:placeholder>
        <w:dataBinding w:prefixMappings="xmlns:ns0='http://purl.org/dc/elements/1.1/' xmlns:ns1='http://schemas.openxmlformats.org/package/2006/metadata/core-properties' " w:xpath="/ns1:coreProperties[1]/ns0:title[1]" w:storeItemID="{6C3C8BC8-F283-45AE-878A-BAB7291924A1}"/>
        <w:text/>
      </w:sdtPr>
      <w:sdtEndPr/>
      <w:sdtContent>
        <w:r w:rsidR="00AA1D9F">
          <w:rPr>
            <w:b/>
          </w:rPr>
          <w:t>Greater Western Water</w:t>
        </w:r>
        <w:r>
          <w:rPr>
            <w:b/>
          </w:rPr>
          <w:t xml:space="preserve"> draft decision</w:t>
        </w:r>
      </w:sdtContent>
    </w:sdt>
    <w:r>
      <w:rPr>
        <w:b/>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FAA7" w14:textId="787FE9FD" w:rsidR="003A30F3" w:rsidRDefault="00A97818" w:rsidP="00A236AB">
    <w:pPr>
      <w:pStyle w:val="FooterSpace"/>
      <w:ind w:right="707"/>
    </w:pPr>
    <w:r w:rsidRPr="00A97818">
      <w:t>Our role and approach to water pricing</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114647B7"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43BBA8C4" w14:textId="77777777" w:rsidR="003A30F3" w:rsidRPr="009E15D6" w:rsidRDefault="003A30F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936B74">
            <w:rPr>
              <w:rStyle w:val="PageNumber"/>
              <w:noProof/>
            </w:rPr>
            <w:t>11</w:t>
          </w:r>
          <w:r w:rsidRPr="009E15D6">
            <w:rPr>
              <w:rStyle w:val="PageNumber"/>
            </w:rPr>
            <w:fldChar w:fldCharType="end"/>
          </w:r>
        </w:p>
      </w:tc>
    </w:tr>
  </w:tbl>
  <w:p w14:paraId="5039E928" w14:textId="5D0AC3C6" w:rsidR="003A30F3" w:rsidRPr="00CF2B15" w:rsidRDefault="003A30F3" w:rsidP="00A236AB">
    <w:pPr>
      <w:pStyle w:val="Footer"/>
      <w:ind w:right="707"/>
      <w:rPr>
        <w:b/>
      </w:rPr>
    </w:pPr>
    <w:r>
      <w:t xml:space="preserve">Essential Services Commission </w:t>
    </w:r>
    <w:sdt>
      <w:sdtPr>
        <w:rPr>
          <w:b/>
        </w:rPr>
        <w:alias w:val="Title"/>
        <w:tag w:val=""/>
        <w:id w:val="-1241334570"/>
        <w:placeholder>
          <w:docPart w:val="214E0707627E471AB3EC0B79B6D2F405"/>
        </w:placeholder>
        <w:dataBinding w:prefixMappings="xmlns:ns0='http://purl.org/dc/elements/1.1/' xmlns:ns1='http://schemas.openxmlformats.org/package/2006/metadata/core-properties' " w:xpath="/ns1:coreProperties[1]/ns0:title[1]" w:storeItemID="{6C3C8BC8-F283-45AE-878A-BAB7291924A1}"/>
        <w:text/>
      </w:sdtPr>
      <w:sdtEndPr/>
      <w:sdtContent>
        <w:r w:rsidR="00AA1D9F">
          <w:rPr>
            <w:b/>
          </w:rPr>
          <w:t>Greater Western Water</w:t>
        </w:r>
        <w:r w:rsidR="008F4FDA">
          <w:rPr>
            <w:b/>
          </w:rPr>
          <w:t xml:space="preserve"> draft decision</w:t>
        </w:r>
      </w:sdtContent>
    </w:sdt>
    <w:r>
      <w:rPr>
        <w:b/>
      </w:rPr>
      <w:t xml:space="preserve">   </w:t>
    </w:r>
    <w:r w:rsidRPr="00CF2B15">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69927" w14:textId="2D2695AF" w:rsidR="00ED1290" w:rsidRDefault="00ED1290" w:rsidP="00ED1290">
    <w:pPr>
      <w:pStyle w:val="FooterSpace"/>
      <w:ind w:right="707"/>
    </w:pPr>
    <w:r w:rsidRPr="00A97818">
      <w:t>Our role and approach to water pricing</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ED1290" w14:paraId="70A0D8C9" w14:textId="77777777" w:rsidTr="0044556C">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6CFE3E17" w14:textId="77777777" w:rsidR="00ED1290" w:rsidRPr="009E15D6" w:rsidRDefault="00ED1290" w:rsidP="00ED1290">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5</w:t>
          </w:r>
          <w:r w:rsidRPr="009E15D6">
            <w:rPr>
              <w:rStyle w:val="PageNumber"/>
            </w:rPr>
            <w:fldChar w:fldCharType="end"/>
          </w:r>
        </w:p>
      </w:tc>
    </w:tr>
  </w:tbl>
  <w:p w14:paraId="5F112C4E" w14:textId="5BFDA818" w:rsidR="00E02D43" w:rsidRPr="00ED1290" w:rsidRDefault="00ED1290" w:rsidP="00ED1290">
    <w:pPr>
      <w:pStyle w:val="Footer"/>
      <w:ind w:right="707"/>
      <w:rPr>
        <w:b/>
      </w:rPr>
    </w:pPr>
    <w:r>
      <w:t xml:space="preserve">Essential Services Commission </w:t>
    </w:r>
    <w:sdt>
      <w:sdtPr>
        <w:rPr>
          <w:b/>
        </w:rPr>
        <w:alias w:val="Title"/>
        <w:tag w:val=""/>
        <w:id w:val="998150736"/>
        <w:placeholder>
          <w:docPart w:val="BE1E3FBB55E94F3AA06FBFB15ED28742"/>
        </w:placeholder>
        <w:dataBinding w:prefixMappings="xmlns:ns0='http://purl.org/dc/elements/1.1/' xmlns:ns1='http://schemas.openxmlformats.org/package/2006/metadata/core-properties' " w:xpath="/ns1:coreProperties[1]/ns0:title[1]" w:storeItemID="{6C3C8BC8-F283-45AE-878A-BAB7291924A1}"/>
        <w:text/>
      </w:sdtPr>
      <w:sdtContent>
        <w:r>
          <w:rPr>
            <w:b/>
          </w:rPr>
          <w:t>Greater Western Water draft decision</w:t>
        </w:r>
      </w:sdtContent>
    </w:sdt>
    <w:r>
      <w:rP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61E5C" w14:textId="77777777" w:rsidR="00736B75" w:rsidRPr="00CF33F6" w:rsidRDefault="00736B75" w:rsidP="00AE03FA">
      <w:pPr>
        <w:spacing w:after="0"/>
        <w:rPr>
          <w:color w:val="75787B" w:themeColor="background2"/>
        </w:rPr>
      </w:pPr>
      <w:bookmarkStart w:id="0" w:name="_Hlk480978878"/>
      <w:bookmarkEnd w:id="0"/>
      <w:r w:rsidRPr="00CF33F6">
        <w:rPr>
          <w:color w:val="75787B" w:themeColor="background2"/>
        </w:rPr>
        <w:separator/>
      </w:r>
    </w:p>
  </w:footnote>
  <w:footnote w:type="continuationSeparator" w:id="0">
    <w:p w14:paraId="02883208" w14:textId="77777777" w:rsidR="00736B75" w:rsidRDefault="00736B75" w:rsidP="00AE03FA">
      <w:pPr>
        <w:spacing w:after="0"/>
      </w:pPr>
      <w:r>
        <w:continuationSeparator/>
      </w:r>
    </w:p>
    <w:p w14:paraId="3DF404EB" w14:textId="77777777" w:rsidR="00736B75" w:rsidRDefault="00736B75"/>
  </w:footnote>
  <w:footnote w:type="continuationNotice" w:id="1">
    <w:p w14:paraId="6596918C" w14:textId="77777777" w:rsidR="00736B75" w:rsidRDefault="00736B75">
      <w:pPr>
        <w:spacing w:before="0" w:after="0" w:line="240" w:lineRule="auto"/>
      </w:pPr>
    </w:p>
  </w:footnote>
  <w:footnote w:id="2">
    <w:p w14:paraId="277B7D7D" w14:textId="38436CEE" w:rsidR="00D6527C" w:rsidRPr="00D6527C" w:rsidRDefault="00D6527C" w:rsidP="00CA358B">
      <w:pPr>
        <w:pStyle w:val="FootnoteText"/>
        <w:rPr>
          <w:lang w:val="en-US"/>
        </w:rPr>
      </w:pPr>
      <w:r>
        <w:rPr>
          <w:rStyle w:val="FootnoteReference"/>
        </w:rPr>
        <w:footnoteRef/>
      </w:r>
      <w:r>
        <w:t xml:space="preserve"> </w:t>
      </w:r>
      <w:r w:rsidR="00CA358B">
        <w:tab/>
      </w:r>
      <w:r w:rsidR="00CA358B" w:rsidRPr="00CA358B">
        <w:t xml:space="preserve">Clause 16 of the Water Industry Regulatory Order 2014 requires </w:t>
      </w:r>
      <w:r w:rsidR="003663A9">
        <w:t>the Essential Services Commission</w:t>
      </w:r>
      <w:r w:rsidR="00CA358B" w:rsidRPr="00CA358B">
        <w:t xml:space="preserve"> to issue a draft decision; </w:t>
      </w:r>
      <w:r w:rsidR="00AA1D9F">
        <w:t>Greater Western Water</w:t>
      </w:r>
      <w:r w:rsidR="00CA358B" w:rsidRPr="00CA358B">
        <w:t>’s price submission is available on our website at www.esc.vic.gov.au.</w:t>
      </w:r>
    </w:p>
  </w:footnote>
  <w:footnote w:id="3">
    <w:p w14:paraId="14DDC6A7" w14:textId="18BAF85C" w:rsidR="003807D5" w:rsidRDefault="003807D5">
      <w:pPr>
        <w:pStyle w:val="FootnoteText"/>
      </w:pPr>
      <w:r>
        <w:rPr>
          <w:rStyle w:val="FootnoteReference"/>
        </w:rPr>
        <w:footnoteRef/>
      </w:r>
      <w:r>
        <w:t xml:space="preserve"> </w:t>
      </w:r>
      <w:r>
        <w:tab/>
      </w:r>
      <w:r w:rsidR="00DB3F3B" w:rsidRPr="00DB3F3B">
        <w:t xml:space="preserve">Greater Western Water 2021, </w:t>
      </w:r>
      <w:r w:rsidR="00DB3F3B" w:rsidRPr="00DB3F3B">
        <w:rPr>
          <w:i/>
          <w:iCs/>
        </w:rPr>
        <w:t>Price determination 12</w:t>
      </w:r>
      <w:r w:rsidR="000E4C27">
        <w:rPr>
          <w:i/>
          <w:iCs/>
        </w:rPr>
        <w:t>-</w:t>
      </w:r>
      <w:r w:rsidR="00DB3F3B" w:rsidRPr="00DB3F3B">
        <w:rPr>
          <w:i/>
          <w:iCs/>
        </w:rPr>
        <w:t>month extension request</w:t>
      </w:r>
      <w:r w:rsidR="00DB3F3B" w:rsidRPr="00DB3F3B">
        <w:t>, 14 October.</w:t>
      </w:r>
    </w:p>
  </w:footnote>
  <w:footnote w:id="4">
    <w:p w14:paraId="6442A32D" w14:textId="77777777" w:rsidR="00E250CB" w:rsidRDefault="00E250CB" w:rsidP="00E250CB">
      <w:pPr>
        <w:pStyle w:val="FootnoteText"/>
      </w:pPr>
      <w:r>
        <w:rPr>
          <w:rStyle w:val="FootnoteReference"/>
        </w:rPr>
        <w:footnoteRef/>
      </w:r>
      <w:r>
        <w:t xml:space="preserve"> </w:t>
      </w:r>
      <w:r>
        <w:tab/>
      </w:r>
      <w:r w:rsidRPr="005D10C8">
        <w:t>Essential Services Commission 2021, Commission letter to Greater Western Water approving extension of regulatory period, 2 December.</w:t>
      </w:r>
    </w:p>
  </w:footnote>
  <w:footnote w:id="5">
    <w:p w14:paraId="38C6FD73" w14:textId="5C398E57" w:rsidR="00432A4F" w:rsidRPr="00701908" w:rsidRDefault="00432A4F" w:rsidP="00432A4F">
      <w:pPr>
        <w:pStyle w:val="FootnoteText"/>
        <w:rPr>
          <w:lang w:val="en-US"/>
        </w:rPr>
      </w:pPr>
      <w:r>
        <w:rPr>
          <w:rStyle w:val="FootnoteReference"/>
        </w:rPr>
        <w:footnoteRef/>
      </w:r>
      <w:r>
        <w:t xml:space="preserve"> </w:t>
      </w:r>
      <w:r>
        <w:tab/>
      </w:r>
      <w:r w:rsidRPr="00701908">
        <w:t>The revenue requirement is the forecast amount a water corporation needs to deliver on customer outcomes, government policy, and obligations monitored by technical regulators including the Environment Protection Authority Victoria and the Department of Health. Along with forecast demand, it is an input to calculating the prices to be charged by a water corporation</w:t>
      </w:r>
      <w:r w:rsidR="00E41E8A">
        <w:t>.</w:t>
      </w:r>
    </w:p>
  </w:footnote>
  <w:footnote w:id="6">
    <w:p w14:paraId="44F5FC38" w14:textId="376511FF" w:rsidR="00432A4F" w:rsidRDefault="00432A4F" w:rsidP="00432A4F">
      <w:pPr>
        <w:pStyle w:val="FootnoteText"/>
      </w:pPr>
      <w:r>
        <w:rPr>
          <w:rStyle w:val="FootnoteReference"/>
        </w:rPr>
        <w:footnoteRef/>
      </w:r>
      <w:r>
        <w:t xml:space="preserve">    Once the March quarter CPI has been released, the commission will re-estimate the long-term inflation forecast prior to final decision, as stated in our guidance p</w:t>
      </w:r>
      <w:r w:rsidR="004462D2">
        <w:t>. </w:t>
      </w:r>
      <w:r>
        <w:t>40. This may change the long-term inflation forecast from 3</w:t>
      </w:r>
      <w:r w:rsidR="000F2A4A">
        <w:t>.0 </w:t>
      </w:r>
      <w:r>
        <w:t xml:space="preserve">per cent. </w:t>
      </w:r>
    </w:p>
  </w:footnote>
  <w:footnote w:id="7">
    <w:p w14:paraId="13FABD40" w14:textId="56255399" w:rsidR="00207D5B" w:rsidDel="00BF4F0E" w:rsidRDefault="00207D5B" w:rsidP="00207D5B">
      <w:pPr>
        <w:pStyle w:val="FootnoteText"/>
      </w:pPr>
      <w:r>
        <w:rPr>
          <w:rStyle w:val="FootnoteReference"/>
        </w:rPr>
        <w:footnoteRef/>
      </w:r>
      <w:r>
        <w:t xml:space="preserve"> </w:t>
      </w:r>
      <w:r>
        <w:tab/>
      </w:r>
      <w:r w:rsidRPr="00593F5E">
        <w:t>Th</w:t>
      </w:r>
      <w:r w:rsidR="00051A2E" w:rsidRPr="00593F5E">
        <w:t xml:space="preserve">ese </w:t>
      </w:r>
      <w:r w:rsidR="00431F68" w:rsidRPr="00593F5E">
        <w:t>estimated tenant bills do not include the efficiency rebate currently paid to tenants, which will be reduced to zero by 2027</w:t>
      </w:r>
      <w:r w:rsidR="00431F68" w:rsidRPr="00593F5E">
        <w:noBreakHyphen/>
        <w:t>28.</w:t>
      </w:r>
      <w:r w:rsidR="00051A2E" w:rsidRPr="00593F5E">
        <w:t xml:space="preserve"> </w:t>
      </w:r>
      <w:r w:rsidR="003E5AA8" w:rsidRPr="00593F5E">
        <w:t>This</w:t>
      </w:r>
      <w:r w:rsidRPr="00593F5E">
        <w:t xml:space="preserve"> rebate was applied to tenant bills by one of Greater Western Water’s antecedent businesses, Western Water.</w:t>
      </w:r>
    </w:p>
  </w:footnote>
  <w:footnote w:id="8">
    <w:p w14:paraId="6AD9C581" w14:textId="74DAC38A" w:rsidR="00490E47" w:rsidRDefault="00490E47" w:rsidP="00490E47">
      <w:pPr>
        <w:pStyle w:val="FootnoteText"/>
      </w:pPr>
      <w:r>
        <w:rPr>
          <w:rStyle w:val="FootnoteReference"/>
        </w:rPr>
        <w:footnoteRef/>
      </w:r>
      <w:r>
        <w:t xml:space="preserve"> </w:t>
      </w:r>
      <w:r w:rsidR="004B738D">
        <w:tab/>
      </w:r>
      <w:r w:rsidR="0056115F">
        <w:t>Estimated t</w:t>
      </w:r>
      <w:r>
        <w:t xml:space="preserve">enant bill does not include the efficiency rebate </w:t>
      </w:r>
      <w:r w:rsidR="004A535C">
        <w:t xml:space="preserve">currently </w:t>
      </w:r>
      <w:r>
        <w:t>paid to tenants</w:t>
      </w:r>
      <w:r w:rsidR="004B738D">
        <w:t>, which will be reduced to zero by 2027</w:t>
      </w:r>
      <w:r w:rsidR="00F33424">
        <w:noBreakHyphen/>
      </w:r>
      <w:r w:rsidR="004B738D">
        <w:t>28</w:t>
      </w:r>
      <w:r w:rsidR="00103711">
        <w:t>.</w:t>
      </w:r>
      <w:r>
        <w:t xml:space="preserve"> </w:t>
      </w:r>
    </w:p>
  </w:footnote>
  <w:footnote w:id="9">
    <w:p w14:paraId="1CF622CE" w14:textId="4DAAF176" w:rsidR="006A0E7B" w:rsidRPr="006A0E7B" w:rsidRDefault="006A0E7B" w:rsidP="006A0E7B">
      <w:pPr>
        <w:pStyle w:val="FootnoteText"/>
        <w:rPr>
          <w:lang w:val="en-US"/>
        </w:rPr>
      </w:pPr>
      <w:r>
        <w:rPr>
          <w:rStyle w:val="FootnoteReference"/>
        </w:rPr>
        <w:footnoteRef/>
      </w:r>
      <w:r>
        <w:t xml:space="preserve"> </w:t>
      </w:r>
      <w:r>
        <w:tab/>
      </w:r>
      <w:r w:rsidRPr="006A0E7B">
        <w:t>The prescribed services are listed at clause 7(b) of the WIRO</w:t>
      </w:r>
      <w:r w:rsidR="001F7A6F">
        <w:t>.</w:t>
      </w:r>
    </w:p>
  </w:footnote>
  <w:footnote w:id="10">
    <w:p w14:paraId="22B59992" w14:textId="798F219A" w:rsidR="00543557" w:rsidRPr="00543557" w:rsidRDefault="00543557" w:rsidP="00543557">
      <w:pPr>
        <w:pStyle w:val="FootnoteText"/>
        <w:rPr>
          <w:lang w:val="en-US"/>
        </w:rPr>
      </w:pPr>
      <w:r>
        <w:rPr>
          <w:rStyle w:val="FootnoteReference"/>
        </w:rPr>
        <w:footnoteRef/>
      </w:r>
      <w:r>
        <w:t xml:space="preserve"> </w:t>
      </w:r>
      <w:r>
        <w:tab/>
      </w:r>
      <w:r w:rsidR="00D501F5" w:rsidRPr="00543557">
        <w:t>Essential Services Commission</w:t>
      </w:r>
      <w:r w:rsidR="00D501F5">
        <w:t xml:space="preserve"> 2022</w:t>
      </w:r>
      <w:r w:rsidR="00D501F5" w:rsidRPr="00543557">
        <w:t xml:space="preserve">, </w:t>
      </w:r>
      <w:r w:rsidR="00D501F5" w:rsidRPr="00543557">
        <w:rPr>
          <w:i/>
          <w:iCs/>
        </w:rPr>
        <w:t>202</w:t>
      </w:r>
      <w:r w:rsidR="00D501F5">
        <w:rPr>
          <w:i/>
          <w:iCs/>
        </w:rPr>
        <w:t>4</w:t>
      </w:r>
      <w:r w:rsidR="00A01802">
        <w:rPr>
          <w:i/>
          <w:iCs/>
        </w:rPr>
        <w:t xml:space="preserve"> </w:t>
      </w:r>
      <w:r w:rsidR="00D501F5" w:rsidRPr="00A01802">
        <w:rPr>
          <w:i/>
          <w:iCs/>
        </w:rPr>
        <w:t>Greater Western Water</w:t>
      </w:r>
      <w:r w:rsidR="00D501F5" w:rsidRPr="00543557">
        <w:rPr>
          <w:i/>
          <w:iCs/>
        </w:rPr>
        <w:t xml:space="preserve"> price review: Guidance paper</w:t>
      </w:r>
      <w:r w:rsidR="00D501F5" w:rsidRPr="00543557">
        <w:t xml:space="preserve">, </w:t>
      </w:r>
      <w:r w:rsidR="00D501F5" w:rsidRPr="00A01802">
        <w:t>20</w:t>
      </w:r>
      <w:r w:rsidR="00D501F5">
        <w:t xml:space="preserve"> September 2022</w:t>
      </w:r>
      <w:r w:rsidRPr="00543557">
        <w:t>.</w:t>
      </w:r>
    </w:p>
  </w:footnote>
  <w:footnote w:id="11">
    <w:p w14:paraId="3936E67B" w14:textId="44A655BF" w:rsidR="00262546" w:rsidRPr="00262546" w:rsidRDefault="00262546" w:rsidP="00262546">
      <w:pPr>
        <w:pStyle w:val="FootnoteText"/>
        <w:rPr>
          <w:lang w:val="en-US"/>
        </w:rPr>
      </w:pPr>
      <w:r>
        <w:rPr>
          <w:rStyle w:val="FootnoteReference"/>
        </w:rPr>
        <w:footnoteRef/>
      </w:r>
      <w:r>
        <w:t xml:space="preserve"> </w:t>
      </w:r>
      <w:r>
        <w:tab/>
      </w:r>
      <w:r w:rsidRPr="00262546">
        <w:t>This is a requirement of the WIRO, clause 14(b).</w:t>
      </w:r>
    </w:p>
  </w:footnote>
  <w:footnote w:id="12">
    <w:p w14:paraId="4DF52368" w14:textId="4209603F" w:rsidR="003A3C18" w:rsidRPr="003A3C18" w:rsidRDefault="003A3C18" w:rsidP="003A3C18">
      <w:pPr>
        <w:pStyle w:val="FootnoteText"/>
        <w:rPr>
          <w:lang w:val="en-US"/>
        </w:rPr>
      </w:pPr>
      <w:r>
        <w:rPr>
          <w:rStyle w:val="FootnoteReference"/>
        </w:rPr>
        <w:footnoteRef/>
      </w:r>
      <w:r>
        <w:t xml:space="preserve"> </w:t>
      </w:r>
      <w:r>
        <w:tab/>
      </w:r>
      <w:r w:rsidRPr="003A3C18">
        <w:t>This is provided for under the WIRO, clause 14(b)(</w:t>
      </w:r>
      <w:proofErr w:type="spellStart"/>
      <w:r w:rsidRPr="003A3C18">
        <w:t>i</w:t>
      </w:r>
      <w:proofErr w:type="spellEnd"/>
      <w:r w:rsidRPr="003A3C18">
        <w:t>).</w:t>
      </w:r>
    </w:p>
  </w:footnote>
  <w:footnote w:id="13">
    <w:p w14:paraId="74F3BECF" w14:textId="39B1F4E4" w:rsidR="009E4A99" w:rsidRPr="009E4A99" w:rsidRDefault="009E4A99" w:rsidP="009E4A99">
      <w:pPr>
        <w:pStyle w:val="FootnoteText"/>
        <w:rPr>
          <w:lang w:val="en-US"/>
        </w:rPr>
      </w:pPr>
      <w:r w:rsidRPr="00F058BA">
        <w:rPr>
          <w:rStyle w:val="FootnoteReference"/>
        </w:rPr>
        <w:footnoteRef/>
      </w:r>
      <w:r w:rsidRPr="00F058BA">
        <w:t xml:space="preserve"> </w:t>
      </w:r>
      <w:r w:rsidRPr="00F058BA">
        <w:tab/>
      </w:r>
      <w:r w:rsidR="004E059E" w:rsidRPr="00F058BA">
        <w:t xml:space="preserve">Essential Services Commission 2022, </w:t>
      </w:r>
      <w:r w:rsidR="004E059E" w:rsidRPr="00F058BA">
        <w:rPr>
          <w:i/>
        </w:rPr>
        <w:t>2024</w:t>
      </w:r>
      <w:r w:rsidR="00521E71" w:rsidRPr="00F058BA">
        <w:rPr>
          <w:i/>
        </w:rPr>
        <w:t xml:space="preserve"> </w:t>
      </w:r>
      <w:r w:rsidR="004E059E" w:rsidRPr="00F058BA">
        <w:rPr>
          <w:i/>
        </w:rPr>
        <w:t>Greater Western Water price review: Guidance paper</w:t>
      </w:r>
      <w:r w:rsidR="004E059E" w:rsidRPr="00F058BA">
        <w:t>, 20 September</w:t>
      </w:r>
      <w:r w:rsidRPr="00F058BA">
        <w:t>, pp.</w:t>
      </w:r>
      <w:r w:rsidR="00236C21" w:rsidRPr="00F058BA">
        <w:t> </w:t>
      </w:r>
      <w:r w:rsidRPr="00F058BA">
        <w:t>41–46.</w:t>
      </w:r>
    </w:p>
  </w:footnote>
  <w:footnote w:id="14">
    <w:p w14:paraId="06257B2E" w14:textId="77777777" w:rsidR="002D74C0" w:rsidRPr="00BD0B44" w:rsidRDefault="002D74C0" w:rsidP="002D74C0">
      <w:pPr>
        <w:pStyle w:val="FootnoteText"/>
        <w:rPr>
          <w:lang w:val="en-US"/>
        </w:rPr>
      </w:pPr>
      <w:r>
        <w:rPr>
          <w:rStyle w:val="FootnoteReference"/>
        </w:rPr>
        <w:footnoteRef/>
      </w:r>
      <w:r>
        <w:t xml:space="preserve"> </w:t>
      </w:r>
      <w:r>
        <w:tab/>
      </w:r>
      <w:r w:rsidRPr="00BD0B44">
        <w:t>This is a requirement of the WIRO, clause 9</w:t>
      </w:r>
      <w:r>
        <w:t>.</w:t>
      </w:r>
    </w:p>
  </w:footnote>
  <w:footnote w:id="15">
    <w:p w14:paraId="67E8A5CC" w14:textId="2F52C5B6" w:rsidR="000242A8" w:rsidRPr="000242A8" w:rsidRDefault="000242A8" w:rsidP="000242A8">
      <w:pPr>
        <w:pStyle w:val="FootnoteText"/>
        <w:rPr>
          <w:lang w:val="en-US"/>
        </w:rPr>
      </w:pPr>
      <w:r>
        <w:rPr>
          <w:rStyle w:val="FootnoteReference"/>
        </w:rPr>
        <w:footnoteRef/>
      </w:r>
      <w:r>
        <w:t xml:space="preserve"> </w:t>
      </w:r>
      <w:r>
        <w:tab/>
      </w:r>
      <w:r w:rsidRPr="000242A8">
        <w:t xml:space="preserve">For detail on the reasons for using </w:t>
      </w:r>
      <w:r w:rsidR="00CB765A">
        <w:t>four</w:t>
      </w:r>
      <w:r w:rsidRPr="000242A8">
        <w:t xml:space="preserve"> years as the default regulatory period, see: </w:t>
      </w:r>
      <w:r w:rsidR="004E059E" w:rsidRPr="00543557">
        <w:t>Essential Services Commission</w:t>
      </w:r>
      <w:r w:rsidR="004E059E">
        <w:t xml:space="preserve"> 2022</w:t>
      </w:r>
      <w:r w:rsidR="004E059E" w:rsidRPr="00543557">
        <w:t xml:space="preserve">, </w:t>
      </w:r>
      <w:r w:rsidR="004E059E" w:rsidRPr="00543557">
        <w:rPr>
          <w:i/>
          <w:iCs/>
        </w:rPr>
        <w:t>202</w:t>
      </w:r>
      <w:r w:rsidR="004E059E" w:rsidRPr="00CB765A">
        <w:rPr>
          <w:i/>
          <w:iCs/>
        </w:rPr>
        <w:t>4 Greater Western Water</w:t>
      </w:r>
      <w:r w:rsidR="004E059E" w:rsidRPr="00543557">
        <w:rPr>
          <w:i/>
          <w:iCs/>
        </w:rPr>
        <w:t xml:space="preserve"> price review: Guidance paper</w:t>
      </w:r>
      <w:r w:rsidR="004E059E" w:rsidRPr="00543557">
        <w:t xml:space="preserve">, </w:t>
      </w:r>
      <w:r w:rsidR="004E059E" w:rsidRPr="00CB765A">
        <w:t>20</w:t>
      </w:r>
      <w:r w:rsidR="004E059E">
        <w:t xml:space="preserve"> September 2022, </w:t>
      </w:r>
      <w:r w:rsidRPr="000242A8">
        <w:t>p. 18.</w:t>
      </w:r>
    </w:p>
  </w:footnote>
  <w:footnote w:id="16">
    <w:p w14:paraId="37D75FB8" w14:textId="11EF132A" w:rsidR="005C57FB" w:rsidRDefault="005C57FB" w:rsidP="005C57FB">
      <w:pPr>
        <w:pStyle w:val="FootnoteText"/>
      </w:pPr>
      <w:r w:rsidRPr="00E35843">
        <w:rPr>
          <w:rStyle w:val="FootnoteReference"/>
        </w:rPr>
        <w:footnoteRef/>
      </w:r>
      <w:r w:rsidRPr="00E35843">
        <w:t xml:space="preserve"> </w:t>
      </w:r>
      <w:r w:rsidRPr="00E35843">
        <w:tab/>
        <w:t xml:space="preserve">Essential Services Commission 2022, </w:t>
      </w:r>
      <w:r w:rsidRPr="00E35843">
        <w:rPr>
          <w:i/>
        </w:rPr>
        <w:t>2024 Greater Western Water price review: Guidance paper</w:t>
      </w:r>
      <w:r w:rsidRPr="00E35843">
        <w:t>, 20 September, p. 20.</w:t>
      </w:r>
    </w:p>
  </w:footnote>
  <w:footnote w:id="17">
    <w:p w14:paraId="5C7FE651" w14:textId="6D96CD7B" w:rsidR="005C57FB" w:rsidRPr="00F058BA" w:rsidRDefault="005C57FB" w:rsidP="005C57FB">
      <w:pPr>
        <w:pStyle w:val="FootnoteText"/>
        <w:rPr>
          <w:lang w:val="en-US"/>
        </w:rPr>
      </w:pPr>
      <w:r w:rsidRPr="00F058BA">
        <w:rPr>
          <w:rStyle w:val="FootnoteReference"/>
        </w:rPr>
        <w:footnoteRef/>
      </w:r>
      <w:r w:rsidRPr="00F058BA">
        <w:t xml:space="preserve"> </w:t>
      </w:r>
      <w:r w:rsidR="008C7FE6" w:rsidRPr="00F058BA">
        <w:tab/>
      </w:r>
      <w:r w:rsidRPr="00F058BA">
        <w:t xml:space="preserve">Greater Western Water’s price submission is available on our website at </w:t>
      </w:r>
      <w:hyperlink r:id="rId1" w:history="1">
        <w:r w:rsidR="00255D71" w:rsidRPr="00F058BA">
          <w:rPr>
            <w:rStyle w:val="Hyperlink"/>
          </w:rPr>
          <w:t>www.esc.vic.gov.au/greater-western-water-price-review-2024</w:t>
        </w:r>
      </w:hyperlink>
      <w:r w:rsidRPr="00F058BA">
        <w:t>.</w:t>
      </w:r>
    </w:p>
  </w:footnote>
  <w:footnote w:id="18">
    <w:p w14:paraId="31B38E6A" w14:textId="1B0E4216" w:rsidR="005C57FB" w:rsidRPr="00F058BA" w:rsidRDefault="005C57FB" w:rsidP="005C57FB">
      <w:pPr>
        <w:pStyle w:val="FootnoteText"/>
      </w:pPr>
      <w:r w:rsidRPr="00F058BA">
        <w:rPr>
          <w:rStyle w:val="FootnoteReference"/>
        </w:rPr>
        <w:footnoteRef/>
      </w:r>
      <w:r w:rsidRPr="00F058BA">
        <w:t xml:space="preserve">  </w:t>
      </w:r>
      <w:r w:rsidR="008C7FE6" w:rsidRPr="00F058BA">
        <w:tab/>
      </w:r>
      <w:r w:rsidRPr="00F058BA">
        <w:t>Greater Western Water</w:t>
      </w:r>
      <w:r w:rsidR="00307B31" w:rsidRPr="00F058BA">
        <w:t xml:space="preserve"> 2023</w:t>
      </w:r>
      <w:r w:rsidRPr="00F058BA">
        <w:t xml:space="preserve">, </w:t>
      </w:r>
      <w:r w:rsidRPr="00F058BA">
        <w:rPr>
          <w:i/>
        </w:rPr>
        <w:t>2024 Price Submission</w:t>
      </w:r>
      <w:r w:rsidRPr="00F058BA">
        <w:t xml:space="preserve">, </w:t>
      </w:r>
      <w:r w:rsidR="007B4AC7" w:rsidRPr="00F058BA">
        <w:t xml:space="preserve">28 </w:t>
      </w:r>
      <w:r w:rsidRPr="00F058BA">
        <w:t>September, p. 22</w:t>
      </w:r>
      <w:r w:rsidR="00F71F84" w:rsidRPr="00F058BA">
        <w:t>.</w:t>
      </w:r>
    </w:p>
  </w:footnote>
  <w:footnote w:id="19">
    <w:p w14:paraId="506B3BF1" w14:textId="07A710DE" w:rsidR="005C57FB" w:rsidRPr="00F058BA" w:rsidRDefault="005C57FB" w:rsidP="005C57FB">
      <w:pPr>
        <w:pStyle w:val="FootnoteText"/>
      </w:pPr>
      <w:r w:rsidRPr="00F058BA">
        <w:rPr>
          <w:rStyle w:val="FootnoteReference"/>
        </w:rPr>
        <w:footnoteRef/>
      </w:r>
      <w:r w:rsidRPr="00F058BA">
        <w:t xml:space="preserve"> </w:t>
      </w:r>
      <w:r w:rsidR="008C7FE6" w:rsidRPr="00F058BA">
        <w:tab/>
      </w:r>
      <w:r w:rsidRPr="00F058BA">
        <w:t>Greater Western Water</w:t>
      </w:r>
      <w:r w:rsidR="005A329C" w:rsidRPr="00F058BA">
        <w:t xml:space="preserve"> 2023</w:t>
      </w:r>
      <w:r w:rsidRPr="00F058BA">
        <w:t xml:space="preserve">, </w:t>
      </w:r>
      <w:r w:rsidRPr="00F058BA">
        <w:rPr>
          <w:i/>
        </w:rPr>
        <w:t>2024 Price Submission</w:t>
      </w:r>
      <w:r w:rsidRPr="00F058BA">
        <w:t xml:space="preserve">, </w:t>
      </w:r>
      <w:r w:rsidR="00FE3699" w:rsidRPr="00F058BA">
        <w:t xml:space="preserve">28 </w:t>
      </w:r>
      <w:r w:rsidRPr="00F058BA">
        <w:t>September, p. 35</w:t>
      </w:r>
      <w:r w:rsidR="00F71F84" w:rsidRPr="00F058BA">
        <w:t>.</w:t>
      </w:r>
    </w:p>
  </w:footnote>
  <w:footnote w:id="20">
    <w:p w14:paraId="3CE778AC" w14:textId="510A0586" w:rsidR="005C57FB" w:rsidRPr="00F058BA" w:rsidRDefault="005C57FB" w:rsidP="005C57FB">
      <w:pPr>
        <w:pStyle w:val="FootnoteText"/>
      </w:pPr>
      <w:r w:rsidRPr="00F058BA">
        <w:rPr>
          <w:rStyle w:val="FootnoteReference"/>
        </w:rPr>
        <w:footnoteRef/>
      </w:r>
      <w:r w:rsidRPr="00F058BA">
        <w:t xml:space="preserve"> </w:t>
      </w:r>
      <w:r w:rsidR="008C7FE6" w:rsidRPr="00F058BA">
        <w:tab/>
      </w:r>
      <w:r w:rsidRPr="00F058BA">
        <w:t>Greater Western Water</w:t>
      </w:r>
      <w:r w:rsidR="005A329C" w:rsidRPr="00F058BA">
        <w:t xml:space="preserve"> 2023</w:t>
      </w:r>
      <w:r w:rsidRPr="00F058BA">
        <w:t xml:space="preserve">, </w:t>
      </w:r>
      <w:r w:rsidRPr="00F058BA">
        <w:rPr>
          <w:i/>
        </w:rPr>
        <w:t>2024 Price Submission</w:t>
      </w:r>
      <w:r w:rsidRPr="00F058BA">
        <w:t xml:space="preserve">, </w:t>
      </w:r>
      <w:r w:rsidR="00FE3699" w:rsidRPr="00F058BA">
        <w:t xml:space="preserve">28 </w:t>
      </w:r>
      <w:r w:rsidRPr="00F058BA">
        <w:t>September, p. 48</w:t>
      </w:r>
      <w:r w:rsidR="001E5291" w:rsidRPr="00F058BA">
        <w:t>–49</w:t>
      </w:r>
      <w:r w:rsidR="00F71F84" w:rsidRPr="00F058BA">
        <w:t>.</w:t>
      </w:r>
    </w:p>
  </w:footnote>
  <w:footnote w:id="21">
    <w:p w14:paraId="71D4B2B5" w14:textId="526E9D6F" w:rsidR="005C57FB" w:rsidRPr="00F058BA" w:rsidRDefault="005C57FB" w:rsidP="005C57FB">
      <w:pPr>
        <w:pStyle w:val="FootnoteText"/>
      </w:pPr>
      <w:r w:rsidRPr="00F058BA">
        <w:rPr>
          <w:rStyle w:val="FootnoteReference"/>
        </w:rPr>
        <w:footnoteRef/>
      </w:r>
      <w:r w:rsidRPr="00F058BA">
        <w:t xml:space="preserve"> </w:t>
      </w:r>
      <w:r w:rsidR="003D78B8" w:rsidRPr="00F058BA">
        <w:tab/>
      </w:r>
      <w:r w:rsidRPr="00F058BA">
        <w:t>Greater Western Water</w:t>
      </w:r>
      <w:r w:rsidR="005A329C" w:rsidRPr="00F058BA">
        <w:t xml:space="preserve"> 2023</w:t>
      </w:r>
      <w:r w:rsidRPr="00F058BA">
        <w:t xml:space="preserve">, </w:t>
      </w:r>
      <w:r w:rsidRPr="00F058BA">
        <w:rPr>
          <w:i/>
        </w:rPr>
        <w:t>2024 Price Submission</w:t>
      </w:r>
      <w:r w:rsidRPr="00F058BA">
        <w:t xml:space="preserve">, </w:t>
      </w:r>
      <w:r w:rsidR="005A329C" w:rsidRPr="00F058BA">
        <w:t xml:space="preserve">28 </w:t>
      </w:r>
      <w:r w:rsidRPr="00F058BA">
        <w:t>September, p. 11</w:t>
      </w:r>
      <w:r w:rsidR="00F71F84" w:rsidRPr="00F058BA">
        <w:t>.</w:t>
      </w:r>
    </w:p>
  </w:footnote>
  <w:footnote w:id="22">
    <w:p w14:paraId="07D8CD08" w14:textId="1AAE4F92" w:rsidR="005C57FB" w:rsidRDefault="005C57FB" w:rsidP="005C57FB">
      <w:pPr>
        <w:pStyle w:val="FootnoteText"/>
      </w:pPr>
      <w:r w:rsidRPr="00F058BA">
        <w:rPr>
          <w:rStyle w:val="FootnoteReference"/>
        </w:rPr>
        <w:footnoteRef/>
      </w:r>
      <w:r w:rsidRPr="00F058BA">
        <w:t xml:space="preserve"> </w:t>
      </w:r>
      <w:r w:rsidR="003D78B8" w:rsidRPr="00F058BA">
        <w:tab/>
      </w:r>
      <w:r w:rsidRPr="00F058BA">
        <w:t>Greater Western Water</w:t>
      </w:r>
      <w:r w:rsidR="00122E3E" w:rsidRPr="00F058BA">
        <w:t xml:space="preserve"> 2023</w:t>
      </w:r>
      <w:r w:rsidRPr="00F058BA">
        <w:t xml:space="preserve">, </w:t>
      </w:r>
      <w:r w:rsidRPr="00F058BA">
        <w:rPr>
          <w:i/>
        </w:rPr>
        <w:t>2024 Price Submission</w:t>
      </w:r>
      <w:r w:rsidRPr="00F058BA">
        <w:t xml:space="preserve">, </w:t>
      </w:r>
      <w:r w:rsidR="00122E3E" w:rsidRPr="00F058BA">
        <w:t xml:space="preserve">28 </w:t>
      </w:r>
      <w:r w:rsidRPr="00F058BA">
        <w:t>September, p. 13</w:t>
      </w:r>
    </w:p>
  </w:footnote>
  <w:footnote w:id="23">
    <w:p w14:paraId="1C4EA46B" w14:textId="2DBF08D7" w:rsidR="0072574B" w:rsidRDefault="0072574B" w:rsidP="008876E2">
      <w:pPr>
        <w:pStyle w:val="FootnoteText"/>
      </w:pPr>
      <w:r w:rsidRPr="00F058BA">
        <w:rPr>
          <w:rStyle w:val="FootnoteReference"/>
        </w:rPr>
        <w:footnoteRef/>
      </w:r>
      <w:r w:rsidRPr="00F058BA">
        <w:t xml:space="preserve"> </w:t>
      </w:r>
      <w:r w:rsidR="00EB5AB5" w:rsidRPr="00F058BA">
        <w:tab/>
      </w:r>
      <w:r w:rsidRPr="00F058BA">
        <w:t>The survey was made available in Mandarin, Arabic and Vietnamese and it was designed to requite low digital literacy when filling it out.</w:t>
      </w:r>
    </w:p>
  </w:footnote>
  <w:footnote w:id="24">
    <w:p w14:paraId="2C36F4C1" w14:textId="1672001A" w:rsidR="005C57FB" w:rsidRDefault="005C57FB" w:rsidP="005C57FB">
      <w:pPr>
        <w:pStyle w:val="FootnoteText"/>
      </w:pPr>
      <w:r w:rsidRPr="00F058BA">
        <w:rPr>
          <w:rStyle w:val="FootnoteReference"/>
        </w:rPr>
        <w:footnoteRef/>
      </w:r>
      <w:r w:rsidRPr="00F058BA">
        <w:t xml:space="preserve"> </w:t>
      </w:r>
      <w:r w:rsidR="00492306" w:rsidRPr="00F058BA">
        <w:tab/>
      </w:r>
      <w:r w:rsidRPr="00F058BA">
        <w:t>The Customer advisory group was formed with three experts that represent the community, including vulnerable customers, and industry experts in the service area including Consumer Action Law Centre, Melton City Council, and Carbon and Energy Markets</w:t>
      </w:r>
    </w:p>
  </w:footnote>
  <w:footnote w:id="25">
    <w:p w14:paraId="66D3DD06" w14:textId="5D1E39E2" w:rsidR="00D705EA" w:rsidRDefault="00D705EA">
      <w:pPr>
        <w:pStyle w:val="FootnoteText"/>
      </w:pPr>
      <w:r w:rsidRPr="001113A2">
        <w:rPr>
          <w:rStyle w:val="FootnoteReference"/>
        </w:rPr>
        <w:footnoteRef/>
      </w:r>
      <w:r w:rsidRPr="001113A2">
        <w:t xml:space="preserve"> </w:t>
      </w:r>
      <w:r w:rsidRPr="001113A2">
        <w:tab/>
        <w:t>Friends of Steele Creek submission to the Essential Services Commission on Greater Western Water’s 2024 price submission, 3 December 2023.</w:t>
      </w:r>
    </w:p>
  </w:footnote>
  <w:footnote w:id="26">
    <w:p w14:paraId="033F277D" w14:textId="4DC3C730" w:rsidR="00054DEB" w:rsidRPr="00791A6F" w:rsidRDefault="00054DEB" w:rsidP="00054DEB">
      <w:pPr>
        <w:pStyle w:val="FootnoteText"/>
        <w:rPr>
          <w:lang w:val="en-US"/>
        </w:rPr>
      </w:pPr>
      <w:r w:rsidRPr="00F058BA">
        <w:rPr>
          <w:rStyle w:val="FootnoteReference"/>
        </w:rPr>
        <w:footnoteRef/>
      </w:r>
      <w:r w:rsidRPr="00F058BA">
        <w:t xml:space="preserve"> </w:t>
      </w:r>
      <w:r w:rsidRPr="00F058BA">
        <w:tab/>
        <w:t xml:space="preserve">Essential Services Commission 2022, </w:t>
      </w:r>
      <w:r w:rsidRPr="00F058BA">
        <w:rPr>
          <w:i/>
        </w:rPr>
        <w:t>2024 Greater Western Water price review: Guidance paper</w:t>
      </w:r>
      <w:r w:rsidRPr="00F058BA">
        <w:t>, 20 September, pp. 23</w:t>
      </w:r>
      <w:r w:rsidR="00252278" w:rsidRPr="00F058BA">
        <w:t>–</w:t>
      </w:r>
      <w:r w:rsidRPr="00F058BA">
        <w:t>24.</w:t>
      </w:r>
    </w:p>
  </w:footnote>
  <w:footnote w:id="27">
    <w:p w14:paraId="28DA9265" w14:textId="3F51FFF1" w:rsidR="00054DEB" w:rsidRPr="00F058BA" w:rsidRDefault="00054DEB" w:rsidP="00054DEB">
      <w:pPr>
        <w:pStyle w:val="FootnoteText"/>
      </w:pPr>
      <w:r w:rsidRPr="00F058BA">
        <w:rPr>
          <w:rStyle w:val="FootnoteReference"/>
        </w:rPr>
        <w:footnoteRef/>
      </w:r>
      <w:r w:rsidRPr="00F058BA">
        <w:t xml:space="preserve"> </w:t>
      </w:r>
      <w:r w:rsidR="006B051F" w:rsidRPr="00F058BA">
        <w:tab/>
      </w:r>
      <w:r w:rsidRPr="00F058BA">
        <w:t>Greater Western Water</w:t>
      </w:r>
      <w:r w:rsidR="0025767B" w:rsidRPr="00F058BA">
        <w:t xml:space="preserve"> 2023</w:t>
      </w:r>
      <w:r w:rsidRPr="00F058BA">
        <w:t xml:space="preserve">, </w:t>
      </w:r>
      <w:r w:rsidRPr="00F058BA">
        <w:rPr>
          <w:i/>
        </w:rPr>
        <w:t xml:space="preserve">2024 </w:t>
      </w:r>
      <w:r w:rsidR="0025767B" w:rsidRPr="00F058BA">
        <w:rPr>
          <w:i/>
        </w:rPr>
        <w:t>P</w:t>
      </w:r>
      <w:r w:rsidRPr="00F058BA">
        <w:rPr>
          <w:i/>
        </w:rPr>
        <w:t xml:space="preserve">rice </w:t>
      </w:r>
      <w:r w:rsidR="0025767B" w:rsidRPr="00F058BA">
        <w:rPr>
          <w:i/>
        </w:rPr>
        <w:t>S</w:t>
      </w:r>
      <w:r w:rsidRPr="00F058BA">
        <w:rPr>
          <w:i/>
        </w:rPr>
        <w:t>ubmission</w:t>
      </w:r>
      <w:r w:rsidRPr="00F058BA">
        <w:t>,</w:t>
      </w:r>
      <w:r w:rsidR="0025767B" w:rsidRPr="00F058BA">
        <w:t xml:space="preserve"> 28</w:t>
      </w:r>
      <w:r w:rsidRPr="00F058BA">
        <w:t xml:space="preserve"> September, pp. 153–157.</w:t>
      </w:r>
    </w:p>
  </w:footnote>
  <w:footnote w:id="28">
    <w:p w14:paraId="642EF812" w14:textId="77777777" w:rsidR="00054DEB" w:rsidRPr="007B378A" w:rsidRDefault="00054DEB" w:rsidP="00054DEB">
      <w:pPr>
        <w:pStyle w:val="FootnoteText"/>
        <w:rPr>
          <w:lang w:val="en-US"/>
        </w:rPr>
      </w:pPr>
      <w:r w:rsidRPr="00F058BA">
        <w:rPr>
          <w:rStyle w:val="FootnoteReference"/>
        </w:rPr>
        <w:footnoteRef/>
      </w:r>
      <w:r w:rsidRPr="00F058BA">
        <w:t xml:space="preserve"> </w:t>
      </w:r>
      <w:r w:rsidRPr="00F058BA">
        <w:rPr>
          <w:lang w:val="en-US"/>
        </w:rPr>
        <w:tab/>
      </w:r>
      <w:r w:rsidRPr="00F058BA">
        <w:t>Greater Western Water provided an end of period rating for its City West Water and Western Water service areas in its price submission.</w:t>
      </w:r>
    </w:p>
  </w:footnote>
  <w:footnote w:id="29">
    <w:p w14:paraId="78EFB10A" w14:textId="225DBC4C" w:rsidR="00054DEB" w:rsidRPr="00F058BA" w:rsidRDefault="00054DEB" w:rsidP="00054DEB">
      <w:pPr>
        <w:pStyle w:val="FootnoteText"/>
      </w:pPr>
      <w:r w:rsidRPr="00F058BA">
        <w:rPr>
          <w:rStyle w:val="FootnoteReference"/>
        </w:rPr>
        <w:footnoteRef/>
      </w:r>
      <w:r w:rsidRPr="00F058BA">
        <w:t xml:space="preserve"> </w:t>
      </w:r>
      <w:r w:rsidR="00BE2DCA" w:rsidRPr="00F058BA">
        <w:tab/>
      </w:r>
      <w:r w:rsidRPr="00F058BA">
        <w:t>Essential Services Commission, Greater Western Water’s (formerly City West Water) outcomes performance 2022</w:t>
      </w:r>
      <w:r w:rsidR="00FA7C85">
        <w:noBreakHyphen/>
      </w:r>
      <w:r w:rsidRPr="00F058BA">
        <w:t>23, October 2023. For information on Greater Western Water’s assessment of its performance see Greater Western Water, 2024 water price submission, September 2023, pp. 153–157.</w:t>
      </w:r>
    </w:p>
  </w:footnote>
  <w:footnote w:id="30">
    <w:p w14:paraId="1E67B90E" w14:textId="4FAE387B" w:rsidR="00054DEB" w:rsidRDefault="00054DEB" w:rsidP="00054DEB">
      <w:pPr>
        <w:pStyle w:val="FootnoteText"/>
      </w:pPr>
      <w:r w:rsidRPr="00F058BA">
        <w:rPr>
          <w:rStyle w:val="FootnoteReference"/>
        </w:rPr>
        <w:footnoteRef/>
      </w:r>
      <w:r w:rsidRPr="00F058BA">
        <w:t xml:space="preserve"> Greater Western Water</w:t>
      </w:r>
      <w:r w:rsidR="00811E79" w:rsidRPr="00F058BA">
        <w:t xml:space="preserve"> 2023</w:t>
      </w:r>
      <w:r w:rsidRPr="00F058BA">
        <w:t xml:space="preserve">, </w:t>
      </w:r>
      <w:r w:rsidRPr="00F058BA">
        <w:rPr>
          <w:i/>
        </w:rPr>
        <w:t xml:space="preserve">2024 </w:t>
      </w:r>
      <w:r w:rsidR="00811E79" w:rsidRPr="00F058BA">
        <w:rPr>
          <w:i/>
        </w:rPr>
        <w:t>P</w:t>
      </w:r>
      <w:r w:rsidRPr="00F058BA">
        <w:rPr>
          <w:i/>
        </w:rPr>
        <w:t xml:space="preserve">rice </w:t>
      </w:r>
      <w:r w:rsidR="00811E79" w:rsidRPr="00F058BA">
        <w:rPr>
          <w:i/>
        </w:rPr>
        <w:t>Submission</w:t>
      </w:r>
      <w:r w:rsidRPr="00F058BA">
        <w:t xml:space="preserve">, </w:t>
      </w:r>
      <w:r w:rsidR="00D5548C" w:rsidRPr="00F058BA">
        <w:t xml:space="preserve">28 </w:t>
      </w:r>
      <w:r w:rsidRPr="00F058BA">
        <w:t>September, p.</w:t>
      </w:r>
      <w:r w:rsidR="00275215" w:rsidRPr="00F058BA">
        <w:t> </w:t>
      </w:r>
      <w:r w:rsidRPr="00F058BA">
        <w:t>155; Essential Services Commission</w:t>
      </w:r>
      <w:r w:rsidR="007278A5" w:rsidRPr="00F058BA">
        <w:t xml:space="preserve"> 2023</w:t>
      </w:r>
      <w:r w:rsidRPr="00F058BA">
        <w:t>, Greater Western Water’s (formerly City West Water) outcomes performance 2022-23, October.</w:t>
      </w:r>
    </w:p>
  </w:footnote>
  <w:footnote w:id="31">
    <w:p w14:paraId="0C3321A2" w14:textId="324E8F2E" w:rsidR="00054DEB" w:rsidRPr="007C1E84" w:rsidRDefault="00054DEB" w:rsidP="00054DEB">
      <w:pPr>
        <w:pStyle w:val="FootnoteText"/>
      </w:pPr>
      <w:r w:rsidRPr="007C1E84">
        <w:rPr>
          <w:rStyle w:val="FootnoteReference"/>
        </w:rPr>
        <w:footnoteRef/>
      </w:r>
      <w:r w:rsidRPr="007C1E84">
        <w:t xml:space="preserve"> Essential Services Commission</w:t>
      </w:r>
      <w:r w:rsidR="001D5500" w:rsidRPr="007C1E84">
        <w:t xml:space="preserve"> 2023</w:t>
      </w:r>
      <w:r w:rsidRPr="007C1E84">
        <w:t>, Greater Western Water’s (formerly Western Water’s service area) outcomes performance 2022-23, December. For information on Greater Western Water’s assessment of its performance see Greater Western Water</w:t>
      </w:r>
      <w:r w:rsidR="00B53A56" w:rsidRPr="007C1E84">
        <w:t xml:space="preserve"> 2023</w:t>
      </w:r>
      <w:r w:rsidRPr="007C1E84">
        <w:t xml:space="preserve">, </w:t>
      </w:r>
      <w:r w:rsidRPr="007C1E84">
        <w:rPr>
          <w:i/>
        </w:rPr>
        <w:t xml:space="preserve">2024 </w:t>
      </w:r>
      <w:r w:rsidR="00D16406" w:rsidRPr="007C1E84">
        <w:rPr>
          <w:i/>
        </w:rPr>
        <w:t>P</w:t>
      </w:r>
      <w:r w:rsidRPr="007C1E84">
        <w:rPr>
          <w:i/>
        </w:rPr>
        <w:t xml:space="preserve">rice </w:t>
      </w:r>
      <w:r w:rsidR="00B53A56" w:rsidRPr="007C1E84">
        <w:rPr>
          <w:i/>
          <w:iCs/>
        </w:rPr>
        <w:t>S</w:t>
      </w:r>
      <w:r w:rsidRPr="007C1E84">
        <w:rPr>
          <w:i/>
          <w:iCs/>
        </w:rPr>
        <w:t>ubmission</w:t>
      </w:r>
      <w:r w:rsidRPr="007C1E84">
        <w:t xml:space="preserve">, </w:t>
      </w:r>
      <w:r w:rsidR="00B53A56" w:rsidRPr="007C1E84">
        <w:t>28</w:t>
      </w:r>
      <w:r w:rsidRPr="007C1E84">
        <w:t xml:space="preserve"> September, pp.</w:t>
      </w:r>
      <w:r w:rsidR="001C7ABB" w:rsidRPr="007C1E84">
        <w:t> </w:t>
      </w:r>
      <w:r w:rsidRPr="007C1E84">
        <w:t>153–157.</w:t>
      </w:r>
    </w:p>
  </w:footnote>
  <w:footnote w:id="32">
    <w:p w14:paraId="1163BA5F" w14:textId="18D15EC1" w:rsidR="00054DEB" w:rsidRPr="007C1E84" w:rsidRDefault="00054DEB" w:rsidP="00054DEB">
      <w:pPr>
        <w:pStyle w:val="FootnoteText"/>
      </w:pPr>
      <w:r w:rsidRPr="007C1E84">
        <w:rPr>
          <w:rStyle w:val="FootnoteReference"/>
        </w:rPr>
        <w:footnoteRef/>
      </w:r>
      <w:r w:rsidR="00272828" w:rsidRPr="007C1E84">
        <w:t xml:space="preserve"> </w:t>
      </w:r>
      <w:r w:rsidR="00272828" w:rsidRPr="007C1E84">
        <w:tab/>
        <w:t xml:space="preserve">Greater Western Water 2023, </w:t>
      </w:r>
      <w:r w:rsidR="00272828" w:rsidRPr="007C1E84">
        <w:rPr>
          <w:i/>
          <w:iCs/>
        </w:rPr>
        <w:t>2024 Price Submission</w:t>
      </w:r>
      <w:r w:rsidR="00272828" w:rsidRPr="007C1E84">
        <w:t>, 28 September, p. 157; Essential Services Commission</w:t>
      </w:r>
      <w:r w:rsidR="008F7AD3" w:rsidRPr="007C1E84">
        <w:t xml:space="preserve"> 2023</w:t>
      </w:r>
      <w:r w:rsidR="00272828" w:rsidRPr="007C1E84">
        <w:t xml:space="preserve">, </w:t>
      </w:r>
      <w:r w:rsidR="00272828" w:rsidRPr="007C1E84">
        <w:rPr>
          <w:i/>
        </w:rPr>
        <w:t>Greater Western Water’s (formerly Western Water) outcomes performance 2022-23</w:t>
      </w:r>
      <w:r w:rsidR="00272828" w:rsidRPr="007C1E84">
        <w:t>, October.</w:t>
      </w:r>
    </w:p>
  </w:footnote>
  <w:footnote w:id="33">
    <w:p w14:paraId="647139C6" w14:textId="77777777" w:rsidR="00703377" w:rsidRPr="003E757B" w:rsidRDefault="00703377" w:rsidP="00703377">
      <w:pPr>
        <w:pStyle w:val="FootnoteText"/>
      </w:pPr>
      <w:r w:rsidRPr="00E10749">
        <w:rPr>
          <w:rStyle w:val="FootnoteReference"/>
        </w:rPr>
        <w:footnoteRef/>
      </w:r>
      <w:r w:rsidRPr="00E10749">
        <w:t xml:space="preserve"> </w:t>
      </w:r>
      <w:r w:rsidRPr="00E10749">
        <w:tab/>
      </w:r>
      <w:r w:rsidRPr="003E757B">
        <w:t>Friends of Steele Creek submission to the Essential Services Commission on Greater Western Water’s 2024 price submission, 3 December 2023.</w:t>
      </w:r>
    </w:p>
    <w:p w14:paraId="66C24FF9" w14:textId="77777777" w:rsidR="00703377" w:rsidRPr="003E757B" w:rsidRDefault="00703377" w:rsidP="00703377">
      <w:pPr>
        <w:pStyle w:val="FootnoteText"/>
      </w:pPr>
      <w:r w:rsidRPr="003E757B">
        <w:tab/>
        <w:t>Macedon Water Think Tank submission to the Essential Services Commission on Greater Western Water’s 2024 price submission, 13 December 2023.</w:t>
      </w:r>
    </w:p>
    <w:p w14:paraId="4782E4A4" w14:textId="77777777" w:rsidR="00703377" w:rsidRPr="003E757B" w:rsidRDefault="00703377" w:rsidP="00703377">
      <w:pPr>
        <w:pStyle w:val="FootnoteText"/>
      </w:pPr>
      <w:r w:rsidRPr="003E757B">
        <w:tab/>
        <w:t>Werribee River Association submission to the Essential Services Commission on Greater Western Water’s 2024 price submission, 13 December 2023.</w:t>
      </w:r>
    </w:p>
    <w:p w14:paraId="038A319C" w14:textId="77777777" w:rsidR="00703377" w:rsidRPr="003E757B" w:rsidRDefault="00703377" w:rsidP="00703377">
      <w:pPr>
        <w:pStyle w:val="FootnoteText"/>
      </w:pPr>
      <w:r w:rsidRPr="003E757B">
        <w:tab/>
        <w:t>Concerned Waterways Alliance, submission to the Essential Services Commission on Greater Western Water’s 2024 price submission, 14 December 2023.</w:t>
      </w:r>
    </w:p>
  </w:footnote>
  <w:footnote w:id="34">
    <w:p w14:paraId="6A312023" w14:textId="138022D9" w:rsidR="00054DEB" w:rsidRDefault="00054DEB" w:rsidP="00054DEB">
      <w:pPr>
        <w:pStyle w:val="FootnoteText"/>
      </w:pPr>
      <w:r w:rsidRPr="007C1E84">
        <w:rPr>
          <w:rStyle w:val="FootnoteReference"/>
        </w:rPr>
        <w:footnoteRef/>
      </w:r>
      <w:r w:rsidRPr="007C1E84">
        <w:t xml:space="preserve"> </w:t>
      </w:r>
      <w:r w:rsidR="00272828" w:rsidRPr="007C1E84">
        <w:tab/>
      </w:r>
      <w:r w:rsidRPr="007C1E84">
        <w:t>Greater Western Water</w:t>
      </w:r>
      <w:r w:rsidR="00FD5BDE" w:rsidRPr="007C1E84">
        <w:t xml:space="preserve"> 2023</w:t>
      </w:r>
      <w:r w:rsidRPr="007C1E84">
        <w:t xml:space="preserve">, </w:t>
      </w:r>
      <w:r w:rsidRPr="007C1E84">
        <w:rPr>
          <w:i/>
        </w:rPr>
        <w:t xml:space="preserve">2024 </w:t>
      </w:r>
      <w:r w:rsidR="00FD5BDE" w:rsidRPr="007C1E84">
        <w:rPr>
          <w:i/>
          <w:iCs/>
        </w:rPr>
        <w:t>Price Submission</w:t>
      </w:r>
      <w:r w:rsidRPr="007C1E84">
        <w:t xml:space="preserve">, </w:t>
      </w:r>
      <w:r w:rsidR="00FD5BDE" w:rsidRPr="007C1E84">
        <w:t>28</w:t>
      </w:r>
      <w:r w:rsidRPr="007C1E84">
        <w:t xml:space="preserve"> September, p. 153.</w:t>
      </w:r>
    </w:p>
  </w:footnote>
  <w:footnote w:id="35">
    <w:p w14:paraId="79AADA32" w14:textId="770D3A04" w:rsidR="00054DEB" w:rsidRPr="007C1E84" w:rsidRDefault="00054DEB" w:rsidP="00054DEB">
      <w:pPr>
        <w:pStyle w:val="FootnoteText"/>
      </w:pPr>
      <w:r w:rsidRPr="007C1E84">
        <w:rPr>
          <w:rStyle w:val="FootnoteReference"/>
        </w:rPr>
        <w:footnoteRef/>
      </w:r>
      <w:r w:rsidRPr="007C1E84">
        <w:t xml:space="preserve"> </w:t>
      </w:r>
      <w:r w:rsidR="00272828" w:rsidRPr="007C1E84">
        <w:tab/>
      </w:r>
      <w:r w:rsidRPr="007C1E84">
        <w:t>Greater Western Water</w:t>
      </w:r>
      <w:r w:rsidR="000612F8" w:rsidRPr="007C1E84">
        <w:t xml:space="preserve"> 2023</w:t>
      </w:r>
      <w:r w:rsidRPr="007C1E84">
        <w:t xml:space="preserve">, </w:t>
      </w:r>
      <w:r w:rsidRPr="007C1E84">
        <w:rPr>
          <w:i/>
        </w:rPr>
        <w:t xml:space="preserve">2024 </w:t>
      </w:r>
      <w:r w:rsidR="00FE2205" w:rsidRPr="007C1E84">
        <w:rPr>
          <w:i/>
        </w:rPr>
        <w:t>Price Submission</w:t>
      </w:r>
      <w:r w:rsidRPr="007C1E84">
        <w:t>,</w:t>
      </w:r>
      <w:r w:rsidR="00FE2205" w:rsidRPr="007C1E84">
        <w:t xml:space="preserve"> 28</w:t>
      </w:r>
      <w:r w:rsidRPr="007C1E84">
        <w:t xml:space="preserve"> September, pp. 22–45.</w:t>
      </w:r>
    </w:p>
  </w:footnote>
  <w:footnote w:id="36">
    <w:p w14:paraId="2A819731" w14:textId="0B9007F2" w:rsidR="00054DEB" w:rsidRPr="007C1E84" w:rsidRDefault="00054DEB" w:rsidP="00054DEB">
      <w:pPr>
        <w:pStyle w:val="FootnoteText"/>
        <w:rPr>
          <w:lang w:val="en-US"/>
        </w:rPr>
      </w:pPr>
      <w:r w:rsidRPr="007C1E84">
        <w:rPr>
          <w:rStyle w:val="FootnoteReference"/>
        </w:rPr>
        <w:footnoteRef/>
      </w:r>
      <w:r w:rsidRPr="007C1E84">
        <w:t xml:space="preserve"> </w:t>
      </w:r>
      <w:r w:rsidRPr="007C1E84">
        <w:tab/>
        <w:t xml:space="preserve">Essential Services Commission 2022, </w:t>
      </w:r>
      <w:r w:rsidRPr="007C1E84">
        <w:rPr>
          <w:i/>
        </w:rPr>
        <w:t>2024 Greater Western Water price review: Guidance paper</w:t>
      </w:r>
      <w:r w:rsidRPr="007C1E84">
        <w:t>, 20 September, p.</w:t>
      </w:r>
      <w:r w:rsidR="00393475" w:rsidRPr="007C1E84">
        <w:t> </w:t>
      </w:r>
      <w:r w:rsidRPr="007C1E84">
        <w:t>24.</w:t>
      </w:r>
    </w:p>
  </w:footnote>
  <w:footnote w:id="37">
    <w:p w14:paraId="48920359" w14:textId="0D04D4EF" w:rsidR="00054DEB" w:rsidRPr="00E66C5F" w:rsidRDefault="00054DEB" w:rsidP="00054DEB">
      <w:pPr>
        <w:pStyle w:val="FootnoteText"/>
        <w:rPr>
          <w:highlight w:val="cyan"/>
          <w:lang w:val="en-US"/>
        </w:rPr>
      </w:pPr>
      <w:r w:rsidRPr="007C1E84">
        <w:rPr>
          <w:rStyle w:val="FootnoteReference"/>
        </w:rPr>
        <w:footnoteRef/>
      </w:r>
      <w:r w:rsidRPr="007C1E84">
        <w:t xml:space="preserve"> </w:t>
      </w:r>
      <w:r w:rsidRPr="007C1E84">
        <w:tab/>
        <w:t>Greater Western Water</w:t>
      </w:r>
      <w:r w:rsidR="003028D4" w:rsidRPr="007C1E84">
        <w:t xml:space="preserve"> 2023</w:t>
      </w:r>
      <w:r w:rsidRPr="007C1E84">
        <w:t xml:space="preserve">, </w:t>
      </w:r>
      <w:r w:rsidRPr="007C1E84">
        <w:rPr>
          <w:i/>
        </w:rPr>
        <w:t xml:space="preserve">2024 </w:t>
      </w:r>
      <w:r w:rsidR="003028D4" w:rsidRPr="007C1E84">
        <w:rPr>
          <w:i/>
          <w:iCs/>
        </w:rPr>
        <w:t>P</w:t>
      </w:r>
      <w:r w:rsidRPr="007C1E84">
        <w:rPr>
          <w:i/>
          <w:iCs/>
        </w:rPr>
        <w:t xml:space="preserve">rice </w:t>
      </w:r>
      <w:r w:rsidR="003028D4" w:rsidRPr="007C1E84">
        <w:rPr>
          <w:i/>
          <w:iCs/>
        </w:rPr>
        <w:t>S</w:t>
      </w:r>
      <w:r w:rsidRPr="007C1E84">
        <w:rPr>
          <w:i/>
          <w:iCs/>
        </w:rPr>
        <w:t>ubmission</w:t>
      </w:r>
      <w:r w:rsidRPr="007C1E84">
        <w:t xml:space="preserve">, </w:t>
      </w:r>
      <w:r w:rsidRPr="007C1E84">
        <w:rPr>
          <w:i/>
        </w:rPr>
        <w:t>Appendix C: Customer Scorecard</w:t>
      </w:r>
      <w:r w:rsidRPr="007C1E84">
        <w:t xml:space="preserve">, </w:t>
      </w:r>
      <w:r w:rsidR="00D6000C" w:rsidRPr="007C1E84">
        <w:t>28 September,</w:t>
      </w:r>
      <w:r w:rsidRPr="007C1E84">
        <w:t xml:space="preserve"> pp. 202–204; Insync and Mosaic Lab 2023, Customer Forum Summary Report, June.</w:t>
      </w:r>
    </w:p>
  </w:footnote>
  <w:footnote w:id="38">
    <w:p w14:paraId="2497514A" w14:textId="2204DC5A" w:rsidR="00054DEB" w:rsidRPr="000232FE" w:rsidRDefault="00054DEB" w:rsidP="00054DEB">
      <w:pPr>
        <w:pStyle w:val="FootnoteText"/>
        <w:rPr>
          <w:lang w:val="en-US"/>
        </w:rPr>
      </w:pPr>
      <w:r w:rsidRPr="007C1E84">
        <w:rPr>
          <w:rStyle w:val="FootnoteReference"/>
        </w:rPr>
        <w:footnoteRef/>
      </w:r>
      <w:r w:rsidRPr="007C1E84">
        <w:t xml:space="preserve"> </w:t>
      </w:r>
      <w:r w:rsidRPr="007C1E84">
        <w:tab/>
        <w:t>Greater Western Water</w:t>
      </w:r>
      <w:r w:rsidR="003F4F60" w:rsidRPr="007C1E84">
        <w:t xml:space="preserve"> 2023</w:t>
      </w:r>
      <w:r w:rsidRPr="007C1E84">
        <w:t xml:space="preserve">, </w:t>
      </w:r>
      <w:r w:rsidRPr="007C1E84">
        <w:rPr>
          <w:i/>
        </w:rPr>
        <w:t xml:space="preserve">2024 </w:t>
      </w:r>
      <w:r w:rsidR="003F4F60" w:rsidRPr="007C1E84">
        <w:rPr>
          <w:i/>
          <w:iCs/>
        </w:rPr>
        <w:t>Price Submission</w:t>
      </w:r>
      <w:r w:rsidRPr="007C1E84">
        <w:rPr>
          <w:lang w:val="en-US"/>
        </w:rPr>
        <w:t>, September 2023, p. 22.</w:t>
      </w:r>
    </w:p>
  </w:footnote>
  <w:footnote w:id="39">
    <w:p w14:paraId="29912428" w14:textId="1799FEE1" w:rsidR="00BB06B0" w:rsidRDefault="00BB06B0" w:rsidP="00BB06B0">
      <w:pPr>
        <w:pStyle w:val="FootnoteText"/>
      </w:pPr>
      <w:r w:rsidRPr="007C1E84">
        <w:rPr>
          <w:rStyle w:val="FootnoteReference"/>
        </w:rPr>
        <w:footnoteRef/>
      </w:r>
      <w:r w:rsidRPr="007C1E84">
        <w:t xml:space="preserve"> Greater Western Water</w:t>
      </w:r>
      <w:r w:rsidR="006802CF" w:rsidRPr="007C1E84">
        <w:t xml:space="preserve"> 2023</w:t>
      </w:r>
      <w:r w:rsidRPr="007C1E84">
        <w:t xml:space="preserve">, </w:t>
      </w:r>
      <w:r w:rsidRPr="007C1E84">
        <w:rPr>
          <w:i/>
        </w:rPr>
        <w:t>Greater Western Water Customer Forum Summary Report</w:t>
      </w:r>
      <w:r w:rsidRPr="007C1E84">
        <w:t>, 8 June, pp. 19–20.</w:t>
      </w:r>
    </w:p>
  </w:footnote>
  <w:footnote w:id="40">
    <w:p w14:paraId="31B565F1" w14:textId="59F5A452" w:rsidR="00A9068B" w:rsidRPr="00A9068B" w:rsidRDefault="00A9068B" w:rsidP="00A9068B">
      <w:pPr>
        <w:pStyle w:val="FootnoteText"/>
        <w:rPr>
          <w:lang w:val="en-US"/>
        </w:rPr>
      </w:pPr>
      <w:r w:rsidRPr="007C1E84">
        <w:rPr>
          <w:rStyle w:val="FootnoteReference"/>
        </w:rPr>
        <w:footnoteRef/>
      </w:r>
      <w:r w:rsidRPr="007C1E84">
        <w:t xml:space="preserve"> </w:t>
      </w:r>
      <w:r w:rsidRPr="007C1E84">
        <w:tab/>
        <w:t xml:space="preserve">We met with officers of the Department of </w:t>
      </w:r>
      <w:r w:rsidR="00DB711E" w:rsidRPr="007C1E84">
        <w:t xml:space="preserve">Energy, </w:t>
      </w:r>
      <w:r w:rsidRPr="007C1E84">
        <w:t xml:space="preserve">Environment and </w:t>
      </w:r>
      <w:r w:rsidR="004D2B9B" w:rsidRPr="007C1E84">
        <w:t>Climate Action</w:t>
      </w:r>
      <w:r w:rsidRPr="007C1E84">
        <w:t xml:space="preserve">, the Department of Health, and the Environment Protection Authority Victoria, to discuss their expectations of </w:t>
      </w:r>
      <w:r w:rsidR="00AA1D9F" w:rsidRPr="007C1E84">
        <w:t>Greater Western Water</w:t>
      </w:r>
      <w:r w:rsidRPr="007C1E84">
        <w:t xml:space="preserve"> in the regulatory period from 1 July </w:t>
      </w:r>
      <w:r w:rsidR="00EC24F0" w:rsidRPr="007C1E84">
        <w:t>2024</w:t>
      </w:r>
      <w:r w:rsidRPr="007C1E84">
        <w:t>. We had regard to their views in arriving at our draft decision.</w:t>
      </w:r>
    </w:p>
  </w:footnote>
  <w:footnote w:id="41">
    <w:p w14:paraId="692B1E10" w14:textId="274AC646" w:rsidR="001A6D08" w:rsidRPr="00077B32" w:rsidRDefault="001A6D08" w:rsidP="001A6D08">
      <w:pPr>
        <w:pStyle w:val="FootnoteText"/>
      </w:pPr>
      <w:r w:rsidRPr="00077B32">
        <w:rPr>
          <w:rStyle w:val="FootnoteReference"/>
        </w:rPr>
        <w:footnoteRef/>
      </w:r>
      <w:r w:rsidRPr="00077B32">
        <w:t xml:space="preserve"> </w:t>
      </w:r>
      <w:r w:rsidR="00B00E2B" w:rsidRPr="00077B32">
        <w:tab/>
      </w:r>
      <w:r w:rsidRPr="00077B32">
        <w:t xml:space="preserve">FTI Consulting </w:t>
      </w:r>
      <w:r w:rsidR="004D0B40" w:rsidRPr="00077B32">
        <w:t xml:space="preserve">provided input into </w:t>
      </w:r>
      <w:r w:rsidRPr="00077B32">
        <w:t>the</w:t>
      </w:r>
      <w:r w:rsidR="003C7C70" w:rsidRPr="00077B32">
        <w:t xml:space="preserve"> commission’s</w:t>
      </w:r>
      <w:r w:rsidRPr="00077B32">
        <w:t xml:space="preserve"> expenditure assessment for 14 water businesses during our recent 2023</w:t>
      </w:r>
      <w:r w:rsidR="0012117B" w:rsidRPr="00077B32">
        <w:t> </w:t>
      </w:r>
      <w:r w:rsidRPr="00077B32">
        <w:t xml:space="preserve">water price review. We consider this recent experience ensures the assessment and advice of Greater Western Water’s expenditure forecasts will be consistent with the </w:t>
      </w:r>
      <w:r w:rsidR="00A74712" w:rsidRPr="00077B32">
        <w:t xml:space="preserve">process </w:t>
      </w:r>
      <w:r w:rsidR="00CA05F0" w:rsidRPr="00077B32">
        <w:t xml:space="preserve">we undertook </w:t>
      </w:r>
      <w:r w:rsidR="007D2C53" w:rsidRPr="00077B32">
        <w:t>for</w:t>
      </w:r>
      <w:r w:rsidR="00A74712" w:rsidRPr="00077B32">
        <w:t xml:space="preserve"> the </w:t>
      </w:r>
      <w:r w:rsidRPr="00077B32">
        <w:t>2023 price review.</w:t>
      </w:r>
    </w:p>
  </w:footnote>
  <w:footnote w:id="42">
    <w:p w14:paraId="7EDE5384" w14:textId="74607A62" w:rsidR="001A6D08" w:rsidRPr="00073D01" w:rsidRDefault="001A6D08" w:rsidP="001A6D08">
      <w:pPr>
        <w:pStyle w:val="FootnoteText"/>
        <w:rPr>
          <w:lang w:val="en-US"/>
        </w:rPr>
      </w:pPr>
      <w:r w:rsidRPr="00077B32">
        <w:rPr>
          <w:rStyle w:val="FootnoteReference"/>
        </w:rPr>
        <w:footnoteRef/>
      </w:r>
      <w:r w:rsidRPr="00077B32">
        <w:t xml:space="preserve"> </w:t>
      </w:r>
      <w:r w:rsidRPr="00077B32">
        <w:tab/>
        <w:t>FTI Consulting</w:t>
      </w:r>
      <w:r w:rsidR="005137BA" w:rsidRPr="00077B32">
        <w:t xml:space="preserve"> 2024</w:t>
      </w:r>
      <w:r w:rsidRPr="00077B32">
        <w:t>,</w:t>
      </w:r>
      <w:r w:rsidRPr="00077B32">
        <w:rPr>
          <w:i/>
        </w:rPr>
        <w:t xml:space="preserve"> Greater Western Water: Review of Expenditure Forecasts - 2024 water price review</w:t>
      </w:r>
      <w:r w:rsidRPr="00077B32">
        <w:t>, February.</w:t>
      </w:r>
    </w:p>
  </w:footnote>
  <w:footnote w:id="43">
    <w:p w14:paraId="78794D2E" w14:textId="77777777" w:rsidR="001D02A7" w:rsidDel="00E946FD" w:rsidRDefault="001D02A7" w:rsidP="00EF1FAA">
      <w:pPr>
        <w:pStyle w:val="FootnoteText"/>
      </w:pPr>
      <w:r w:rsidRPr="006F188E" w:rsidDel="00E946FD">
        <w:rPr>
          <w:rStyle w:val="FootnoteReference"/>
        </w:rPr>
        <w:footnoteRef/>
      </w:r>
      <w:r w:rsidRPr="006F188E" w:rsidDel="00E946FD">
        <w:t xml:space="preserve"> </w:t>
      </w:r>
      <w:r w:rsidRPr="006F188E" w:rsidDel="00E946FD">
        <w:tab/>
        <w:t>We consider prudent and efficient operating expenditure are operating costs that a prudent service provider would incur when acting efficiently to achieve the lowest cost in delivering the outcomes specified in Greater Western Water’s price submission.</w:t>
      </w:r>
    </w:p>
  </w:footnote>
  <w:footnote w:id="44">
    <w:p w14:paraId="5BB480EB" w14:textId="799DE7BB" w:rsidR="00C40C54" w:rsidRPr="00C1372C" w:rsidRDefault="00C40C54" w:rsidP="00C40C54">
      <w:pPr>
        <w:pStyle w:val="FootnoteText"/>
        <w:rPr>
          <w:highlight w:val="darkGray"/>
        </w:rPr>
      </w:pPr>
      <w:r w:rsidRPr="00F7268B">
        <w:rPr>
          <w:rStyle w:val="FootnoteReference"/>
        </w:rPr>
        <w:footnoteRef/>
      </w:r>
      <w:r w:rsidRPr="00F7268B">
        <w:t xml:space="preserve"> Essential Services Commission 2022, </w:t>
      </w:r>
      <w:r w:rsidRPr="00F7268B">
        <w:rPr>
          <w:i/>
        </w:rPr>
        <w:t>2024 Greater Western Water price review: Guidance paper</w:t>
      </w:r>
      <w:r w:rsidRPr="00F7268B">
        <w:t>, 20 September, p. 30.</w:t>
      </w:r>
    </w:p>
  </w:footnote>
  <w:footnote w:id="45">
    <w:p w14:paraId="36C29F4C" w14:textId="2B387B03" w:rsidR="00C40C54" w:rsidRDefault="00C40C54" w:rsidP="00C40C54">
      <w:pPr>
        <w:pStyle w:val="FootnoteText"/>
      </w:pPr>
      <w:r w:rsidRPr="006F188E">
        <w:rPr>
          <w:rStyle w:val="FootnoteReference"/>
        </w:rPr>
        <w:footnoteRef/>
      </w:r>
      <w:r w:rsidRPr="006F188E">
        <w:t xml:space="preserve"> </w:t>
      </w:r>
      <w:r w:rsidR="002B18D8" w:rsidRPr="006F188E">
        <w:tab/>
      </w:r>
      <w:r w:rsidRPr="006F188E">
        <w:t xml:space="preserve">Essential Services Commission 2022, </w:t>
      </w:r>
      <w:r w:rsidRPr="006F188E">
        <w:rPr>
          <w:i/>
        </w:rPr>
        <w:t>2024 Greater Western Water price review: Guidance paper</w:t>
      </w:r>
      <w:r w:rsidRPr="006F188E">
        <w:t>, 20 September, pp. 32–33.</w:t>
      </w:r>
    </w:p>
  </w:footnote>
  <w:footnote w:id="46">
    <w:p w14:paraId="0E90C646" w14:textId="77777777" w:rsidR="009B3838" w:rsidRDefault="009B3838" w:rsidP="009B3838">
      <w:pPr>
        <w:pStyle w:val="FootnoteText"/>
      </w:pPr>
      <w:r w:rsidRPr="006F188E">
        <w:rPr>
          <w:rStyle w:val="FootnoteReference"/>
        </w:rPr>
        <w:footnoteRef/>
      </w:r>
      <w:r w:rsidRPr="006F188E">
        <w:t xml:space="preserve"> </w:t>
      </w:r>
      <w:r w:rsidRPr="006F188E">
        <w:tab/>
        <w:t>Greater Western Water’s price submission indicates total FTEs increased from 470 at the end of 2017</w:t>
      </w:r>
      <w:r w:rsidRPr="006F188E">
        <w:noBreakHyphen/>
        <w:t>18, to 493 in 2019</w:t>
      </w:r>
      <w:r w:rsidRPr="006F188E">
        <w:noBreakHyphen/>
        <w:t>20, to 587 in 2020</w:t>
      </w:r>
      <w:r w:rsidRPr="006F188E">
        <w:noBreakHyphen/>
        <w:t xml:space="preserve">21 following the merger announcement in October 2020, to 634 as </w:t>
      </w:r>
      <w:proofErr w:type="gramStart"/>
      <w:r w:rsidRPr="006F188E">
        <w:t>at</w:t>
      </w:r>
      <w:proofErr w:type="gramEnd"/>
      <w:r w:rsidRPr="006F188E">
        <w:t xml:space="preserve"> 30 June 2023. The forecast then remains relatively flat at 635 FTEs until 2033.</w:t>
      </w:r>
    </w:p>
  </w:footnote>
  <w:footnote w:id="47">
    <w:p w14:paraId="09963449" w14:textId="16FE2FAC" w:rsidR="006A51FB" w:rsidRDefault="006A51FB">
      <w:pPr>
        <w:pStyle w:val="FootnoteText"/>
      </w:pPr>
      <w:r w:rsidRPr="006F188E">
        <w:rPr>
          <w:rStyle w:val="FootnoteReference"/>
        </w:rPr>
        <w:footnoteRef/>
      </w:r>
      <w:r w:rsidRPr="006F188E">
        <w:t xml:space="preserve"> </w:t>
      </w:r>
      <w:r w:rsidR="00952AFD" w:rsidRPr="006F188E">
        <w:tab/>
        <w:t>FTI Consulting</w:t>
      </w:r>
      <w:r w:rsidR="006261E6" w:rsidRPr="006F188E">
        <w:t xml:space="preserve"> 2024</w:t>
      </w:r>
      <w:r w:rsidR="00952AFD" w:rsidRPr="006F188E">
        <w:t xml:space="preserve">, </w:t>
      </w:r>
      <w:r w:rsidR="00952AFD" w:rsidRPr="006F188E">
        <w:rPr>
          <w:i/>
        </w:rPr>
        <w:t>Greater Western Water: Review of Expenditure Forecasts - 2024 water price review,</w:t>
      </w:r>
      <w:r w:rsidR="00952AFD" w:rsidRPr="006F188E">
        <w:t xml:space="preserve"> February, p.</w:t>
      </w:r>
      <w:r w:rsidR="004A4832" w:rsidRPr="006F188E">
        <w:t> </w:t>
      </w:r>
      <w:r w:rsidR="00867AB9" w:rsidRPr="006F188E">
        <w:t>4</w:t>
      </w:r>
      <w:r w:rsidR="006D0CC0" w:rsidRPr="006F188E">
        <w:t>.</w:t>
      </w:r>
    </w:p>
  </w:footnote>
  <w:footnote w:id="48">
    <w:p w14:paraId="688BFA2A" w14:textId="7C92660E" w:rsidR="008D32CD" w:rsidRPr="00081687" w:rsidRDefault="008D32CD" w:rsidP="008D32CD">
      <w:pPr>
        <w:pStyle w:val="FootnoteText"/>
      </w:pPr>
      <w:r w:rsidRPr="00081687">
        <w:rPr>
          <w:rStyle w:val="FootnoteReference"/>
        </w:rPr>
        <w:footnoteRef/>
      </w:r>
      <w:r w:rsidRPr="00081687">
        <w:t xml:space="preserve"> </w:t>
      </w:r>
      <w:r w:rsidRPr="00081687">
        <w:tab/>
      </w:r>
      <w:r w:rsidRPr="00081687">
        <w:rPr>
          <w:lang w:val="en-US"/>
        </w:rPr>
        <w:t>Greater Western Water</w:t>
      </w:r>
      <w:r w:rsidR="00F16B73" w:rsidRPr="00081687">
        <w:rPr>
          <w:lang w:val="en-US"/>
        </w:rPr>
        <w:t xml:space="preserve"> </w:t>
      </w:r>
      <w:r w:rsidR="008974D3" w:rsidRPr="00081687">
        <w:rPr>
          <w:lang w:val="en-US"/>
        </w:rPr>
        <w:t>2023</w:t>
      </w:r>
      <w:r w:rsidRPr="00081687">
        <w:rPr>
          <w:lang w:val="en-US"/>
        </w:rPr>
        <w:t xml:space="preserve">, </w:t>
      </w:r>
      <w:r w:rsidRPr="00081687">
        <w:rPr>
          <w:i/>
          <w:lang w:val="en-US"/>
        </w:rPr>
        <w:t xml:space="preserve">2024 </w:t>
      </w:r>
      <w:r w:rsidR="008974D3" w:rsidRPr="00081687">
        <w:rPr>
          <w:i/>
          <w:lang w:val="en-US"/>
        </w:rPr>
        <w:t>P</w:t>
      </w:r>
      <w:r w:rsidRPr="00081687">
        <w:rPr>
          <w:i/>
          <w:lang w:val="en-US"/>
        </w:rPr>
        <w:t xml:space="preserve">rice </w:t>
      </w:r>
      <w:r w:rsidR="008974D3" w:rsidRPr="00081687">
        <w:rPr>
          <w:i/>
          <w:lang w:val="en-US"/>
        </w:rPr>
        <w:t>S</w:t>
      </w:r>
      <w:r w:rsidRPr="00081687">
        <w:rPr>
          <w:i/>
          <w:lang w:val="en-US"/>
        </w:rPr>
        <w:t>ubmission</w:t>
      </w:r>
      <w:r w:rsidRPr="00081687">
        <w:rPr>
          <w:lang w:val="en-US"/>
        </w:rPr>
        <w:t xml:space="preserve">, </w:t>
      </w:r>
      <w:r w:rsidR="008974D3" w:rsidRPr="00081687">
        <w:rPr>
          <w:lang w:val="en-US"/>
        </w:rPr>
        <w:t>28</w:t>
      </w:r>
      <w:r w:rsidRPr="00081687">
        <w:rPr>
          <w:lang w:val="en-US"/>
        </w:rPr>
        <w:t xml:space="preserve"> September, p. </w:t>
      </w:r>
      <w:r w:rsidRPr="00081687">
        <w:t>76</w:t>
      </w:r>
      <w:r w:rsidR="004A179A" w:rsidRPr="00081687">
        <w:t>,</w:t>
      </w:r>
      <w:r w:rsidR="004A179A" w:rsidRPr="00081687">
        <w:rPr>
          <w:lang w:val="en-US"/>
        </w:rPr>
        <w:t xml:space="preserve"> </w:t>
      </w:r>
      <w:r w:rsidR="00ED692A" w:rsidRPr="00081687">
        <w:rPr>
          <w:lang w:val="en-US"/>
        </w:rPr>
        <w:t>Table 21</w:t>
      </w:r>
      <w:r w:rsidRPr="00081687">
        <w:t>.</w:t>
      </w:r>
    </w:p>
  </w:footnote>
  <w:footnote w:id="49">
    <w:p w14:paraId="5D08FE37" w14:textId="6565CFBC" w:rsidR="008D32CD" w:rsidRDefault="008D32CD" w:rsidP="008D32CD">
      <w:pPr>
        <w:pStyle w:val="FootnoteText"/>
      </w:pPr>
      <w:r w:rsidRPr="00081687">
        <w:rPr>
          <w:rStyle w:val="FootnoteReference"/>
        </w:rPr>
        <w:footnoteRef/>
      </w:r>
      <w:r w:rsidRPr="00081687">
        <w:t xml:space="preserve"> </w:t>
      </w:r>
      <w:r w:rsidRPr="00081687">
        <w:tab/>
        <w:t>FTI Consulting</w:t>
      </w:r>
      <w:r w:rsidR="00FD748A" w:rsidRPr="00081687">
        <w:t xml:space="preserve"> 202</w:t>
      </w:r>
      <w:r w:rsidR="006E2FB8" w:rsidRPr="00081687">
        <w:t>4</w:t>
      </w:r>
      <w:r w:rsidRPr="00081687">
        <w:t>,</w:t>
      </w:r>
      <w:r w:rsidRPr="00081687">
        <w:rPr>
          <w:i/>
        </w:rPr>
        <w:t xml:space="preserve"> Greater Western Water: Review of Expenditure Forecasts - 2024 water price review</w:t>
      </w:r>
      <w:r w:rsidRPr="00081687">
        <w:t>, February, p. 19.</w:t>
      </w:r>
    </w:p>
  </w:footnote>
  <w:footnote w:id="50">
    <w:p w14:paraId="2ADA0F55" w14:textId="7010BA11" w:rsidR="00020EF0" w:rsidRDefault="00020EF0" w:rsidP="00020EF0">
      <w:pPr>
        <w:pStyle w:val="FootnoteText"/>
      </w:pPr>
      <w:r w:rsidRPr="00F06129">
        <w:rPr>
          <w:rStyle w:val="FootnoteReference"/>
        </w:rPr>
        <w:footnoteRef/>
      </w:r>
      <w:r w:rsidRPr="00F06129">
        <w:t xml:space="preserve"> </w:t>
      </w:r>
      <w:r w:rsidR="00AE0076" w:rsidRPr="00F06129">
        <w:tab/>
      </w:r>
      <w:r w:rsidRPr="00F06129">
        <w:t>FTI Consulting</w:t>
      </w:r>
      <w:r w:rsidR="00BB7984" w:rsidRPr="00F06129">
        <w:t xml:space="preserve"> 2024</w:t>
      </w:r>
      <w:r w:rsidRPr="00F06129">
        <w:t>,</w:t>
      </w:r>
      <w:r w:rsidRPr="00F06129">
        <w:rPr>
          <w:i/>
        </w:rPr>
        <w:t xml:space="preserve"> Greater Western Water: Review of Expenditure Forecasts - 2024 water price review</w:t>
      </w:r>
      <w:r w:rsidRPr="00F06129">
        <w:t>, February, pp. 14–38.</w:t>
      </w:r>
    </w:p>
  </w:footnote>
  <w:footnote w:id="51">
    <w:p w14:paraId="0FB15F5B" w14:textId="0527DD08" w:rsidR="0095392F" w:rsidRPr="001051EE" w:rsidRDefault="0095392F" w:rsidP="0095392F">
      <w:pPr>
        <w:pStyle w:val="FootnoteText"/>
      </w:pPr>
      <w:r w:rsidRPr="001051EE">
        <w:rPr>
          <w:rStyle w:val="FootnoteReference"/>
        </w:rPr>
        <w:footnoteRef/>
      </w:r>
      <w:r w:rsidRPr="001051EE">
        <w:t xml:space="preserve"> </w:t>
      </w:r>
      <w:r w:rsidR="00AE0076" w:rsidRPr="001051EE">
        <w:tab/>
      </w:r>
      <w:r w:rsidRPr="001051EE">
        <w:rPr>
          <w:lang w:val="en-US"/>
        </w:rPr>
        <w:t>Greater Western Water</w:t>
      </w:r>
      <w:r w:rsidR="00BD12AB" w:rsidRPr="001051EE">
        <w:rPr>
          <w:lang w:val="en-US"/>
        </w:rPr>
        <w:t xml:space="preserve"> 2023</w:t>
      </w:r>
      <w:r w:rsidRPr="001051EE">
        <w:rPr>
          <w:lang w:val="en-US"/>
        </w:rPr>
        <w:t xml:space="preserve">, </w:t>
      </w:r>
      <w:r w:rsidRPr="001051EE">
        <w:rPr>
          <w:i/>
          <w:lang w:val="en-US"/>
        </w:rPr>
        <w:t xml:space="preserve">2024 </w:t>
      </w:r>
      <w:r w:rsidR="00BD12AB" w:rsidRPr="001051EE">
        <w:rPr>
          <w:i/>
          <w:iCs/>
          <w:lang w:val="en-US"/>
        </w:rPr>
        <w:t>P</w:t>
      </w:r>
      <w:r w:rsidRPr="001051EE">
        <w:rPr>
          <w:i/>
          <w:iCs/>
          <w:lang w:val="en-US"/>
        </w:rPr>
        <w:t xml:space="preserve">rice </w:t>
      </w:r>
      <w:r w:rsidR="00BD12AB" w:rsidRPr="001051EE">
        <w:rPr>
          <w:i/>
          <w:iCs/>
          <w:lang w:val="en-US"/>
        </w:rPr>
        <w:t>S</w:t>
      </w:r>
      <w:r w:rsidRPr="001051EE">
        <w:rPr>
          <w:i/>
          <w:iCs/>
          <w:lang w:val="en-US"/>
        </w:rPr>
        <w:t>ubmission</w:t>
      </w:r>
      <w:r w:rsidRPr="001051EE">
        <w:rPr>
          <w:lang w:val="en-US"/>
        </w:rPr>
        <w:t xml:space="preserve">, </w:t>
      </w:r>
      <w:r w:rsidR="00BD12AB" w:rsidRPr="001051EE">
        <w:rPr>
          <w:lang w:val="en-US"/>
        </w:rPr>
        <w:t>28</w:t>
      </w:r>
      <w:r w:rsidRPr="001051EE">
        <w:rPr>
          <w:lang w:val="en-US"/>
        </w:rPr>
        <w:t xml:space="preserve"> September, </w:t>
      </w:r>
      <w:r w:rsidRPr="001051EE">
        <w:t>pp. 241–242.</w:t>
      </w:r>
    </w:p>
  </w:footnote>
  <w:footnote w:id="52">
    <w:p w14:paraId="22A3DFD5" w14:textId="3EF9ECB6" w:rsidR="0095392F" w:rsidRDefault="0095392F" w:rsidP="0095392F">
      <w:pPr>
        <w:pStyle w:val="FootnoteText"/>
      </w:pPr>
      <w:r w:rsidRPr="001051EE">
        <w:rPr>
          <w:rStyle w:val="FootnoteReference"/>
        </w:rPr>
        <w:footnoteRef/>
      </w:r>
      <w:r w:rsidRPr="001051EE">
        <w:t xml:space="preserve"> </w:t>
      </w:r>
      <w:r w:rsidR="005751B8" w:rsidRPr="001051EE">
        <w:tab/>
      </w:r>
      <w:r w:rsidRPr="001051EE">
        <w:t>FTI Consulting</w:t>
      </w:r>
      <w:r w:rsidR="00BD12AB" w:rsidRPr="001051EE">
        <w:t xml:space="preserve"> 2024</w:t>
      </w:r>
      <w:r w:rsidRPr="001051EE">
        <w:t>,</w:t>
      </w:r>
      <w:r w:rsidRPr="001051EE">
        <w:rPr>
          <w:i/>
        </w:rPr>
        <w:t xml:space="preserve"> Greater Western Water: Review of Expenditure Forecasts - 2024 water price review</w:t>
      </w:r>
      <w:r w:rsidRPr="001051EE">
        <w:t>, February, pp. 48–5</w:t>
      </w:r>
      <w:r w:rsidR="003539BB" w:rsidRPr="001051EE">
        <w:t>2</w:t>
      </w:r>
      <w:r w:rsidRPr="001051EE">
        <w:t>.</w:t>
      </w:r>
    </w:p>
  </w:footnote>
  <w:footnote w:id="53">
    <w:p w14:paraId="03CEA395" w14:textId="2C01A2EE" w:rsidR="0095392F" w:rsidRPr="003139A2" w:rsidRDefault="0095392F" w:rsidP="0095392F">
      <w:pPr>
        <w:pStyle w:val="FootnoteText"/>
        <w:rPr>
          <w:highlight w:val="darkGray"/>
        </w:rPr>
      </w:pPr>
      <w:r w:rsidRPr="00BA1E9C">
        <w:rPr>
          <w:rStyle w:val="FootnoteReference"/>
        </w:rPr>
        <w:footnoteRef/>
      </w:r>
      <w:r w:rsidRPr="00BA1E9C">
        <w:t xml:space="preserve"> </w:t>
      </w:r>
      <w:r w:rsidRPr="00BA1E9C">
        <w:tab/>
      </w:r>
      <w:r w:rsidRPr="007A3633">
        <w:t>FTI Consulting</w:t>
      </w:r>
      <w:r w:rsidR="00FA1823" w:rsidRPr="007A3633">
        <w:t xml:space="preserve"> 2024</w:t>
      </w:r>
      <w:r w:rsidRPr="007A3633">
        <w:t>,</w:t>
      </w:r>
      <w:r w:rsidRPr="007A3633">
        <w:rPr>
          <w:i/>
        </w:rPr>
        <w:t xml:space="preserve"> Greater Western Water: Review of Expenditure Forecasts - 2024 water price review</w:t>
      </w:r>
      <w:r w:rsidRPr="007A3633">
        <w:t>, February, p. 51</w:t>
      </w:r>
      <w:r w:rsidR="007A3633" w:rsidRPr="007A3633">
        <w:t>–52</w:t>
      </w:r>
      <w:r w:rsidRPr="007A3633">
        <w:t>.</w:t>
      </w:r>
    </w:p>
  </w:footnote>
  <w:footnote w:id="54">
    <w:p w14:paraId="7D62C056" w14:textId="77777777" w:rsidR="003139A2" w:rsidRPr="001051EE" w:rsidRDefault="003139A2" w:rsidP="003139A2">
      <w:pPr>
        <w:pStyle w:val="FootnoteText"/>
      </w:pPr>
      <w:r w:rsidRPr="001051EE">
        <w:rPr>
          <w:rStyle w:val="FootnoteReference"/>
        </w:rPr>
        <w:footnoteRef/>
      </w:r>
      <w:r w:rsidRPr="001051EE">
        <w:t xml:space="preserve"> </w:t>
      </w:r>
      <w:r w:rsidRPr="001051EE">
        <w:tab/>
        <w:t xml:space="preserve">Greater Western Water 2023, </w:t>
      </w:r>
      <w:r w:rsidRPr="001051EE">
        <w:rPr>
          <w:i/>
        </w:rPr>
        <w:t>2024 Price Submission</w:t>
      </w:r>
      <w:r w:rsidRPr="001051EE">
        <w:t xml:space="preserve">, 28 September, pp. 79–80 </w:t>
      </w:r>
    </w:p>
  </w:footnote>
  <w:footnote w:id="55">
    <w:p w14:paraId="5079A099" w14:textId="77777777" w:rsidR="003139A2" w:rsidRPr="001051EE" w:rsidRDefault="003139A2" w:rsidP="003139A2">
      <w:pPr>
        <w:pStyle w:val="FootnoteText"/>
      </w:pPr>
      <w:r w:rsidRPr="001051EE">
        <w:rPr>
          <w:rStyle w:val="FootnoteReference"/>
        </w:rPr>
        <w:footnoteRef/>
      </w:r>
      <w:r w:rsidRPr="001051EE">
        <w:t xml:space="preserve"> </w:t>
      </w:r>
      <w:r w:rsidRPr="001051EE">
        <w:tab/>
      </w:r>
      <w:r w:rsidRPr="001051EE">
        <w:rPr>
          <w:lang w:val="en-US"/>
        </w:rPr>
        <w:t xml:space="preserve">Greater Western Water 2023, </w:t>
      </w:r>
      <w:r w:rsidRPr="001051EE">
        <w:rPr>
          <w:i/>
          <w:lang w:val="en-US"/>
        </w:rPr>
        <w:t>2024 Price Submission</w:t>
      </w:r>
      <w:r w:rsidRPr="001051EE">
        <w:rPr>
          <w:lang w:val="en-US"/>
        </w:rPr>
        <w:t>, 28 September, pp. 251–252.</w:t>
      </w:r>
    </w:p>
  </w:footnote>
  <w:footnote w:id="56">
    <w:p w14:paraId="6512E313" w14:textId="4E7BB78D" w:rsidR="003139A2" w:rsidRDefault="003139A2" w:rsidP="003139A2">
      <w:pPr>
        <w:pStyle w:val="FootnoteText"/>
      </w:pPr>
      <w:r w:rsidRPr="001051EE">
        <w:rPr>
          <w:rStyle w:val="FootnoteReference"/>
        </w:rPr>
        <w:footnoteRef/>
      </w:r>
      <w:r w:rsidRPr="001051EE">
        <w:t xml:space="preserve"> </w:t>
      </w:r>
      <w:r w:rsidRPr="001051EE">
        <w:tab/>
        <w:t>FTI Consulting</w:t>
      </w:r>
      <w:r w:rsidR="00E34ADD" w:rsidRPr="001051EE">
        <w:t xml:space="preserve"> 2024</w:t>
      </w:r>
      <w:r w:rsidRPr="001051EE">
        <w:t>,</w:t>
      </w:r>
      <w:r w:rsidRPr="001051EE">
        <w:rPr>
          <w:i/>
        </w:rPr>
        <w:t xml:space="preserve"> Greater Western Water: Review of Expenditure Forecasts - 2024 water price review</w:t>
      </w:r>
      <w:r w:rsidRPr="001051EE">
        <w:t>, February, p. </w:t>
      </w:r>
      <w:r w:rsidR="00E867A4" w:rsidRPr="001051EE">
        <w:t>4</w:t>
      </w:r>
      <w:r w:rsidRPr="001051EE">
        <w:t>2.</w:t>
      </w:r>
    </w:p>
  </w:footnote>
  <w:footnote w:id="57">
    <w:p w14:paraId="64EE2E35" w14:textId="77777777" w:rsidR="00B36303" w:rsidRDefault="00B36303" w:rsidP="00B36303">
      <w:pPr>
        <w:pStyle w:val="FootnoteText"/>
      </w:pPr>
      <w:r w:rsidRPr="00BA1E9C">
        <w:rPr>
          <w:rStyle w:val="FootnoteReference"/>
        </w:rPr>
        <w:footnoteRef/>
      </w:r>
      <w:r w:rsidRPr="00BA1E9C">
        <w:t xml:space="preserve"> </w:t>
      </w:r>
      <w:r w:rsidRPr="00BA1E9C">
        <w:tab/>
        <w:t>The environmental contribution is set as a flat nominal value in four-year tranches. The nominal value must be deflated by our forecast inflation to produce a real value, which is then subject to the annual inflation adjustments. A lower long-term inflation forecast reduces this deflation amount, producing a higher real value.</w:t>
      </w:r>
    </w:p>
  </w:footnote>
  <w:footnote w:id="58">
    <w:p w14:paraId="206F90FB" w14:textId="77777777" w:rsidR="00B36303" w:rsidRDefault="00B36303" w:rsidP="00B36303">
      <w:pPr>
        <w:pStyle w:val="FootnoteText"/>
      </w:pPr>
      <w:r w:rsidRPr="00BA1E9C">
        <w:rPr>
          <w:rStyle w:val="FootnoteReference"/>
        </w:rPr>
        <w:footnoteRef/>
      </w:r>
      <w:r w:rsidRPr="00BA1E9C">
        <w:t xml:space="preserve"> </w:t>
      </w:r>
      <w:r w:rsidRPr="00BA1E9C">
        <w:tab/>
        <w:t>We anticipate the Department of Energy, Environment and Climate Action will publish the environmental contribution values to apply to each water business from 1 July 2024 during May 2024. Our final decision will include the latest values for Greater Western Water.</w:t>
      </w:r>
      <w:r>
        <w:t xml:space="preserve"> </w:t>
      </w:r>
    </w:p>
  </w:footnote>
  <w:footnote w:id="59">
    <w:p w14:paraId="41789FE9" w14:textId="40CF2675" w:rsidR="00D54552" w:rsidRPr="00F4709C" w:rsidRDefault="00D54552" w:rsidP="00D54552">
      <w:pPr>
        <w:pStyle w:val="FootnoteText"/>
        <w:rPr>
          <w:highlight w:val="darkGray"/>
        </w:rPr>
      </w:pPr>
      <w:r w:rsidRPr="00BA1E9C">
        <w:rPr>
          <w:rStyle w:val="FootnoteReference"/>
        </w:rPr>
        <w:footnoteRef/>
      </w:r>
      <w:r w:rsidRPr="00BA1E9C">
        <w:t xml:space="preserve"> </w:t>
      </w:r>
      <w:r w:rsidR="007D433F" w:rsidRPr="00BA1E9C">
        <w:tab/>
      </w:r>
      <w:r w:rsidRPr="00BA1E9C">
        <w:t xml:space="preserve">Essential Services Commission 2022, 2024 </w:t>
      </w:r>
      <w:r w:rsidRPr="00BA1E9C">
        <w:rPr>
          <w:i/>
        </w:rPr>
        <w:t>Greater Western Water price review: Guidance paper</w:t>
      </w:r>
      <w:r w:rsidRPr="00BA1E9C">
        <w:t>, 20 September, pp. 35–36.</w:t>
      </w:r>
    </w:p>
  </w:footnote>
  <w:footnote w:id="60">
    <w:p w14:paraId="22D23440" w14:textId="47F29A86" w:rsidR="00D54552" w:rsidRPr="00BA1E9C" w:rsidRDefault="00D54552" w:rsidP="00D54552">
      <w:pPr>
        <w:pStyle w:val="FootnoteText"/>
      </w:pPr>
      <w:r w:rsidRPr="00BA1E9C">
        <w:rPr>
          <w:rStyle w:val="FootnoteReference"/>
        </w:rPr>
        <w:footnoteRef/>
      </w:r>
      <w:r w:rsidRPr="00BA1E9C">
        <w:t xml:space="preserve"> </w:t>
      </w:r>
      <w:r w:rsidRPr="00BA1E9C">
        <w:tab/>
        <w:t xml:space="preserve">FTI Consulting </w:t>
      </w:r>
      <w:r w:rsidR="00813EA5" w:rsidRPr="00BA1E9C">
        <w:t>provided input into the commission’s</w:t>
      </w:r>
      <w:r w:rsidRPr="00BA1E9C">
        <w:t xml:space="preserve"> expenditure assessment for 14 water businesses during our recent 2023</w:t>
      </w:r>
      <w:r w:rsidR="00813EA5" w:rsidRPr="00BA1E9C">
        <w:t> </w:t>
      </w:r>
      <w:r w:rsidRPr="00BA1E9C">
        <w:t xml:space="preserve">water price review. We consider this recent experience ensures the assessment and advice of Greater Western Water’s expenditure forecasts will be consistent with the </w:t>
      </w:r>
      <w:r w:rsidR="00813EA5" w:rsidRPr="00BA1E9C">
        <w:t xml:space="preserve">process that we undertook for the </w:t>
      </w:r>
      <w:r w:rsidRPr="00BA1E9C">
        <w:t>2023 price review</w:t>
      </w:r>
      <w:r w:rsidR="00252207" w:rsidRPr="00BA1E9C">
        <w:t>.</w:t>
      </w:r>
    </w:p>
  </w:footnote>
  <w:footnote w:id="61">
    <w:p w14:paraId="29AC2615" w14:textId="22366639" w:rsidR="00471548" w:rsidRPr="00BA1E9C" w:rsidRDefault="00471548" w:rsidP="00471548">
      <w:pPr>
        <w:pStyle w:val="FootnoteText"/>
        <w:rPr>
          <w:lang w:val="en-US"/>
        </w:rPr>
      </w:pPr>
      <w:r w:rsidRPr="00BA1E9C">
        <w:rPr>
          <w:rStyle w:val="FootnoteReference"/>
        </w:rPr>
        <w:footnoteRef/>
      </w:r>
      <w:r w:rsidR="00D54552" w:rsidRPr="00BA1E9C">
        <w:t xml:space="preserve"> </w:t>
      </w:r>
      <w:r w:rsidR="00D54552" w:rsidRPr="00BA1E9C">
        <w:tab/>
        <w:t>FTI Consulting 2024,</w:t>
      </w:r>
      <w:r w:rsidR="00D54552" w:rsidRPr="00BA1E9C">
        <w:rPr>
          <w:i/>
        </w:rPr>
        <w:t xml:space="preserve"> Greater Western Water: Review of Expenditure Forecasts - 2024 water price review</w:t>
      </w:r>
      <w:r w:rsidR="00D54552" w:rsidRPr="00BA1E9C">
        <w:t>, February.</w:t>
      </w:r>
    </w:p>
  </w:footnote>
  <w:footnote w:id="62">
    <w:p w14:paraId="02707ED2" w14:textId="0CF7B58E" w:rsidR="00D146B5" w:rsidRPr="003920E3" w:rsidRDefault="00D146B5" w:rsidP="00D146B5">
      <w:pPr>
        <w:pStyle w:val="FootnoteText"/>
        <w:rPr>
          <w:highlight w:val="green"/>
        </w:rPr>
      </w:pPr>
      <w:r w:rsidRPr="00731A1B">
        <w:rPr>
          <w:rStyle w:val="FootnoteReference"/>
        </w:rPr>
        <w:footnoteRef/>
      </w:r>
      <w:r w:rsidRPr="00731A1B">
        <w:t xml:space="preserve"> </w:t>
      </w:r>
      <w:r w:rsidRPr="00731A1B">
        <w:tab/>
      </w:r>
      <w:r w:rsidRPr="00A36DF6">
        <w:rPr>
          <w:lang w:val="en-US"/>
        </w:rPr>
        <w:t xml:space="preserve">Greater Western Water 2023, </w:t>
      </w:r>
      <w:r w:rsidRPr="00A36DF6">
        <w:rPr>
          <w:i/>
          <w:lang w:val="en-US"/>
        </w:rPr>
        <w:t>2024 Price Submission</w:t>
      </w:r>
      <w:r w:rsidRPr="00A36DF6">
        <w:rPr>
          <w:lang w:val="en-US"/>
        </w:rPr>
        <w:t>, 28 September, p.</w:t>
      </w:r>
      <w:r w:rsidR="00A36DF6">
        <w:rPr>
          <w:lang w:val="en-US"/>
        </w:rPr>
        <w:t> </w:t>
      </w:r>
      <w:r w:rsidRPr="00A36DF6">
        <w:rPr>
          <w:lang w:val="en-US"/>
        </w:rPr>
        <w:t>165.</w:t>
      </w:r>
    </w:p>
  </w:footnote>
  <w:footnote w:id="63">
    <w:p w14:paraId="0FE09195" w14:textId="7E142739" w:rsidR="00082C43" w:rsidRPr="007D433F" w:rsidRDefault="00082C43" w:rsidP="00082C43">
      <w:pPr>
        <w:pStyle w:val="FootnoteText"/>
        <w:rPr>
          <w:highlight w:val="darkGray"/>
        </w:rPr>
      </w:pPr>
      <w:r w:rsidRPr="00082C43">
        <w:rPr>
          <w:rStyle w:val="FootnoteReference"/>
        </w:rPr>
        <w:footnoteRef/>
      </w:r>
      <w:r w:rsidRPr="00082C43">
        <w:t xml:space="preserve"> </w:t>
      </w:r>
      <w:r w:rsidRPr="00082C43">
        <w:tab/>
      </w:r>
      <w:r w:rsidRPr="00082C43">
        <w:rPr>
          <w:lang w:val="en-US"/>
        </w:rPr>
        <w:t xml:space="preserve">Greater Western Water 2023, </w:t>
      </w:r>
      <w:r w:rsidRPr="00082C43">
        <w:rPr>
          <w:i/>
          <w:lang w:val="en-US"/>
        </w:rPr>
        <w:t xml:space="preserve">2024 </w:t>
      </w:r>
      <w:r w:rsidRPr="00082C43">
        <w:rPr>
          <w:i/>
          <w:iCs/>
          <w:lang w:val="en-US"/>
        </w:rPr>
        <w:t>Price Submission</w:t>
      </w:r>
      <w:r w:rsidRPr="00082C43">
        <w:rPr>
          <w:lang w:val="en-US"/>
        </w:rPr>
        <w:t>, 28 September, pp.</w:t>
      </w:r>
      <w:r w:rsidR="00C564E1">
        <w:rPr>
          <w:lang w:val="en-US"/>
        </w:rPr>
        <w:t> </w:t>
      </w:r>
      <w:r w:rsidRPr="00082C43">
        <w:rPr>
          <w:lang w:val="en-US"/>
        </w:rPr>
        <w:t>166–167.</w:t>
      </w:r>
    </w:p>
  </w:footnote>
  <w:footnote w:id="64">
    <w:p w14:paraId="0EC02871" w14:textId="790AB9A5" w:rsidR="005117F1" w:rsidRDefault="005117F1" w:rsidP="005117F1">
      <w:pPr>
        <w:pStyle w:val="FootnoteText"/>
      </w:pPr>
      <w:r w:rsidRPr="005117F1">
        <w:rPr>
          <w:rStyle w:val="FootnoteReference"/>
        </w:rPr>
        <w:footnoteRef/>
      </w:r>
      <w:r w:rsidRPr="005117F1">
        <w:t xml:space="preserve"> </w:t>
      </w:r>
      <w:r w:rsidRPr="005117F1">
        <w:tab/>
        <w:t>FTI Consulting 2024,</w:t>
      </w:r>
      <w:r w:rsidRPr="005117F1">
        <w:rPr>
          <w:i/>
        </w:rPr>
        <w:t xml:space="preserve"> Greater Western Water: Review of Expenditure Forecasts - 2024 water price review</w:t>
      </w:r>
      <w:r w:rsidRPr="005117F1">
        <w:t>, February, p. 5</w:t>
      </w:r>
      <w:r>
        <w:t>6</w:t>
      </w:r>
      <w:r w:rsidRPr="005117F1">
        <w:t>.</w:t>
      </w:r>
    </w:p>
  </w:footnote>
  <w:footnote w:id="65">
    <w:p w14:paraId="64D27120" w14:textId="5CB1FF94" w:rsidR="00D54552" w:rsidRPr="002341D4" w:rsidRDefault="00D54552" w:rsidP="00D54552">
      <w:pPr>
        <w:pStyle w:val="FootnoteText"/>
        <w:rPr>
          <w:highlight w:val="darkGray"/>
        </w:rPr>
      </w:pPr>
      <w:r w:rsidRPr="00E10749">
        <w:rPr>
          <w:rStyle w:val="FootnoteReference"/>
        </w:rPr>
        <w:footnoteRef/>
      </w:r>
      <w:r w:rsidRPr="00E10749">
        <w:t xml:space="preserve"> </w:t>
      </w:r>
      <w:r w:rsidR="00F6648C" w:rsidRPr="00E10749">
        <w:tab/>
      </w:r>
      <w:r w:rsidRPr="00E10749">
        <w:t>FTI Consulting</w:t>
      </w:r>
      <w:r w:rsidR="002963B4" w:rsidRPr="00E10749">
        <w:t xml:space="preserve"> 2024</w:t>
      </w:r>
      <w:r w:rsidRPr="00E10749">
        <w:t xml:space="preserve">, </w:t>
      </w:r>
      <w:r w:rsidRPr="00E10749">
        <w:rPr>
          <w:i/>
        </w:rPr>
        <w:t>Greater Western Water: Review of Expenditure Forecasts - 2024 water price review</w:t>
      </w:r>
      <w:r w:rsidRPr="00E10749">
        <w:t xml:space="preserve">, February, pp. </w:t>
      </w:r>
      <w:r w:rsidR="008E1CEB" w:rsidRPr="00E10749">
        <w:t>5</w:t>
      </w:r>
      <w:r w:rsidR="00F9484F" w:rsidRPr="00E10749">
        <w:t>6</w:t>
      </w:r>
      <w:r w:rsidRPr="00E10749">
        <w:t>–</w:t>
      </w:r>
      <w:r w:rsidR="00D17439" w:rsidRPr="00E10749">
        <w:t>5</w:t>
      </w:r>
      <w:r w:rsidR="00F9484F" w:rsidRPr="00E10749">
        <w:t>8</w:t>
      </w:r>
      <w:r w:rsidRPr="00E10749">
        <w:t>.</w:t>
      </w:r>
    </w:p>
  </w:footnote>
  <w:footnote w:id="66">
    <w:p w14:paraId="784AC38B" w14:textId="2ADC2793" w:rsidR="00D54552" w:rsidRPr="00E10749" w:rsidRDefault="00D54552" w:rsidP="00D54552">
      <w:pPr>
        <w:pStyle w:val="FootnoteText"/>
        <w:rPr>
          <w:lang w:val="en-US"/>
        </w:rPr>
      </w:pPr>
      <w:r w:rsidRPr="00E10749">
        <w:rPr>
          <w:rStyle w:val="FootnoteReference"/>
        </w:rPr>
        <w:footnoteRef/>
      </w:r>
      <w:r w:rsidRPr="00E10749">
        <w:t xml:space="preserve"> </w:t>
      </w:r>
      <w:r w:rsidRPr="00E10749">
        <w:tab/>
        <w:t>FTI Consulting</w:t>
      </w:r>
      <w:r w:rsidR="00724C10" w:rsidRPr="00E10749">
        <w:t xml:space="preserve"> 2024</w:t>
      </w:r>
      <w:r w:rsidRPr="00E10749">
        <w:t xml:space="preserve">, </w:t>
      </w:r>
      <w:r w:rsidRPr="00E10749">
        <w:rPr>
          <w:i/>
        </w:rPr>
        <w:t>Greater Western Water: Review of Expenditure Forecasts - 2024 water price review</w:t>
      </w:r>
      <w:r w:rsidRPr="00E10749">
        <w:t xml:space="preserve">, February, pp. </w:t>
      </w:r>
      <w:r w:rsidR="005333BD" w:rsidRPr="00E10749">
        <w:t>5</w:t>
      </w:r>
      <w:r w:rsidR="00FA1982" w:rsidRPr="00E10749">
        <w:t>9</w:t>
      </w:r>
      <w:r w:rsidRPr="00E10749">
        <w:t>–</w:t>
      </w:r>
      <w:r w:rsidR="001B6661" w:rsidRPr="00E10749">
        <w:t>6</w:t>
      </w:r>
      <w:r w:rsidR="00E82EBE" w:rsidRPr="00E10749">
        <w:t>5</w:t>
      </w:r>
      <w:r w:rsidRPr="00E10749">
        <w:t>.</w:t>
      </w:r>
    </w:p>
  </w:footnote>
  <w:footnote w:id="67">
    <w:p w14:paraId="673CB36A" w14:textId="229EA7EB" w:rsidR="00D54552" w:rsidRPr="00E10749" w:rsidRDefault="00D54552" w:rsidP="00D54552">
      <w:pPr>
        <w:pStyle w:val="FootnoteText"/>
      </w:pPr>
      <w:r w:rsidRPr="00E10749">
        <w:rPr>
          <w:rStyle w:val="FootnoteReference"/>
        </w:rPr>
        <w:footnoteRef/>
      </w:r>
      <w:r w:rsidRPr="00E10749">
        <w:t xml:space="preserve"> </w:t>
      </w:r>
      <w:r w:rsidR="005A4E87" w:rsidRPr="00E10749">
        <w:tab/>
      </w:r>
      <w:r w:rsidRPr="00E10749">
        <w:t>FTI Consulting</w:t>
      </w:r>
      <w:r w:rsidR="00167C47" w:rsidRPr="00E10749">
        <w:t xml:space="preserve"> 2024</w:t>
      </w:r>
      <w:r w:rsidRPr="00E10749">
        <w:t xml:space="preserve">, </w:t>
      </w:r>
      <w:r w:rsidRPr="00E10749">
        <w:rPr>
          <w:i/>
        </w:rPr>
        <w:t>Greater Western Water: Review of Expenditure Forecasts - 2024 water price review</w:t>
      </w:r>
      <w:r w:rsidRPr="00E10749">
        <w:t xml:space="preserve">, February, pp. </w:t>
      </w:r>
      <w:r w:rsidR="00405498" w:rsidRPr="00E10749">
        <w:t>6</w:t>
      </w:r>
      <w:r w:rsidR="007D19C3" w:rsidRPr="00E10749">
        <w:t>8</w:t>
      </w:r>
      <w:r w:rsidRPr="00E10749">
        <w:t>–</w:t>
      </w:r>
      <w:r w:rsidR="007D19C3" w:rsidRPr="00E10749">
        <w:t>70</w:t>
      </w:r>
      <w:r w:rsidRPr="00E10749">
        <w:t>.</w:t>
      </w:r>
    </w:p>
  </w:footnote>
  <w:footnote w:id="68">
    <w:p w14:paraId="1EBBD688" w14:textId="69FB107A" w:rsidR="00D54552" w:rsidRPr="00E10749" w:rsidRDefault="00D54552" w:rsidP="00D54552">
      <w:pPr>
        <w:pStyle w:val="FootnoteText"/>
      </w:pPr>
      <w:r w:rsidRPr="00E10749">
        <w:rPr>
          <w:rStyle w:val="FootnoteReference"/>
        </w:rPr>
        <w:footnoteRef/>
      </w:r>
      <w:r w:rsidRPr="00E10749">
        <w:t xml:space="preserve"> </w:t>
      </w:r>
      <w:bookmarkStart w:id="88" w:name="_Hlk159423061"/>
      <w:r w:rsidR="005A4E87" w:rsidRPr="00E10749">
        <w:tab/>
      </w:r>
      <w:r w:rsidRPr="00E10749">
        <w:t>FTI Consulting</w:t>
      </w:r>
      <w:r w:rsidR="006203D9" w:rsidRPr="00E10749">
        <w:t xml:space="preserve"> 2024</w:t>
      </w:r>
      <w:r w:rsidRPr="00E10749">
        <w:t xml:space="preserve">, </w:t>
      </w:r>
      <w:r w:rsidRPr="00E10749">
        <w:rPr>
          <w:i/>
        </w:rPr>
        <w:t>Greater Western Water: Review of Expenditure Forecasts - 2024 water price review</w:t>
      </w:r>
      <w:r w:rsidRPr="00E10749">
        <w:t xml:space="preserve">, February, pp. </w:t>
      </w:r>
      <w:bookmarkEnd w:id="88"/>
      <w:r w:rsidR="00CD568A" w:rsidRPr="00E10749">
        <w:t>6</w:t>
      </w:r>
      <w:r w:rsidR="009158D7" w:rsidRPr="00E10749">
        <w:t>5</w:t>
      </w:r>
      <w:r w:rsidRPr="00E10749">
        <w:t>–</w:t>
      </w:r>
      <w:r w:rsidR="00CD568A" w:rsidRPr="00E10749">
        <w:t>6</w:t>
      </w:r>
      <w:r w:rsidR="00EB14B6" w:rsidRPr="00E10749">
        <w:t>7</w:t>
      </w:r>
      <w:r w:rsidRPr="00E10749">
        <w:t>.</w:t>
      </w:r>
    </w:p>
  </w:footnote>
  <w:footnote w:id="69">
    <w:p w14:paraId="2721DDE6" w14:textId="7C0BC114" w:rsidR="00D54552" w:rsidRPr="00484196" w:rsidRDefault="00D54552" w:rsidP="00D54552">
      <w:pPr>
        <w:pStyle w:val="FootnoteText"/>
        <w:rPr>
          <w:highlight w:val="darkGray"/>
        </w:rPr>
      </w:pPr>
      <w:r w:rsidRPr="00E10749">
        <w:rPr>
          <w:rStyle w:val="FootnoteReference"/>
        </w:rPr>
        <w:footnoteRef/>
      </w:r>
      <w:r w:rsidRPr="00E10749">
        <w:t xml:space="preserve"> </w:t>
      </w:r>
      <w:r w:rsidR="00D14DE3" w:rsidRPr="00E10749">
        <w:tab/>
      </w:r>
      <w:r w:rsidRPr="00E10749">
        <w:t>FTI Consulting</w:t>
      </w:r>
      <w:r w:rsidR="00D14DE3" w:rsidRPr="00E10749">
        <w:t xml:space="preserve"> 2024</w:t>
      </w:r>
      <w:r w:rsidRPr="00E10749">
        <w:t xml:space="preserve">, </w:t>
      </w:r>
      <w:r w:rsidRPr="00E10749">
        <w:rPr>
          <w:i/>
        </w:rPr>
        <w:t>Greater Western Water: Review of Expenditure Forecasts - 2024 water price review</w:t>
      </w:r>
      <w:r w:rsidRPr="00E10749">
        <w:t>, February, pp. </w:t>
      </w:r>
      <w:r w:rsidR="00F97B32" w:rsidRPr="00E10749">
        <w:t>73</w:t>
      </w:r>
      <w:r w:rsidRPr="00E10749">
        <w:t>–</w:t>
      </w:r>
      <w:r w:rsidR="00F97B32" w:rsidRPr="00E10749">
        <w:t>7</w:t>
      </w:r>
      <w:r w:rsidR="00BF06D9" w:rsidRPr="00E10749">
        <w:t>4</w:t>
      </w:r>
      <w:r w:rsidRPr="00E10749">
        <w:t>.</w:t>
      </w:r>
    </w:p>
  </w:footnote>
  <w:footnote w:id="70">
    <w:p w14:paraId="7702FB4A" w14:textId="5FB40E08" w:rsidR="00AC3B01" w:rsidRPr="00E10749" w:rsidRDefault="00AC3B01" w:rsidP="00D54552">
      <w:pPr>
        <w:pStyle w:val="FootnoteText"/>
      </w:pPr>
      <w:r w:rsidRPr="00E10749">
        <w:rPr>
          <w:rStyle w:val="FootnoteReference"/>
        </w:rPr>
        <w:footnoteRef/>
      </w:r>
      <w:r w:rsidRPr="00E10749">
        <w:t xml:space="preserve"> </w:t>
      </w:r>
      <w:r w:rsidR="00D14DE3" w:rsidRPr="00E10749">
        <w:tab/>
      </w:r>
      <w:r w:rsidRPr="00E10749">
        <w:t>FTI Consulting</w:t>
      </w:r>
      <w:r w:rsidR="00D14DE3" w:rsidRPr="00E10749">
        <w:t xml:space="preserve"> 2024</w:t>
      </w:r>
      <w:r w:rsidRPr="00E10749">
        <w:t xml:space="preserve">, </w:t>
      </w:r>
      <w:r w:rsidRPr="00E10749">
        <w:rPr>
          <w:i/>
        </w:rPr>
        <w:t>Greater Western Water: Review of Expenditure Forecasts - 2024 water price review</w:t>
      </w:r>
      <w:r w:rsidRPr="00E10749">
        <w:t>, February, p. </w:t>
      </w:r>
      <w:r w:rsidR="00D14DE3" w:rsidRPr="00E10749">
        <w:t>7</w:t>
      </w:r>
      <w:r w:rsidR="00BF06D9" w:rsidRPr="00E10749">
        <w:t>2</w:t>
      </w:r>
      <w:r w:rsidRPr="00E10749">
        <w:t>.</w:t>
      </w:r>
    </w:p>
  </w:footnote>
  <w:footnote w:id="71">
    <w:p w14:paraId="1B20C840" w14:textId="30878625" w:rsidR="00D54552" w:rsidRPr="00E10749" w:rsidRDefault="00D54552" w:rsidP="00D54552">
      <w:pPr>
        <w:pStyle w:val="FootnoteText"/>
      </w:pPr>
      <w:r w:rsidRPr="00E10749">
        <w:rPr>
          <w:rStyle w:val="FootnoteReference"/>
        </w:rPr>
        <w:footnoteRef/>
      </w:r>
      <w:r w:rsidRPr="00E10749">
        <w:t xml:space="preserve"> </w:t>
      </w:r>
      <w:r w:rsidR="00834914" w:rsidRPr="00E10749">
        <w:tab/>
      </w:r>
      <w:r w:rsidRPr="00E10749">
        <w:rPr>
          <w:lang w:val="en-US"/>
        </w:rPr>
        <w:t>Greater Western Water</w:t>
      </w:r>
      <w:r w:rsidR="00834914" w:rsidRPr="00E10749">
        <w:rPr>
          <w:lang w:val="en-US"/>
        </w:rPr>
        <w:t xml:space="preserve"> 2023</w:t>
      </w:r>
      <w:r w:rsidRPr="00E10749">
        <w:rPr>
          <w:lang w:val="en-US"/>
        </w:rPr>
        <w:t xml:space="preserve">, </w:t>
      </w:r>
      <w:r w:rsidRPr="00E10749">
        <w:rPr>
          <w:i/>
          <w:lang w:val="en-US"/>
        </w:rPr>
        <w:t xml:space="preserve">2024 </w:t>
      </w:r>
      <w:r w:rsidR="00834914" w:rsidRPr="00E10749">
        <w:rPr>
          <w:i/>
          <w:iCs/>
          <w:lang w:val="en-US"/>
        </w:rPr>
        <w:t>P</w:t>
      </w:r>
      <w:r w:rsidRPr="00E10749">
        <w:rPr>
          <w:i/>
          <w:iCs/>
          <w:lang w:val="en-US"/>
        </w:rPr>
        <w:t xml:space="preserve">rice </w:t>
      </w:r>
      <w:r w:rsidR="00834914" w:rsidRPr="00E10749">
        <w:rPr>
          <w:i/>
          <w:iCs/>
          <w:lang w:val="en-US"/>
        </w:rPr>
        <w:t>S</w:t>
      </w:r>
      <w:r w:rsidRPr="00E10749">
        <w:rPr>
          <w:i/>
          <w:iCs/>
          <w:lang w:val="en-US"/>
        </w:rPr>
        <w:t>ubmission</w:t>
      </w:r>
      <w:r w:rsidRPr="00E10749">
        <w:rPr>
          <w:lang w:val="en-US"/>
        </w:rPr>
        <w:t xml:space="preserve">, </w:t>
      </w:r>
      <w:r w:rsidR="00834914" w:rsidRPr="00E10749">
        <w:rPr>
          <w:lang w:val="en-US"/>
        </w:rPr>
        <w:t>28</w:t>
      </w:r>
      <w:r w:rsidRPr="00E10749">
        <w:rPr>
          <w:lang w:val="en-US"/>
        </w:rPr>
        <w:t xml:space="preserve"> September, p. 259–260.</w:t>
      </w:r>
    </w:p>
  </w:footnote>
  <w:footnote w:id="72">
    <w:p w14:paraId="53AEF7D2" w14:textId="7D460EA1" w:rsidR="00D54552" w:rsidRPr="00E10749" w:rsidRDefault="00D54552" w:rsidP="00D54552">
      <w:pPr>
        <w:pStyle w:val="FootnoteText"/>
      </w:pPr>
      <w:r w:rsidRPr="00E10749">
        <w:rPr>
          <w:rStyle w:val="FootnoteReference"/>
        </w:rPr>
        <w:footnoteRef/>
      </w:r>
      <w:r w:rsidRPr="00E10749">
        <w:t xml:space="preserve"> </w:t>
      </w:r>
      <w:r w:rsidR="006B004F" w:rsidRPr="00E10749">
        <w:tab/>
      </w:r>
      <w:r w:rsidRPr="00E10749">
        <w:t xml:space="preserve">Essential Services Commission 2022, </w:t>
      </w:r>
      <w:r w:rsidRPr="00E10749">
        <w:rPr>
          <w:i/>
        </w:rPr>
        <w:t>2024 Greater Western Water price review: Guidance paper</w:t>
      </w:r>
      <w:r w:rsidRPr="00E10749">
        <w:t>, 20 September, pp. 34–35.</w:t>
      </w:r>
    </w:p>
  </w:footnote>
  <w:footnote w:id="73">
    <w:p w14:paraId="7A661272" w14:textId="22AE687F" w:rsidR="00D54552" w:rsidRPr="003E757B" w:rsidRDefault="00D54552" w:rsidP="00D54552">
      <w:pPr>
        <w:pStyle w:val="FootnoteText"/>
      </w:pPr>
      <w:r w:rsidRPr="00E10749">
        <w:rPr>
          <w:rStyle w:val="FootnoteReference"/>
        </w:rPr>
        <w:footnoteRef/>
      </w:r>
      <w:r w:rsidRPr="00E10749">
        <w:t xml:space="preserve"> </w:t>
      </w:r>
      <w:r w:rsidR="006B004F" w:rsidRPr="00E10749">
        <w:tab/>
      </w:r>
      <w:r w:rsidRPr="003E757B">
        <w:t xml:space="preserve">Friends of Steele Creek submission to the Essential Services Commission on </w:t>
      </w:r>
      <w:r w:rsidR="00F10F23" w:rsidRPr="003E757B">
        <w:t>Greater Western</w:t>
      </w:r>
      <w:r w:rsidRPr="003E757B">
        <w:t xml:space="preserve"> Water’s 2</w:t>
      </w:r>
      <w:r w:rsidR="00874AEB" w:rsidRPr="003E757B">
        <w:t>024</w:t>
      </w:r>
      <w:r w:rsidRPr="003E757B">
        <w:t xml:space="preserve"> price submission, 3 December 2023.</w:t>
      </w:r>
    </w:p>
    <w:p w14:paraId="38DE937B" w14:textId="4F76ADD1" w:rsidR="00D54552" w:rsidRPr="003E757B" w:rsidRDefault="004D5D57" w:rsidP="00D54552">
      <w:pPr>
        <w:pStyle w:val="FootnoteText"/>
      </w:pPr>
      <w:r w:rsidRPr="003E757B">
        <w:tab/>
      </w:r>
      <w:r w:rsidR="00D54552" w:rsidRPr="003E757B">
        <w:t xml:space="preserve">Macedon Water Think Tank submission to the Essential Services Commission on </w:t>
      </w:r>
      <w:r w:rsidR="00874AEB" w:rsidRPr="003E757B">
        <w:t>Greater Western</w:t>
      </w:r>
      <w:r w:rsidR="00D54552" w:rsidRPr="003E757B">
        <w:t xml:space="preserve"> Water’s 202</w:t>
      </w:r>
      <w:r w:rsidR="00874AEB" w:rsidRPr="003E757B">
        <w:t>4</w:t>
      </w:r>
      <w:r w:rsidR="00D54552" w:rsidRPr="003E757B">
        <w:t xml:space="preserve"> price submission, 13 December 2023.</w:t>
      </w:r>
    </w:p>
    <w:p w14:paraId="4DCC9718" w14:textId="467F61A3" w:rsidR="00D54552" w:rsidRPr="003E757B" w:rsidRDefault="004D5D57" w:rsidP="00D54552">
      <w:pPr>
        <w:pStyle w:val="FootnoteText"/>
      </w:pPr>
      <w:r w:rsidRPr="003E757B">
        <w:tab/>
      </w:r>
      <w:r w:rsidR="00D54552" w:rsidRPr="003E757B">
        <w:t xml:space="preserve">Werribee River Association submission to the Essential Services Commission on </w:t>
      </w:r>
      <w:r w:rsidR="00162E85" w:rsidRPr="003E757B">
        <w:t>Greater Western</w:t>
      </w:r>
      <w:r w:rsidR="00D54552" w:rsidRPr="003E757B">
        <w:t xml:space="preserve"> Water’s 202</w:t>
      </w:r>
      <w:r w:rsidR="00162E85" w:rsidRPr="003E757B">
        <w:t>4</w:t>
      </w:r>
      <w:r w:rsidR="00D54552" w:rsidRPr="003E757B">
        <w:t xml:space="preserve"> price submission, 13 December 2023.</w:t>
      </w:r>
    </w:p>
    <w:p w14:paraId="3CCD6383" w14:textId="27E19F71" w:rsidR="00D54552" w:rsidRPr="003E757B" w:rsidRDefault="004D5D57" w:rsidP="00D54552">
      <w:pPr>
        <w:pStyle w:val="FootnoteText"/>
      </w:pPr>
      <w:r w:rsidRPr="003E757B">
        <w:tab/>
      </w:r>
      <w:r w:rsidR="00D54552" w:rsidRPr="003E757B">
        <w:t xml:space="preserve">Concerned Waterways Alliance, submission to the Essential Services Commission on </w:t>
      </w:r>
      <w:r w:rsidR="00162E85" w:rsidRPr="003E757B">
        <w:t>Greater Western</w:t>
      </w:r>
      <w:r w:rsidR="00D54552" w:rsidRPr="003E757B">
        <w:t xml:space="preserve"> Water’s 202</w:t>
      </w:r>
      <w:r w:rsidR="00162E85" w:rsidRPr="003E757B">
        <w:t>4</w:t>
      </w:r>
      <w:r w:rsidR="00D54552" w:rsidRPr="003E757B">
        <w:t xml:space="preserve"> price submission, 14 December 2023.</w:t>
      </w:r>
    </w:p>
  </w:footnote>
  <w:footnote w:id="74">
    <w:p w14:paraId="2E6F72BB" w14:textId="76D0A422" w:rsidR="00D54552" w:rsidRPr="003E757B" w:rsidRDefault="00D54552" w:rsidP="00D54552">
      <w:pPr>
        <w:pStyle w:val="FootnoteText"/>
      </w:pPr>
      <w:r w:rsidRPr="003E757B">
        <w:rPr>
          <w:rStyle w:val="FootnoteReference"/>
        </w:rPr>
        <w:footnoteRef/>
      </w:r>
      <w:r w:rsidRPr="003E757B">
        <w:t xml:space="preserve"> </w:t>
      </w:r>
      <w:r w:rsidR="00587967" w:rsidRPr="003E757B">
        <w:tab/>
      </w:r>
      <w:r w:rsidRPr="003E757B">
        <w:t>FTI Consulting</w:t>
      </w:r>
      <w:r w:rsidR="00C04642" w:rsidRPr="003E757B">
        <w:t xml:space="preserve"> 202</w:t>
      </w:r>
      <w:r w:rsidR="00FB4D20" w:rsidRPr="003E757B">
        <w:t>4</w:t>
      </w:r>
      <w:r w:rsidRPr="003E757B">
        <w:t xml:space="preserve">, </w:t>
      </w:r>
      <w:r w:rsidRPr="003E757B">
        <w:rPr>
          <w:i/>
        </w:rPr>
        <w:t>Greater Western Water: Review of Expenditure Forecasts - 2024 water price review</w:t>
      </w:r>
      <w:r w:rsidRPr="003E757B">
        <w:t>, February, p. </w:t>
      </w:r>
      <w:r w:rsidR="003571F9" w:rsidRPr="003E757B">
        <w:t>5</w:t>
      </w:r>
      <w:r w:rsidR="00C22F2A" w:rsidRPr="003E757B">
        <w:t>9</w:t>
      </w:r>
      <w:r w:rsidRPr="003E757B">
        <w:t>.</w:t>
      </w:r>
    </w:p>
  </w:footnote>
  <w:footnote w:id="75">
    <w:p w14:paraId="559BA88F" w14:textId="3B4F2968" w:rsidR="00D54552" w:rsidRPr="008A0D46" w:rsidRDefault="00D54552" w:rsidP="00D54552">
      <w:pPr>
        <w:pStyle w:val="FootnoteText"/>
        <w:rPr>
          <w:highlight w:val="darkGray"/>
        </w:rPr>
      </w:pPr>
      <w:r w:rsidRPr="003E757B">
        <w:rPr>
          <w:rStyle w:val="FootnoteReference"/>
        </w:rPr>
        <w:footnoteRef/>
      </w:r>
      <w:r w:rsidRPr="003E757B">
        <w:t xml:space="preserve"> </w:t>
      </w:r>
      <w:r w:rsidRPr="003E757B">
        <w:tab/>
        <w:t>Essential Services Commission</w:t>
      </w:r>
      <w:r w:rsidR="005245BA" w:rsidRPr="003E757B">
        <w:t xml:space="preserve"> 2023</w:t>
      </w:r>
      <w:r w:rsidRPr="003E757B">
        <w:t xml:space="preserve">, </w:t>
      </w:r>
      <w:r w:rsidRPr="003E757B">
        <w:rPr>
          <w:i/>
        </w:rPr>
        <w:t>Status of Major Projects Supplement: Outcomes report 2022-23</w:t>
      </w:r>
      <w:r w:rsidRPr="003E757B">
        <w:t>, 31 October, pp. 16–28</w:t>
      </w:r>
      <w:r w:rsidR="00554499" w:rsidRPr="003E757B">
        <w:t xml:space="preserve">; </w:t>
      </w:r>
      <w:r w:rsidRPr="003E757B">
        <w:rPr>
          <w:lang w:val="en-US"/>
        </w:rPr>
        <w:t>Greater Western Water</w:t>
      </w:r>
      <w:r w:rsidR="00554499" w:rsidRPr="003E757B">
        <w:rPr>
          <w:lang w:val="en-US"/>
        </w:rPr>
        <w:t xml:space="preserve"> 2023</w:t>
      </w:r>
      <w:r w:rsidRPr="003E757B">
        <w:rPr>
          <w:lang w:val="en-US"/>
        </w:rPr>
        <w:t xml:space="preserve">, </w:t>
      </w:r>
      <w:r w:rsidRPr="003E757B">
        <w:rPr>
          <w:i/>
          <w:lang w:val="en-US"/>
        </w:rPr>
        <w:t xml:space="preserve">2024 </w:t>
      </w:r>
      <w:r w:rsidR="00554499" w:rsidRPr="003E757B">
        <w:rPr>
          <w:i/>
          <w:lang w:val="en-US"/>
        </w:rPr>
        <w:t>P</w:t>
      </w:r>
      <w:r w:rsidRPr="003E757B">
        <w:rPr>
          <w:i/>
          <w:lang w:val="en-US"/>
        </w:rPr>
        <w:t xml:space="preserve">rice </w:t>
      </w:r>
      <w:r w:rsidR="00554499" w:rsidRPr="003E757B">
        <w:rPr>
          <w:i/>
          <w:lang w:val="en-US"/>
        </w:rPr>
        <w:t>S</w:t>
      </w:r>
      <w:r w:rsidRPr="003E757B">
        <w:rPr>
          <w:i/>
          <w:lang w:val="en-US"/>
        </w:rPr>
        <w:t>ubmission</w:t>
      </w:r>
      <w:r w:rsidRPr="003E757B">
        <w:rPr>
          <w:lang w:val="en-US"/>
        </w:rPr>
        <w:t xml:space="preserve">, </w:t>
      </w:r>
      <w:r w:rsidR="00554499" w:rsidRPr="003E757B">
        <w:rPr>
          <w:lang w:val="en-US"/>
        </w:rPr>
        <w:t>28</w:t>
      </w:r>
      <w:r w:rsidRPr="003E757B">
        <w:rPr>
          <w:lang w:val="en-US"/>
        </w:rPr>
        <w:t xml:space="preserve"> September, pp. 166–167.</w:t>
      </w:r>
    </w:p>
  </w:footnote>
  <w:footnote w:id="76">
    <w:p w14:paraId="4F9E59FA" w14:textId="0F25E0A3" w:rsidR="00D54552" w:rsidRPr="000B140B" w:rsidRDefault="00D54552" w:rsidP="00D54552">
      <w:pPr>
        <w:pStyle w:val="FootnoteText"/>
      </w:pPr>
      <w:r w:rsidRPr="000B140B">
        <w:rPr>
          <w:rStyle w:val="FootnoteReference"/>
        </w:rPr>
        <w:footnoteRef/>
      </w:r>
      <w:r w:rsidRPr="000B140B">
        <w:t xml:space="preserve"> </w:t>
      </w:r>
      <w:r w:rsidR="00104993" w:rsidRPr="000B140B">
        <w:tab/>
      </w:r>
      <w:r w:rsidRPr="000B140B">
        <w:t>Greater Western Water</w:t>
      </w:r>
      <w:r w:rsidR="00DC1B84" w:rsidRPr="000B140B">
        <w:t xml:space="preserve"> 2023</w:t>
      </w:r>
      <w:r w:rsidRPr="000B140B">
        <w:t xml:space="preserve">, </w:t>
      </w:r>
      <w:r w:rsidRPr="000B140B">
        <w:rPr>
          <w:i/>
        </w:rPr>
        <w:t xml:space="preserve">2024 </w:t>
      </w:r>
      <w:r w:rsidR="00DC1B84" w:rsidRPr="000B140B">
        <w:rPr>
          <w:i/>
          <w:iCs/>
        </w:rPr>
        <w:t>P</w:t>
      </w:r>
      <w:r w:rsidRPr="000B140B">
        <w:rPr>
          <w:i/>
          <w:iCs/>
        </w:rPr>
        <w:t xml:space="preserve">rice </w:t>
      </w:r>
      <w:r w:rsidR="00DC1B84" w:rsidRPr="000B140B">
        <w:rPr>
          <w:i/>
          <w:iCs/>
        </w:rPr>
        <w:t>S</w:t>
      </w:r>
      <w:r w:rsidRPr="000B140B">
        <w:rPr>
          <w:i/>
          <w:iCs/>
        </w:rPr>
        <w:t>ubmission</w:t>
      </w:r>
      <w:r w:rsidRPr="000B140B">
        <w:t xml:space="preserve">, </w:t>
      </w:r>
      <w:r w:rsidR="00DC1B84" w:rsidRPr="000B140B">
        <w:t>28</w:t>
      </w:r>
      <w:r w:rsidRPr="000B140B">
        <w:t xml:space="preserve"> September, p. 166</w:t>
      </w:r>
      <w:r w:rsidR="00A67C16" w:rsidRPr="000B140B">
        <w:t>–</w:t>
      </w:r>
      <w:r w:rsidRPr="000B140B">
        <w:t>167.</w:t>
      </w:r>
    </w:p>
  </w:footnote>
  <w:footnote w:id="77">
    <w:p w14:paraId="08EEB878" w14:textId="57838E68" w:rsidR="00C11E3C" w:rsidRPr="00C11E3C" w:rsidRDefault="00C11E3C" w:rsidP="00C11E3C">
      <w:pPr>
        <w:pStyle w:val="FootnoteText"/>
        <w:rPr>
          <w:lang w:val="en-US"/>
        </w:rPr>
      </w:pPr>
      <w:r w:rsidRPr="000B140B">
        <w:rPr>
          <w:rStyle w:val="FootnoteReference"/>
        </w:rPr>
        <w:footnoteRef/>
      </w:r>
      <w:r w:rsidR="00D54552" w:rsidRPr="000B140B">
        <w:t xml:space="preserve"> </w:t>
      </w:r>
      <w:r w:rsidR="00D54552" w:rsidRPr="000B140B">
        <w:tab/>
        <w:t xml:space="preserve">Essential Services Commission 2022, </w:t>
      </w:r>
      <w:r w:rsidR="00D54552" w:rsidRPr="000B140B">
        <w:rPr>
          <w:i/>
        </w:rPr>
        <w:t>2024 Greater Western Water price review: Guidance</w:t>
      </w:r>
      <w:r w:rsidR="00D54552" w:rsidRPr="00D75E01">
        <w:rPr>
          <w:i/>
        </w:rPr>
        <w:t xml:space="preserve"> paper</w:t>
      </w:r>
      <w:r w:rsidR="00D54552" w:rsidRPr="00D75E01">
        <w:t>, 20 September, pp. 35–40.</w:t>
      </w:r>
    </w:p>
  </w:footnote>
  <w:footnote w:id="78">
    <w:p w14:paraId="78F54BD1" w14:textId="77777777" w:rsidR="00BD1380" w:rsidRPr="00BD1380" w:rsidRDefault="00BD1380" w:rsidP="00BD1380">
      <w:pPr>
        <w:pStyle w:val="FootnoteText"/>
        <w:rPr>
          <w:lang w:val="en-US"/>
        </w:rPr>
      </w:pPr>
      <w:r>
        <w:rPr>
          <w:rStyle w:val="FootnoteReference"/>
        </w:rPr>
        <w:footnoteRef/>
      </w:r>
      <w:r>
        <w:t xml:space="preserve"> </w:t>
      </w:r>
      <w:r>
        <w:tab/>
      </w:r>
      <w:r w:rsidRPr="00BD1380">
        <w:t xml:space="preserve">These values were set initially for the water corporations by the Minister for Water and are adjusted on an ongoing basis to account for new investments, asset disposals, </w:t>
      </w:r>
      <w:proofErr w:type="gramStart"/>
      <w:r w:rsidRPr="00BD1380">
        <w:t>depreciation</w:t>
      </w:r>
      <w:proofErr w:type="gramEnd"/>
      <w:r w:rsidRPr="00BD1380">
        <w:t xml:space="preserve"> and inflation.</w:t>
      </w:r>
    </w:p>
  </w:footnote>
  <w:footnote w:id="79">
    <w:p w14:paraId="2BB72930" w14:textId="44DC583F" w:rsidR="007A4ED3" w:rsidRPr="007A4ED3" w:rsidRDefault="007A4ED3" w:rsidP="007A4ED3">
      <w:pPr>
        <w:pStyle w:val="FootnoteText"/>
        <w:rPr>
          <w:lang w:val="en-US"/>
        </w:rPr>
      </w:pPr>
      <w:r>
        <w:rPr>
          <w:rStyle w:val="FootnoteReference"/>
        </w:rPr>
        <w:footnoteRef/>
      </w:r>
      <w:r>
        <w:t xml:space="preserve"> </w:t>
      </w:r>
      <w:r>
        <w:tab/>
      </w:r>
      <w:r w:rsidRPr="007A4ED3">
        <w:t>See Section</w:t>
      </w:r>
      <w:r w:rsidR="00B000A1">
        <w:t> </w:t>
      </w:r>
      <w:r w:rsidRPr="007A4ED3">
        <w:t xml:space="preserve">4.2 for a discussion of </w:t>
      </w:r>
      <w:r w:rsidR="00AA1D9F">
        <w:t>Greater Western Water</w:t>
      </w:r>
      <w:r w:rsidRPr="007A4ED3">
        <w:t>’s capital expenditure.</w:t>
      </w:r>
    </w:p>
  </w:footnote>
  <w:footnote w:id="80">
    <w:p w14:paraId="2CB3E903" w14:textId="77777777" w:rsidR="00AC17B0" w:rsidRPr="00AC17B0" w:rsidRDefault="00AC17B0" w:rsidP="00AC17B0">
      <w:pPr>
        <w:pStyle w:val="FootnoteText"/>
        <w:rPr>
          <w:lang w:val="en-US"/>
        </w:rPr>
      </w:pPr>
      <w:r>
        <w:rPr>
          <w:rStyle w:val="FootnoteReference"/>
        </w:rPr>
        <w:footnoteRef/>
      </w:r>
      <w:r>
        <w:t xml:space="preserve"> </w:t>
      </w:r>
      <w:r>
        <w:tab/>
      </w:r>
      <w:r w:rsidRPr="00AC17B0">
        <w:t xml:space="preserve">Net capital expenditure is calculated by deducting government and customer contributions from gross capital expenditure. Customer contributions reflect revenue earned from new connections made to the water corporation’s water, </w:t>
      </w:r>
      <w:proofErr w:type="gramStart"/>
      <w:r w:rsidRPr="00AC17B0">
        <w:t>sewerage</w:t>
      </w:r>
      <w:proofErr w:type="gramEnd"/>
      <w:r w:rsidRPr="00AC17B0">
        <w:t xml:space="preserve"> or recycled water networks.</w:t>
      </w:r>
    </w:p>
  </w:footnote>
  <w:footnote w:id="81">
    <w:p w14:paraId="0CFED203" w14:textId="77777777" w:rsidR="00E147BE" w:rsidRPr="00E147BE" w:rsidRDefault="00E147BE" w:rsidP="00E147BE">
      <w:pPr>
        <w:pStyle w:val="FootnoteText"/>
        <w:rPr>
          <w:lang w:val="en-US"/>
        </w:rPr>
      </w:pPr>
      <w:r>
        <w:rPr>
          <w:rStyle w:val="FootnoteReference"/>
        </w:rPr>
        <w:footnoteRef/>
      </w:r>
      <w:r>
        <w:t xml:space="preserve"> </w:t>
      </w:r>
      <w:r>
        <w:tab/>
      </w:r>
      <w:r w:rsidRPr="00E147BE">
        <w:t xml:space="preserve">Available at </w:t>
      </w:r>
      <w:hyperlink r:id="rId2" w:history="1">
        <w:r w:rsidRPr="00AF230E">
          <w:rPr>
            <w:rStyle w:val="Hyperlink"/>
          </w:rPr>
          <w:t>www.esc.vic.gov.au</w:t>
        </w:r>
      </w:hyperlink>
      <w:r w:rsidRPr="00E147BE">
        <w:t>.</w:t>
      </w:r>
    </w:p>
  </w:footnote>
  <w:footnote w:id="82">
    <w:p w14:paraId="49D1843B" w14:textId="77777777" w:rsidR="0062014E" w:rsidRDefault="0062014E" w:rsidP="0062014E">
      <w:pPr>
        <w:pStyle w:val="FootnoteText"/>
      </w:pPr>
      <w:r w:rsidRPr="007C664D">
        <w:rPr>
          <w:rStyle w:val="FootnoteReference"/>
        </w:rPr>
        <w:footnoteRef/>
      </w:r>
      <w:r w:rsidRPr="007C664D">
        <w:t xml:space="preserve"> </w:t>
      </w:r>
      <w:r w:rsidRPr="007C664D">
        <w:tab/>
        <w:t>FTI Consulting 2024,</w:t>
      </w:r>
      <w:r w:rsidRPr="007C664D">
        <w:rPr>
          <w:i/>
        </w:rPr>
        <w:t xml:space="preserve"> Greater Western Water: Review of Expenditure Forecasts - 2024 water price review</w:t>
      </w:r>
      <w:r w:rsidRPr="007C664D">
        <w:t>, February, p. 55.</w:t>
      </w:r>
    </w:p>
  </w:footnote>
  <w:footnote w:id="83">
    <w:p w14:paraId="26CB803A" w14:textId="77777777" w:rsidR="00243D02" w:rsidRPr="00243D02" w:rsidRDefault="00243D02" w:rsidP="00243D02">
      <w:pPr>
        <w:pStyle w:val="FootnoteText"/>
        <w:rPr>
          <w:lang w:val="en-US"/>
        </w:rPr>
      </w:pPr>
      <w:r w:rsidRPr="00E830D5">
        <w:rPr>
          <w:rStyle w:val="FootnoteReference"/>
        </w:rPr>
        <w:footnoteRef/>
      </w:r>
      <w:r w:rsidRPr="00E830D5">
        <w:t xml:space="preserve"> </w:t>
      </w:r>
      <w:r w:rsidRPr="00E830D5">
        <w:tab/>
        <w:t xml:space="preserve">Our guidance required </w:t>
      </w:r>
      <w:r w:rsidR="00700640" w:rsidRPr="00E830D5">
        <w:t>Greater Western Water</w:t>
      </w:r>
      <w:r w:rsidRPr="00E830D5">
        <w:t xml:space="preserve"> to provide an estimate of the components of </w:t>
      </w:r>
      <w:r w:rsidR="00FD5135" w:rsidRPr="00E830D5">
        <w:t>its</w:t>
      </w:r>
      <w:r w:rsidRPr="00E830D5">
        <w:t xml:space="preserve"> regulatory asset base for 202</w:t>
      </w:r>
      <w:r w:rsidR="008A1BF7" w:rsidRPr="00E830D5">
        <w:t>3</w:t>
      </w:r>
      <w:r w:rsidR="007B3321" w:rsidRPr="00E830D5">
        <w:noBreakHyphen/>
      </w:r>
      <w:r w:rsidRPr="00E830D5">
        <w:t>2</w:t>
      </w:r>
      <w:r w:rsidR="008A1BF7" w:rsidRPr="00E830D5">
        <w:t>4</w:t>
      </w:r>
      <w:r w:rsidRPr="00E830D5">
        <w:t>. This was so we could assess the opening asset base for 1 July 202</w:t>
      </w:r>
      <w:r w:rsidR="00D860E1" w:rsidRPr="00E830D5">
        <w:t>4</w:t>
      </w:r>
      <w:r w:rsidRPr="00E830D5">
        <w:t xml:space="preserve">. Our guidance noted that </w:t>
      </w:r>
      <w:r w:rsidR="00412FC2" w:rsidRPr="00E830D5">
        <w:t>w</w:t>
      </w:r>
      <w:r w:rsidR="000F6AB5" w:rsidRPr="00E830D5">
        <w:t xml:space="preserve">here developer contribution forecasts are higher than the forecast benchmark for </w:t>
      </w:r>
      <w:r w:rsidR="00412FC2" w:rsidRPr="00E830D5">
        <w:t>2023</w:t>
      </w:r>
      <w:r w:rsidR="00412FC2" w:rsidRPr="00E830D5">
        <w:noBreakHyphen/>
        <w:t>24</w:t>
      </w:r>
      <w:r w:rsidR="000F6AB5" w:rsidRPr="00E830D5">
        <w:t xml:space="preserve"> in the 2018 and 2020 price determinations, Greater Western Water must use the higher amount.</w:t>
      </w:r>
      <w:r w:rsidR="00963716" w:rsidRPr="00E830D5">
        <w:t xml:space="preserve"> In practice, our final decision will use the latest forecast </w:t>
      </w:r>
      <w:r w:rsidR="00E24DDD" w:rsidRPr="00E830D5">
        <w:t xml:space="preserve">from Greater Western Water </w:t>
      </w:r>
      <w:r w:rsidR="00963716" w:rsidRPr="00E830D5">
        <w:t xml:space="preserve">based on </w:t>
      </w:r>
      <w:r w:rsidR="00E24DDD" w:rsidRPr="00E830D5">
        <w:t>year-</w:t>
      </w:r>
      <w:r w:rsidR="00963716" w:rsidRPr="00E830D5">
        <w:t>to</w:t>
      </w:r>
      <w:r w:rsidR="00E24DDD" w:rsidRPr="00E830D5">
        <w:t>-</w:t>
      </w:r>
      <w:r w:rsidR="00963716" w:rsidRPr="00E830D5">
        <w:t>date actual contributions</w:t>
      </w:r>
      <w:r w:rsidR="006D3485" w:rsidRPr="00E830D5">
        <w:t>.</w:t>
      </w:r>
      <w:r w:rsidR="006F468A" w:rsidRPr="00E830D5">
        <w:t xml:space="preserve"> </w:t>
      </w:r>
      <w:r w:rsidRPr="00E830D5">
        <w:t>The</w:t>
      </w:r>
      <w:r w:rsidR="006F468A" w:rsidRPr="00E830D5">
        <w:t xml:space="preserve"> </w:t>
      </w:r>
      <w:r w:rsidRPr="00E830D5">
        <w:t>estimates for 202</w:t>
      </w:r>
      <w:r w:rsidR="008A1BF7" w:rsidRPr="00E830D5">
        <w:t>3</w:t>
      </w:r>
      <w:r w:rsidR="005D5886" w:rsidRPr="00E830D5">
        <w:noBreakHyphen/>
      </w:r>
      <w:r w:rsidRPr="00E830D5">
        <w:t>2</w:t>
      </w:r>
      <w:r w:rsidR="008A1BF7" w:rsidRPr="00E830D5">
        <w:t>4</w:t>
      </w:r>
      <w:r w:rsidRPr="00E830D5">
        <w:t xml:space="preserve"> will be confirmed </w:t>
      </w:r>
      <w:r w:rsidR="006F468A" w:rsidRPr="00E830D5">
        <w:t xml:space="preserve">at the next price review </w:t>
      </w:r>
      <w:r w:rsidRPr="00E830D5">
        <w:t>following the 202</w:t>
      </w:r>
      <w:r w:rsidR="005E4A0A" w:rsidRPr="00E830D5">
        <w:t>4</w:t>
      </w:r>
      <w:r w:rsidRPr="00E830D5">
        <w:t xml:space="preserve"> water price review. </w:t>
      </w:r>
      <w:r w:rsidR="008A1BF7" w:rsidRPr="00E830D5">
        <w:t>Essential Services Commission</w:t>
      </w:r>
      <w:r w:rsidR="00387A83" w:rsidRPr="00E830D5">
        <w:t xml:space="preserve"> 2022</w:t>
      </w:r>
      <w:r w:rsidR="008A1BF7" w:rsidRPr="00E830D5">
        <w:t xml:space="preserve">, </w:t>
      </w:r>
      <w:r w:rsidR="008A1BF7" w:rsidRPr="00E830D5">
        <w:rPr>
          <w:i/>
        </w:rPr>
        <w:t xml:space="preserve">2024 </w:t>
      </w:r>
      <w:r w:rsidR="00035635" w:rsidRPr="00E830D5">
        <w:rPr>
          <w:i/>
        </w:rPr>
        <w:t>Greater Western Water price</w:t>
      </w:r>
      <w:r w:rsidR="008A1BF7" w:rsidRPr="00E830D5">
        <w:rPr>
          <w:i/>
        </w:rPr>
        <w:t xml:space="preserve"> review: Guidance paper</w:t>
      </w:r>
      <w:r w:rsidR="008A1BF7" w:rsidRPr="00E830D5">
        <w:t xml:space="preserve">, </w:t>
      </w:r>
      <w:r w:rsidR="00035635" w:rsidRPr="00E830D5">
        <w:t>20</w:t>
      </w:r>
      <w:r w:rsidR="008A1BF7" w:rsidRPr="00E830D5">
        <w:t xml:space="preserve"> September 2022</w:t>
      </w:r>
      <w:r w:rsidRPr="00E830D5">
        <w:t>, p</w:t>
      </w:r>
      <w:r w:rsidR="00783AFC" w:rsidRPr="00E830D5">
        <w:t>p</w:t>
      </w:r>
      <w:r w:rsidRPr="00E830D5">
        <w:t xml:space="preserve">. </w:t>
      </w:r>
      <w:r w:rsidR="0064775F" w:rsidRPr="00E830D5">
        <w:t>41</w:t>
      </w:r>
      <w:r w:rsidR="00783AFC" w:rsidRPr="00E830D5">
        <w:t>–42</w:t>
      </w:r>
      <w:r w:rsidRPr="00E830D5">
        <w:t>.</w:t>
      </w:r>
    </w:p>
  </w:footnote>
  <w:footnote w:id="84">
    <w:p w14:paraId="68030151" w14:textId="77777777" w:rsidR="000E5B77" w:rsidRPr="0022715E" w:rsidRDefault="000E5B77" w:rsidP="000E5B77">
      <w:pPr>
        <w:pStyle w:val="FootnoteText"/>
        <w:rPr>
          <w:lang w:val="en-US"/>
        </w:rPr>
      </w:pPr>
      <w:r w:rsidRPr="00F5534D">
        <w:rPr>
          <w:rStyle w:val="FootnoteReference"/>
        </w:rPr>
        <w:footnoteRef/>
      </w:r>
      <w:r w:rsidRPr="00F5534D">
        <w:t xml:space="preserve"> </w:t>
      </w:r>
      <w:r w:rsidRPr="00F5534D">
        <w:tab/>
        <w:t xml:space="preserve">Revenue from new customer contributions reflects revenue earned from new connections made to the water corporation’s water, </w:t>
      </w:r>
      <w:proofErr w:type="gramStart"/>
      <w:r w:rsidRPr="00F5534D">
        <w:t>sewerage</w:t>
      </w:r>
      <w:proofErr w:type="gramEnd"/>
      <w:r w:rsidRPr="00F5534D">
        <w:t xml:space="preserve"> or recycled water networks.</w:t>
      </w:r>
    </w:p>
  </w:footnote>
  <w:footnote w:id="85">
    <w:p w14:paraId="56566EDE" w14:textId="1D4CC288" w:rsidR="00A10F73" w:rsidRDefault="00A10F73" w:rsidP="00A10F73">
      <w:pPr>
        <w:pStyle w:val="FootnoteText"/>
      </w:pPr>
      <w:r w:rsidRPr="007C7B8C">
        <w:rPr>
          <w:rStyle w:val="FootnoteReference"/>
        </w:rPr>
        <w:footnoteRef/>
      </w:r>
      <w:r w:rsidRPr="007C7B8C">
        <w:t xml:space="preserve"> </w:t>
      </w:r>
      <w:r w:rsidRPr="007C7B8C">
        <w:tab/>
        <w:t xml:space="preserve">Essential Services Commission 2022, </w:t>
      </w:r>
      <w:r w:rsidRPr="007C7B8C">
        <w:rPr>
          <w:i/>
        </w:rPr>
        <w:t>2024 Greater Western Water price review: Guidance paper</w:t>
      </w:r>
      <w:r w:rsidRPr="007C7B8C">
        <w:t>, 20 September, pp.</w:t>
      </w:r>
      <w:r w:rsidR="00CF4AF2" w:rsidRPr="007C7B8C">
        <w:t> </w:t>
      </w:r>
      <w:r w:rsidRPr="007C7B8C">
        <w:t>46–47.</w:t>
      </w:r>
    </w:p>
  </w:footnote>
  <w:footnote w:id="86">
    <w:p w14:paraId="4CE830CF" w14:textId="77777777" w:rsidR="00A10F73" w:rsidRPr="005242F7" w:rsidRDefault="00A10F73" w:rsidP="00A10F73">
      <w:pPr>
        <w:pStyle w:val="FootnoteText"/>
        <w:rPr>
          <w:lang w:val="en-US"/>
        </w:rPr>
      </w:pPr>
      <w:r>
        <w:rPr>
          <w:rStyle w:val="FootnoteReference"/>
        </w:rPr>
        <w:footnoteRef/>
      </w:r>
      <w:r>
        <w:t xml:space="preserve"> </w:t>
      </w:r>
      <w:r>
        <w:tab/>
      </w:r>
      <w:r w:rsidRPr="005242F7">
        <w:t xml:space="preserve">We will continue to monitor market conditions and may amend the return on equity matrix values to reflect any changes to the medium-term outlook prior to releasing our final decision. </w:t>
      </w:r>
      <w:r>
        <w:t xml:space="preserve">We have had regard to the return on equity adopted by interstate regulators in the following publications: </w:t>
      </w:r>
      <w:r w:rsidRPr="00D630E6">
        <w:t xml:space="preserve">Independent Pricing and Regulatory Tribunal NSW, </w:t>
      </w:r>
      <w:r w:rsidRPr="007676F3">
        <w:rPr>
          <w:i/>
          <w:iCs/>
        </w:rPr>
        <w:t xml:space="preserve">Final Report - Review of </w:t>
      </w:r>
      <w:proofErr w:type="spellStart"/>
      <w:r w:rsidRPr="007676F3">
        <w:rPr>
          <w:i/>
          <w:iCs/>
        </w:rPr>
        <w:t>WaterNSW's</w:t>
      </w:r>
      <w:proofErr w:type="spellEnd"/>
      <w:r w:rsidRPr="007676F3">
        <w:rPr>
          <w:i/>
          <w:iCs/>
        </w:rPr>
        <w:t xml:space="preserve"> rural bulk water prices</w:t>
      </w:r>
      <w:r w:rsidRPr="00D630E6">
        <w:t xml:space="preserve">, 9 September 2021; Independent Pricing and Regulatory Tribunal NSW, </w:t>
      </w:r>
      <w:r w:rsidRPr="007676F3">
        <w:rPr>
          <w:i/>
          <w:iCs/>
        </w:rPr>
        <w:t>Final Report - Review of prices for Sydney Water</w:t>
      </w:r>
      <w:r w:rsidRPr="00D630E6">
        <w:t xml:space="preserve">, June 2020; Essential Services Commission of South Australia, </w:t>
      </w:r>
      <w:r w:rsidRPr="00AA242B">
        <w:rPr>
          <w:i/>
          <w:iCs/>
        </w:rPr>
        <w:t>SA Water's water and sewerage retail services: 1 July 2020 - 30 June 2024</w:t>
      </w:r>
      <w:r w:rsidRPr="00D630E6">
        <w:t xml:space="preserve">, Price Determination, 1 July 2020; Queensland Competition Authority, </w:t>
      </w:r>
      <w:r w:rsidRPr="00DF753D">
        <w:rPr>
          <w:i/>
          <w:iCs/>
        </w:rPr>
        <w:t>Final report - Seqwater bulk water price review 2022–26</w:t>
      </w:r>
      <w:r w:rsidRPr="00D630E6">
        <w:t xml:space="preserve">, March 2022; Queensland Competition Authority (QCA), </w:t>
      </w:r>
      <w:r w:rsidRPr="00AA242B">
        <w:rPr>
          <w:i/>
          <w:iCs/>
        </w:rPr>
        <w:t>Final report - Rural irrigation price review 2020–24, Part A: Overview</w:t>
      </w:r>
      <w:r w:rsidRPr="00D630E6">
        <w:t xml:space="preserve">, January 2020; Office of the Tasmanian Economic Regulator, </w:t>
      </w:r>
      <w:r w:rsidRPr="00A77AC3">
        <w:rPr>
          <w:i/>
          <w:iCs/>
        </w:rPr>
        <w:t xml:space="preserve">Final report - Investigation into </w:t>
      </w:r>
      <w:proofErr w:type="spellStart"/>
      <w:r w:rsidRPr="00A77AC3">
        <w:rPr>
          <w:i/>
          <w:iCs/>
        </w:rPr>
        <w:t>TasWater's</w:t>
      </w:r>
      <w:proofErr w:type="spellEnd"/>
      <w:r w:rsidRPr="00A77AC3">
        <w:rPr>
          <w:i/>
          <w:iCs/>
        </w:rPr>
        <w:t xml:space="preserve"> prices and services for the period 1 July 2022 to 30 June 2026</w:t>
      </w:r>
      <w:r w:rsidRPr="00D630E6">
        <w:t>, May 2022</w:t>
      </w:r>
      <w:r>
        <w:t>.</w:t>
      </w:r>
    </w:p>
  </w:footnote>
  <w:footnote w:id="87">
    <w:p w14:paraId="02A56033" w14:textId="249E1954" w:rsidR="00A10F73" w:rsidRPr="006F2763" w:rsidRDefault="00A10F73" w:rsidP="00A10F73">
      <w:pPr>
        <w:pStyle w:val="FootnoteText"/>
        <w:rPr>
          <w:lang w:val="en-US"/>
        </w:rPr>
      </w:pPr>
      <w:r w:rsidRPr="007C7B8C">
        <w:rPr>
          <w:rStyle w:val="FootnoteReference"/>
        </w:rPr>
        <w:footnoteRef/>
      </w:r>
      <w:r w:rsidRPr="007C7B8C">
        <w:t xml:space="preserve"> </w:t>
      </w:r>
      <w:r w:rsidRPr="007C7B8C">
        <w:tab/>
        <w:t xml:space="preserve">Essential Services Commission 2022, </w:t>
      </w:r>
      <w:r w:rsidRPr="007C7B8C">
        <w:rPr>
          <w:i/>
        </w:rPr>
        <w:t>2024 Greater Western Water price review: Guidance paper</w:t>
      </w:r>
      <w:r w:rsidRPr="007C7B8C">
        <w:t>, 20 September, p.</w:t>
      </w:r>
      <w:r w:rsidR="00CF4AF2" w:rsidRPr="007C7B8C">
        <w:t> </w:t>
      </w:r>
      <w:r w:rsidRPr="007C7B8C">
        <w:t>51.</w:t>
      </w:r>
    </w:p>
  </w:footnote>
  <w:footnote w:id="88">
    <w:p w14:paraId="1D6846B1" w14:textId="77777777" w:rsidR="00B77C19" w:rsidRPr="00130680" w:rsidRDefault="00B77C19" w:rsidP="00B77C19">
      <w:pPr>
        <w:pStyle w:val="FootnoteText"/>
        <w:rPr>
          <w:lang w:val="en-US"/>
        </w:rPr>
      </w:pPr>
      <w:r w:rsidRPr="007C664D">
        <w:rPr>
          <w:rStyle w:val="FootnoteReference"/>
        </w:rPr>
        <w:footnoteRef/>
      </w:r>
      <w:r w:rsidRPr="007C664D">
        <w:t xml:space="preserve"> </w:t>
      </w:r>
      <w:r w:rsidRPr="007C664D">
        <w:tab/>
        <w:t>For the period from 2024–25 to 2027–28, Greater Western Water proposed a regulatory depreciation of $443.7 million.</w:t>
      </w:r>
    </w:p>
  </w:footnote>
  <w:footnote w:id="89">
    <w:p w14:paraId="446CB6B1" w14:textId="0301C417" w:rsidR="00B77C19" w:rsidRPr="008B6581" w:rsidRDefault="00B77C19" w:rsidP="00B77C19">
      <w:pPr>
        <w:pStyle w:val="FootnoteText"/>
        <w:rPr>
          <w:lang w:val="en-US"/>
        </w:rPr>
      </w:pPr>
      <w:r w:rsidRPr="007C664D">
        <w:rPr>
          <w:rStyle w:val="FootnoteReference"/>
        </w:rPr>
        <w:footnoteRef/>
      </w:r>
      <w:r w:rsidRPr="007C664D">
        <w:t xml:space="preserve"> </w:t>
      </w:r>
      <w:r w:rsidRPr="007C664D">
        <w:tab/>
        <w:t xml:space="preserve">Essential Services Commission 2022, </w:t>
      </w:r>
      <w:r w:rsidRPr="007C664D">
        <w:rPr>
          <w:i/>
        </w:rPr>
        <w:t>2024 Greater Western Water price review: Guidance paper</w:t>
      </w:r>
      <w:r w:rsidRPr="007C664D">
        <w:t>, 20 September, p.</w:t>
      </w:r>
      <w:r w:rsidR="008C013E" w:rsidRPr="007C664D">
        <w:t> </w:t>
      </w:r>
      <w:r w:rsidRPr="007C664D">
        <w:t>43.</w:t>
      </w:r>
    </w:p>
  </w:footnote>
  <w:footnote w:id="90">
    <w:p w14:paraId="62ACF109" w14:textId="787B1379" w:rsidR="00D40D2C" w:rsidRPr="00E13379" w:rsidRDefault="00D40D2C" w:rsidP="00D40D2C">
      <w:pPr>
        <w:pStyle w:val="FootnoteText"/>
        <w:rPr>
          <w:lang w:val="en-US"/>
        </w:rPr>
      </w:pPr>
      <w:r w:rsidRPr="00E13379">
        <w:rPr>
          <w:rStyle w:val="FootnoteReference"/>
        </w:rPr>
        <w:footnoteRef/>
      </w:r>
      <w:r w:rsidR="001A2955" w:rsidRPr="00E13379">
        <w:t xml:space="preserve"> </w:t>
      </w:r>
      <w:r w:rsidR="001A2955" w:rsidRPr="00E13379">
        <w:tab/>
        <w:t xml:space="preserve">Essential Services Commission 2022, </w:t>
      </w:r>
      <w:r w:rsidR="001A2955" w:rsidRPr="00E13379">
        <w:rPr>
          <w:i/>
        </w:rPr>
        <w:t>2024 Greater Western Water price review: Guidance paper</w:t>
      </w:r>
      <w:r w:rsidR="001A2955" w:rsidRPr="00E13379">
        <w:t>, 20 September, pp.</w:t>
      </w:r>
      <w:r w:rsidR="00EE69F0" w:rsidRPr="00E13379">
        <w:t> </w:t>
      </w:r>
      <w:r w:rsidR="001A2955" w:rsidRPr="00E13379">
        <w:t>53–54.</w:t>
      </w:r>
    </w:p>
  </w:footnote>
  <w:footnote w:id="91">
    <w:p w14:paraId="1FA7D252" w14:textId="43195DFA" w:rsidR="00D36CE9" w:rsidRPr="00FD4B21" w:rsidRDefault="00D36CE9" w:rsidP="00D36CE9">
      <w:pPr>
        <w:pStyle w:val="FootnoteText"/>
        <w:rPr>
          <w:lang w:val="en-US"/>
        </w:rPr>
      </w:pPr>
      <w:r w:rsidRPr="00E13379">
        <w:rPr>
          <w:rStyle w:val="FootnoteReference"/>
        </w:rPr>
        <w:footnoteRef/>
      </w:r>
      <w:r w:rsidR="001A2955" w:rsidRPr="00E13379">
        <w:t xml:space="preserve"> </w:t>
      </w:r>
      <w:r w:rsidR="001A2955" w:rsidRPr="00E13379">
        <w:tab/>
        <w:t xml:space="preserve">Essential Services Commission 2022, </w:t>
      </w:r>
      <w:r w:rsidR="001A2955" w:rsidRPr="00E13379">
        <w:rPr>
          <w:i/>
        </w:rPr>
        <w:t>2024 Greater Western Water price review: Guidance paper</w:t>
      </w:r>
      <w:r w:rsidR="001A2955" w:rsidRPr="00E13379">
        <w:t>, 20 September, pp.</w:t>
      </w:r>
      <w:r w:rsidR="00EE69F0" w:rsidRPr="00E13379">
        <w:t> </w:t>
      </w:r>
      <w:r w:rsidR="001A2955" w:rsidRPr="00E13379">
        <w:t>54–55.</w:t>
      </w:r>
    </w:p>
  </w:footnote>
  <w:footnote w:id="92">
    <w:p w14:paraId="043C446C" w14:textId="55D69D86" w:rsidR="008469B3" w:rsidRPr="00E13379" w:rsidRDefault="008469B3" w:rsidP="008469B3">
      <w:pPr>
        <w:pStyle w:val="FootnoteText"/>
        <w:rPr>
          <w:lang w:val="en-US"/>
        </w:rPr>
      </w:pPr>
      <w:r w:rsidRPr="00E13379">
        <w:rPr>
          <w:rStyle w:val="FootnoteReference"/>
        </w:rPr>
        <w:footnoteRef/>
      </w:r>
      <w:r w:rsidR="001A2955" w:rsidRPr="00E13379">
        <w:t xml:space="preserve"> </w:t>
      </w:r>
      <w:r w:rsidR="001A2955" w:rsidRPr="00E13379">
        <w:tab/>
        <w:t xml:space="preserve">Essential Services Commission 2022, </w:t>
      </w:r>
      <w:r w:rsidR="001A2955" w:rsidRPr="00E13379">
        <w:rPr>
          <w:i/>
        </w:rPr>
        <w:t>2024 Greater Western Water price review: Guidance paper</w:t>
      </w:r>
      <w:r w:rsidR="001A2955" w:rsidRPr="00E13379">
        <w:t>, 20 September, p.</w:t>
      </w:r>
      <w:r w:rsidR="00EE69F0" w:rsidRPr="00E13379">
        <w:t> </w:t>
      </w:r>
      <w:r w:rsidR="001A2955" w:rsidRPr="00E13379">
        <w:t>56.</w:t>
      </w:r>
    </w:p>
  </w:footnote>
  <w:footnote w:id="93">
    <w:p w14:paraId="1719924B" w14:textId="27A9F7AC" w:rsidR="00192AA1" w:rsidRDefault="00192AA1">
      <w:pPr>
        <w:pStyle w:val="FootnoteText"/>
      </w:pPr>
      <w:r w:rsidRPr="00E13379">
        <w:rPr>
          <w:rStyle w:val="FootnoteReference"/>
        </w:rPr>
        <w:footnoteRef/>
      </w:r>
      <w:r w:rsidR="001A2955" w:rsidRPr="00E13379">
        <w:t xml:space="preserve"> </w:t>
      </w:r>
      <w:r w:rsidR="001A2955" w:rsidRPr="00E13379">
        <w:tab/>
      </w:r>
      <w:r w:rsidR="001A2955" w:rsidRPr="00E13379">
        <w:rPr>
          <w:lang w:val="en-US"/>
        </w:rPr>
        <w:t>Greater Western Water</w:t>
      </w:r>
      <w:r w:rsidR="00EE69F0" w:rsidRPr="00E13379">
        <w:rPr>
          <w:lang w:val="en-US"/>
        </w:rPr>
        <w:t xml:space="preserve"> 2023</w:t>
      </w:r>
      <w:r w:rsidR="001A2955" w:rsidRPr="00E13379">
        <w:rPr>
          <w:lang w:val="en-US"/>
        </w:rPr>
        <w:t xml:space="preserve">, </w:t>
      </w:r>
      <w:r w:rsidR="001A2955" w:rsidRPr="00E13379">
        <w:rPr>
          <w:i/>
          <w:lang w:val="en-US"/>
        </w:rPr>
        <w:t xml:space="preserve">2024 </w:t>
      </w:r>
      <w:r w:rsidR="00EE69F0" w:rsidRPr="00E13379">
        <w:rPr>
          <w:i/>
          <w:iCs/>
          <w:lang w:val="en-US"/>
        </w:rPr>
        <w:t>P</w:t>
      </w:r>
      <w:r w:rsidR="001A2955" w:rsidRPr="00E13379">
        <w:rPr>
          <w:i/>
          <w:iCs/>
          <w:lang w:val="en-US"/>
        </w:rPr>
        <w:t xml:space="preserve">rice </w:t>
      </w:r>
      <w:r w:rsidR="00EE69F0" w:rsidRPr="00E13379">
        <w:rPr>
          <w:i/>
          <w:iCs/>
          <w:lang w:val="en-US"/>
        </w:rPr>
        <w:t>S</w:t>
      </w:r>
      <w:r w:rsidR="001A2955" w:rsidRPr="00E13379">
        <w:rPr>
          <w:i/>
          <w:iCs/>
          <w:lang w:val="en-US"/>
        </w:rPr>
        <w:t>ubmission</w:t>
      </w:r>
      <w:r w:rsidR="001A2955" w:rsidRPr="00E13379">
        <w:rPr>
          <w:lang w:val="en-US"/>
        </w:rPr>
        <w:t>,</w:t>
      </w:r>
      <w:r w:rsidR="00EE69F0" w:rsidRPr="00E13379">
        <w:rPr>
          <w:lang w:val="en-US"/>
        </w:rPr>
        <w:t xml:space="preserve"> 28</w:t>
      </w:r>
      <w:r w:rsidR="001A2955" w:rsidRPr="00E13379">
        <w:rPr>
          <w:lang w:val="en-US"/>
        </w:rPr>
        <w:t xml:space="preserve"> September, p. 91.</w:t>
      </w:r>
    </w:p>
  </w:footnote>
  <w:footnote w:id="94">
    <w:p w14:paraId="311A5017" w14:textId="0090F904" w:rsidR="00F7213E" w:rsidRDefault="00F7213E">
      <w:pPr>
        <w:pStyle w:val="FootnoteText"/>
      </w:pPr>
      <w:r w:rsidRPr="00E13379">
        <w:rPr>
          <w:rStyle w:val="FootnoteReference"/>
        </w:rPr>
        <w:footnoteRef/>
      </w:r>
      <w:r w:rsidRPr="00E13379">
        <w:t xml:space="preserve"> </w:t>
      </w:r>
      <w:r w:rsidR="0086579B" w:rsidRPr="00E13379">
        <w:tab/>
      </w:r>
      <w:r w:rsidR="000823E6" w:rsidRPr="00E13379">
        <w:t xml:space="preserve">Greater Western Water </w:t>
      </w:r>
      <w:r w:rsidR="00CE3CDB" w:rsidRPr="00E13379">
        <w:t xml:space="preserve">has </w:t>
      </w:r>
      <w:r w:rsidR="004661CF" w:rsidRPr="00E13379">
        <w:t xml:space="preserve">previously </w:t>
      </w:r>
      <w:r w:rsidR="006E1D31" w:rsidRPr="00E13379">
        <w:t xml:space="preserve">calculated </w:t>
      </w:r>
      <w:r w:rsidR="00F00515" w:rsidRPr="00E13379">
        <w:t xml:space="preserve">its </w:t>
      </w:r>
      <w:r w:rsidR="003073EF" w:rsidRPr="00E13379">
        <w:t xml:space="preserve">recycled water </w:t>
      </w:r>
      <w:r w:rsidR="002264CC" w:rsidRPr="00E13379">
        <w:t>v</w:t>
      </w:r>
      <w:r w:rsidR="00A55EEB" w:rsidRPr="00E13379">
        <w:t xml:space="preserve">ariable usage </w:t>
      </w:r>
      <w:r w:rsidR="002264CC" w:rsidRPr="00E13379">
        <w:t xml:space="preserve">charge for non-residential customers </w:t>
      </w:r>
      <w:r w:rsidR="00272ED6" w:rsidRPr="00E13379">
        <w:t xml:space="preserve">in </w:t>
      </w:r>
      <w:r w:rsidR="000A5A67" w:rsidRPr="00E13379">
        <w:t xml:space="preserve">the western </w:t>
      </w:r>
      <w:r w:rsidR="00A727F3" w:rsidRPr="00E13379">
        <w:t>region</w:t>
      </w:r>
      <w:r w:rsidR="002264CC" w:rsidRPr="00E13379">
        <w:t xml:space="preserve"> </w:t>
      </w:r>
      <w:r w:rsidR="00272ED6" w:rsidRPr="00E13379">
        <w:t xml:space="preserve">in accordance with </w:t>
      </w:r>
      <w:r w:rsidR="00A354D1" w:rsidRPr="00E13379">
        <w:t xml:space="preserve">the </w:t>
      </w:r>
      <w:r w:rsidR="00862EE4" w:rsidRPr="00E13379">
        <w:t>pricing principals</w:t>
      </w:r>
      <w:r w:rsidR="00A354D1" w:rsidRPr="00E13379">
        <w:t xml:space="preserve"> in our guidance</w:t>
      </w:r>
      <w:r w:rsidR="00862EE4" w:rsidRPr="00E13379">
        <w:t xml:space="preserve">. Greater Western Water has proposed </w:t>
      </w:r>
      <w:r w:rsidR="00701255" w:rsidRPr="00E13379">
        <w:t xml:space="preserve">a single </w:t>
      </w:r>
      <w:r w:rsidR="00307731" w:rsidRPr="00E13379">
        <w:t xml:space="preserve">variable usage </w:t>
      </w:r>
      <w:r w:rsidR="000B3386" w:rsidRPr="00E13379">
        <w:t>tariff</w:t>
      </w:r>
      <w:r w:rsidR="00416C54" w:rsidRPr="00E13379">
        <w:t xml:space="preserve"> for </w:t>
      </w:r>
      <w:r w:rsidR="00862EE4" w:rsidRPr="00E13379">
        <w:t xml:space="preserve">Class A recycled water </w:t>
      </w:r>
      <w:r w:rsidR="00701255" w:rsidRPr="00E13379">
        <w:t>for both residential and non-residential customers.</w:t>
      </w:r>
      <w:r w:rsidR="00D075CC" w:rsidRPr="00E13379">
        <w:t xml:space="preserve"> </w:t>
      </w:r>
      <w:r w:rsidR="00DA7510" w:rsidRPr="00E13379">
        <w:t xml:space="preserve">Usage charges </w:t>
      </w:r>
      <w:r w:rsidR="009E28D8" w:rsidRPr="00E13379">
        <w:t xml:space="preserve">for </w:t>
      </w:r>
      <w:r w:rsidR="00063821" w:rsidRPr="00E13379">
        <w:t xml:space="preserve">different recycled water classes will </w:t>
      </w:r>
      <w:r w:rsidR="00D075CC" w:rsidRPr="00E13379">
        <w:t xml:space="preserve">continue to </w:t>
      </w:r>
      <w:r w:rsidR="00063821" w:rsidRPr="00E13379">
        <w:t xml:space="preserve">be calculated </w:t>
      </w:r>
      <w:r w:rsidR="00986CF7" w:rsidRPr="00E13379">
        <w:t>in accordance with the pricing principles.</w:t>
      </w:r>
    </w:p>
  </w:footnote>
  <w:footnote w:id="95">
    <w:p w14:paraId="7C3A9A77" w14:textId="77777777" w:rsidR="008469B3" w:rsidRPr="00CE2463" w:rsidRDefault="008469B3" w:rsidP="008469B3">
      <w:pPr>
        <w:pStyle w:val="FootnoteText"/>
        <w:rPr>
          <w:lang w:val="en-US"/>
        </w:rPr>
      </w:pPr>
      <w:r w:rsidRPr="00CE2463">
        <w:rPr>
          <w:rStyle w:val="FootnoteReference"/>
        </w:rPr>
        <w:footnoteRef/>
      </w:r>
      <w:r w:rsidRPr="00CE2463">
        <w:t xml:space="preserve"> </w:t>
      </w:r>
      <w:r w:rsidRPr="00CE2463">
        <w:tab/>
        <w:t xml:space="preserve">Includes the tariffs of Icon Water, Sydney Water, Hunter Water, Central Coast Council, Power and Water Corp, Urban Utilities, Unity Water, SA Water and </w:t>
      </w:r>
      <w:proofErr w:type="spellStart"/>
      <w:r w:rsidRPr="00CE2463">
        <w:t>TasWater</w:t>
      </w:r>
      <w:proofErr w:type="spellEnd"/>
      <w:r w:rsidRPr="00CE2463">
        <w:t>.</w:t>
      </w:r>
    </w:p>
  </w:footnote>
  <w:footnote w:id="96">
    <w:p w14:paraId="6F44C70E" w14:textId="597D59C8" w:rsidR="008469B3" w:rsidRPr="00CE2463" w:rsidRDefault="008469B3" w:rsidP="008469B3">
      <w:pPr>
        <w:pStyle w:val="FootnoteText"/>
        <w:rPr>
          <w:lang w:val="en-US"/>
        </w:rPr>
      </w:pPr>
      <w:r w:rsidRPr="00CE2463">
        <w:rPr>
          <w:rStyle w:val="FootnoteReference"/>
        </w:rPr>
        <w:footnoteRef/>
      </w:r>
      <w:r w:rsidRPr="00CE2463">
        <w:t xml:space="preserve"> </w:t>
      </w:r>
      <w:r w:rsidRPr="00CE2463">
        <w:tab/>
        <w:t>Our reasons are outlined in our 2013 draft decisions on price review 2013</w:t>
      </w:r>
      <w:r w:rsidR="00832218" w:rsidRPr="00CE2463">
        <w:noBreakHyphen/>
      </w:r>
      <w:r w:rsidRPr="00CE2463">
        <w:t>14 to 2017</w:t>
      </w:r>
      <w:r w:rsidR="00832218" w:rsidRPr="00CE2463">
        <w:noBreakHyphen/>
      </w:r>
      <w:r w:rsidRPr="00CE2463">
        <w:t>18.</w:t>
      </w:r>
    </w:p>
  </w:footnote>
  <w:footnote w:id="97">
    <w:p w14:paraId="2BCD9144" w14:textId="0376FDA1" w:rsidR="00270D1F" w:rsidRPr="00116003" w:rsidRDefault="00270D1F">
      <w:pPr>
        <w:pStyle w:val="FootnoteText"/>
        <w:rPr>
          <w:highlight w:val="darkGray"/>
        </w:rPr>
      </w:pPr>
      <w:r w:rsidRPr="00CE2463">
        <w:rPr>
          <w:rStyle w:val="FootnoteReference"/>
        </w:rPr>
        <w:footnoteRef/>
      </w:r>
      <w:r w:rsidRPr="00CE2463">
        <w:t xml:space="preserve"> </w:t>
      </w:r>
      <w:r w:rsidRPr="00CE2463">
        <w:tab/>
        <w:t xml:space="preserve">In its price submission, Greater Western Water refers to </w:t>
      </w:r>
      <w:r w:rsidR="00D63486" w:rsidRPr="00CE2463">
        <w:t>fixed service charges as ‘netw</w:t>
      </w:r>
      <w:r w:rsidR="00A97743" w:rsidRPr="00CE2463">
        <w:t>o</w:t>
      </w:r>
      <w:r w:rsidR="00D63486" w:rsidRPr="00CE2463">
        <w:t>rk fees’</w:t>
      </w:r>
      <w:r w:rsidR="001A2D21" w:rsidRPr="00CE2463">
        <w:t>.</w:t>
      </w:r>
    </w:p>
  </w:footnote>
  <w:footnote w:id="98">
    <w:p w14:paraId="53C747D4" w14:textId="6F8A7A13" w:rsidR="00435213" w:rsidRPr="00CE2463" w:rsidRDefault="00435213" w:rsidP="00435213">
      <w:pPr>
        <w:pStyle w:val="FootnoteText"/>
      </w:pPr>
      <w:r w:rsidRPr="00CE2463">
        <w:rPr>
          <w:rStyle w:val="FootnoteReference"/>
        </w:rPr>
        <w:footnoteRef/>
      </w:r>
      <w:r w:rsidRPr="00CE2463">
        <w:t xml:space="preserve"> </w:t>
      </w:r>
      <w:r w:rsidRPr="00CE2463">
        <w:tab/>
        <w:t xml:space="preserve">This is relevant to customers using a 20 mm meter which makes up </w:t>
      </w:r>
      <w:proofErr w:type="gramStart"/>
      <w:r w:rsidRPr="00CE2463">
        <w:t>the majority of</w:t>
      </w:r>
      <w:proofErr w:type="gramEnd"/>
      <w:r w:rsidRPr="00CE2463">
        <w:t xml:space="preserve"> residential and non-residential customers.</w:t>
      </w:r>
    </w:p>
  </w:footnote>
  <w:footnote w:id="99">
    <w:p w14:paraId="1F1B6F2D" w14:textId="2606D79D" w:rsidR="00435213" w:rsidRDefault="00435213" w:rsidP="00435213">
      <w:pPr>
        <w:pStyle w:val="FootnoteText"/>
      </w:pPr>
      <w:r w:rsidRPr="00CE2463">
        <w:rPr>
          <w:rStyle w:val="FootnoteReference"/>
        </w:rPr>
        <w:footnoteRef/>
      </w:r>
      <w:r w:rsidRPr="00CE2463">
        <w:t xml:space="preserve"> </w:t>
      </w:r>
      <w:r w:rsidRPr="00CE2463">
        <w:tab/>
        <w:t>David Mould, submission to the Essential Services Commission on Greater Western Water’s 2024 price submission, 24 October 2023.</w:t>
      </w:r>
    </w:p>
  </w:footnote>
  <w:footnote w:id="100">
    <w:p w14:paraId="3F03AE34" w14:textId="689C9BC6" w:rsidR="00B5295D" w:rsidRDefault="00B5295D">
      <w:pPr>
        <w:pStyle w:val="FootnoteText"/>
      </w:pPr>
      <w:r>
        <w:rPr>
          <w:rStyle w:val="FootnoteReference"/>
        </w:rPr>
        <w:footnoteRef/>
      </w:r>
      <w:r>
        <w:t xml:space="preserve"> </w:t>
      </w:r>
      <w:r w:rsidRPr="00B5295D">
        <w:t>Water Industry Regulatory Order 2014 clause 11(d)(iii).</w:t>
      </w:r>
    </w:p>
  </w:footnote>
  <w:footnote w:id="101">
    <w:p w14:paraId="4091A59B" w14:textId="6E79726E" w:rsidR="00044C7F" w:rsidRDefault="00044C7F">
      <w:pPr>
        <w:pStyle w:val="FootnoteText"/>
      </w:pPr>
      <w:r w:rsidRPr="00385D80">
        <w:rPr>
          <w:rStyle w:val="FootnoteReference"/>
        </w:rPr>
        <w:footnoteRef/>
      </w:r>
      <w:r w:rsidRPr="00385D80">
        <w:t xml:space="preserve"> </w:t>
      </w:r>
      <w:r w:rsidR="00190FEF" w:rsidRPr="00385D80">
        <w:tab/>
      </w:r>
      <w:r w:rsidR="00BD68B1" w:rsidRPr="00385D80">
        <w:t xml:space="preserve">We require </w:t>
      </w:r>
      <w:r w:rsidR="004C58AA" w:rsidRPr="00385D80">
        <w:t xml:space="preserve">a </w:t>
      </w:r>
      <w:r w:rsidR="00BD68B1" w:rsidRPr="00385D80">
        <w:t>water business t</w:t>
      </w:r>
      <w:r w:rsidR="00573FFA" w:rsidRPr="00385D80">
        <w:t xml:space="preserve">o </w:t>
      </w:r>
      <w:r w:rsidR="00A85DC2" w:rsidRPr="00385D80">
        <w:t>have a clear classif</w:t>
      </w:r>
      <w:r w:rsidR="00F816F9" w:rsidRPr="00385D80">
        <w:t>i</w:t>
      </w:r>
      <w:r w:rsidR="00A85DC2" w:rsidRPr="00385D80">
        <w:t xml:space="preserve">cation process for </w:t>
      </w:r>
      <w:r w:rsidR="004C58AA" w:rsidRPr="00385D80">
        <w:t xml:space="preserve">its </w:t>
      </w:r>
      <w:r w:rsidR="00A85DC2" w:rsidRPr="00385D80">
        <w:t>trade waste cust</w:t>
      </w:r>
      <w:r w:rsidR="00F816F9" w:rsidRPr="00385D80">
        <w:t>om</w:t>
      </w:r>
      <w:r w:rsidR="00A85DC2" w:rsidRPr="00385D80">
        <w:t>ers</w:t>
      </w:r>
      <w:r w:rsidR="002B7079" w:rsidRPr="00385D80">
        <w:t xml:space="preserve">, but </w:t>
      </w:r>
      <w:r w:rsidR="007C2909" w:rsidRPr="00385D80">
        <w:t>it is up to each water business to define these classifications – see</w:t>
      </w:r>
      <w:r w:rsidR="00F816F9" w:rsidRPr="00385D80">
        <w:t xml:space="preserve"> </w:t>
      </w:r>
      <w:r w:rsidR="008B41E6" w:rsidRPr="00385D80">
        <w:t xml:space="preserve">Essential Services Commission </w:t>
      </w:r>
      <w:r w:rsidR="00E113B1" w:rsidRPr="00385D80">
        <w:t>2022, Water Industry Standard – Trade Waste Cu</w:t>
      </w:r>
      <w:r w:rsidR="00036601" w:rsidRPr="00385D80">
        <w:t>s</w:t>
      </w:r>
      <w:r w:rsidR="00E113B1" w:rsidRPr="00385D80">
        <w:t>tom</w:t>
      </w:r>
      <w:r w:rsidR="00036601" w:rsidRPr="00385D80">
        <w:t>e</w:t>
      </w:r>
      <w:r w:rsidR="00E113B1" w:rsidRPr="00385D80">
        <w:t>r Service</w:t>
      </w:r>
      <w:r w:rsidR="00785E29" w:rsidRPr="00385D80">
        <w:t>, 27 September</w:t>
      </w:r>
      <w:r w:rsidR="00D01575" w:rsidRPr="00385D80">
        <w:t>, pp. 6–7</w:t>
      </w:r>
    </w:p>
  </w:footnote>
  <w:footnote w:id="102">
    <w:p w14:paraId="2891C042" w14:textId="39F66D89" w:rsidR="002362C5" w:rsidRPr="00BB7A96" w:rsidRDefault="002362C5" w:rsidP="002362C5">
      <w:pPr>
        <w:pStyle w:val="FootnoteText"/>
        <w:rPr>
          <w:highlight w:val="darkGray"/>
        </w:rPr>
      </w:pPr>
      <w:r w:rsidRPr="00385D80">
        <w:rPr>
          <w:rStyle w:val="FootnoteReference"/>
        </w:rPr>
        <w:footnoteRef/>
      </w:r>
      <w:r w:rsidRPr="00385D80">
        <w:t xml:space="preserve"> </w:t>
      </w:r>
      <w:r w:rsidR="003D2E64" w:rsidRPr="00385D80">
        <w:tab/>
      </w:r>
      <w:r w:rsidRPr="00385D80">
        <w:rPr>
          <w:szCs w:val="18"/>
        </w:rPr>
        <w:t>Essential Services Commission</w:t>
      </w:r>
      <w:r w:rsidR="00D5619C" w:rsidRPr="00385D80">
        <w:rPr>
          <w:szCs w:val="18"/>
        </w:rPr>
        <w:t xml:space="preserve"> 2013</w:t>
      </w:r>
      <w:r w:rsidRPr="00385D80">
        <w:rPr>
          <w:szCs w:val="18"/>
        </w:rPr>
        <w:t xml:space="preserve">, </w:t>
      </w:r>
      <w:r w:rsidRPr="00385D80">
        <w:rPr>
          <w:i/>
          <w:szCs w:val="18"/>
        </w:rPr>
        <w:t>New customer contributions: explanatory note</w:t>
      </w:r>
      <w:r w:rsidRPr="00385D80">
        <w:rPr>
          <w:szCs w:val="18"/>
        </w:rPr>
        <w:t xml:space="preserve">, December, p. 3. </w:t>
      </w:r>
      <w:r w:rsidRPr="00385D80">
        <w:t xml:space="preserve"> </w:t>
      </w:r>
    </w:p>
  </w:footnote>
  <w:footnote w:id="103">
    <w:p w14:paraId="7A897BA4" w14:textId="66FDD000" w:rsidR="002362C5" w:rsidRPr="00D52783" w:rsidRDefault="002362C5" w:rsidP="002362C5">
      <w:pPr>
        <w:pStyle w:val="FootnoteText"/>
      </w:pPr>
      <w:r w:rsidRPr="00D52783">
        <w:rPr>
          <w:rStyle w:val="FootnoteReference"/>
        </w:rPr>
        <w:footnoteRef/>
      </w:r>
      <w:r w:rsidRPr="00D52783">
        <w:t xml:space="preserve"> </w:t>
      </w:r>
      <w:r w:rsidR="00E274A7" w:rsidRPr="00D52783">
        <w:tab/>
      </w:r>
      <w:r w:rsidRPr="00D52783">
        <w:t>Essential Services Commission</w:t>
      </w:r>
      <w:r w:rsidR="00D5619C" w:rsidRPr="00D52783">
        <w:t xml:space="preserve"> 2013</w:t>
      </w:r>
      <w:r w:rsidRPr="00D52783">
        <w:t xml:space="preserve">, </w:t>
      </w:r>
      <w:r w:rsidRPr="00D52783">
        <w:rPr>
          <w:i/>
        </w:rPr>
        <w:t>New customer contributions: explanatory note</w:t>
      </w:r>
      <w:r w:rsidRPr="00D52783">
        <w:t xml:space="preserve">, December, p. 3.  </w:t>
      </w:r>
    </w:p>
  </w:footnote>
  <w:footnote w:id="104">
    <w:p w14:paraId="03A0A439" w14:textId="442012C1" w:rsidR="002362C5" w:rsidRPr="00D52783" w:rsidRDefault="002362C5" w:rsidP="002362C5">
      <w:pPr>
        <w:pStyle w:val="FootnoteText"/>
      </w:pPr>
      <w:r w:rsidRPr="00D52783">
        <w:rPr>
          <w:rStyle w:val="FootnoteReference"/>
        </w:rPr>
        <w:footnoteRef/>
      </w:r>
      <w:r w:rsidRPr="00D52783">
        <w:t xml:space="preserve"> </w:t>
      </w:r>
      <w:r w:rsidR="00E274A7" w:rsidRPr="00D52783">
        <w:tab/>
      </w:r>
      <w:r w:rsidRPr="00D52783">
        <w:t>From 2024</w:t>
      </w:r>
      <w:r w:rsidRPr="00D52783">
        <w:noBreakHyphen/>
        <w:t>25, a uniform new customer contribution charge of $1,830 (for combined water and sewer) for infill areas will apply across the Greater Wester</w:t>
      </w:r>
      <w:r w:rsidR="00955082">
        <w:t>n</w:t>
      </w:r>
      <w:r w:rsidRPr="00D52783">
        <w:t xml:space="preserve"> Water region.</w:t>
      </w:r>
    </w:p>
  </w:footnote>
  <w:footnote w:id="105">
    <w:p w14:paraId="44C8C2AC" w14:textId="5C5AB6AC" w:rsidR="002362C5" w:rsidRPr="00D52783" w:rsidRDefault="002362C5" w:rsidP="002362C5">
      <w:pPr>
        <w:pStyle w:val="FootnoteText"/>
      </w:pPr>
      <w:r w:rsidRPr="00D52783">
        <w:rPr>
          <w:rStyle w:val="FootnoteReference"/>
        </w:rPr>
        <w:footnoteRef/>
      </w:r>
      <w:r w:rsidRPr="00D52783">
        <w:t xml:space="preserve"> </w:t>
      </w:r>
      <w:r w:rsidR="00E274A7" w:rsidRPr="00D52783">
        <w:tab/>
      </w:r>
      <w:r w:rsidRPr="00D52783">
        <w:t>From 2024</w:t>
      </w:r>
      <w:r w:rsidRPr="00D52783">
        <w:noBreakHyphen/>
        <w:t>25, a greenfield new customer contribution charge of $7,616 will apply. Greenfield new customer contributions do not apply to the central region.</w:t>
      </w:r>
    </w:p>
  </w:footnote>
  <w:footnote w:id="106">
    <w:p w14:paraId="64E12184" w14:textId="7C2A28C8" w:rsidR="002362C5" w:rsidRPr="00601B97" w:rsidRDefault="002362C5" w:rsidP="002362C5">
      <w:pPr>
        <w:pStyle w:val="FootnoteText"/>
        <w:rPr>
          <w:highlight w:val="darkGray"/>
        </w:rPr>
      </w:pPr>
      <w:r w:rsidRPr="00D52783">
        <w:rPr>
          <w:rStyle w:val="FootnoteReference"/>
        </w:rPr>
        <w:footnoteRef/>
      </w:r>
      <w:r w:rsidRPr="00D52783">
        <w:t xml:space="preserve"> </w:t>
      </w:r>
      <w:r w:rsidR="00E274A7" w:rsidRPr="00D52783">
        <w:tab/>
      </w:r>
      <w:r w:rsidRPr="00D52783">
        <w:t>The 42 per cent decrease is due to Greater Western Water’s proposal to align the western region infill new customer contribution</w:t>
      </w:r>
      <w:r w:rsidRPr="00D52783" w:rsidDel="003F5E93">
        <w:t xml:space="preserve"> </w:t>
      </w:r>
      <w:r w:rsidRPr="00D52783">
        <w:t>with the central region.</w:t>
      </w:r>
    </w:p>
  </w:footnote>
  <w:footnote w:id="107">
    <w:p w14:paraId="555DB33F" w14:textId="77777777" w:rsidR="006F1BB0" w:rsidRDefault="006F1BB0" w:rsidP="006F1BB0">
      <w:pPr>
        <w:pStyle w:val="FootnoteText"/>
      </w:pPr>
      <w:r w:rsidRPr="0078511D">
        <w:rPr>
          <w:rStyle w:val="FootnoteReference"/>
        </w:rPr>
        <w:footnoteRef/>
      </w:r>
      <w:r>
        <w:t xml:space="preserve"> </w:t>
      </w:r>
      <w:r>
        <w:tab/>
      </w:r>
      <w:r w:rsidRPr="0078511D">
        <w:t>Greater Western Water</w:t>
      </w:r>
      <w:r>
        <w:t xml:space="preserve"> 2023</w:t>
      </w:r>
      <w:r w:rsidRPr="0078511D">
        <w:t xml:space="preserve">, </w:t>
      </w:r>
      <w:r w:rsidRPr="006348C2">
        <w:rPr>
          <w:i/>
        </w:rPr>
        <w:t xml:space="preserve">2024 </w:t>
      </w:r>
      <w:r w:rsidRPr="006348C2">
        <w:rPr>
          <w:i/>
          <w:iCs/>
        </w:rPr>
        <w:t>Price</w:t>
      </w:r>
      <w:r w:rsidRPr="006348C2">
        <w:rPr>
          <w:i/>
        </w:rPr>
        <w:t xml:space="preserve"> submission</w:t>
      </w:r>
      <w:r w:rsidRPr="0078511D">
        <w:t xml:space="preserve">, </w:t>
      </w:r>
      <w:r>
        <w:t xml:space="preserve">28 </w:t>
      </w:r>
      <w:r w:rsidRPr="0078511D">
        <w:t>September, p.</w:t>
      </w:r>
      <w:r>
        <w:t> </w:t>
      </w:r>
      <w:r w:rsidRPr="0078511D">
        <w:t>108.</w:t>
      </w:r>
      <w:r>
        <w:t xml:space="preserve"> </w:t>
      </w:r>
    </w:p>
  </w:footnote>
  <w:footnote w:id="108">
    <w:p w14:paraId="665418C6" w14:textId="05EB9579" w:rsidR="001A2955" w:rsidRPr="0078511D" w:rsidRDefault="001A2955" w:rsidP="001A2955">
      <w:pPr>
        <w:pStyle w:val="FootnoteText"/>
      </w:pPr>
      <w:r w:rsidRPr="00854970">
        <w:rPr>
          <w:rStyle w:val="FootnoteReference"/>
        </w:rPr>
        <w:footnoteRef/>
      </w:r>
      <w:r w:rsidRPr="00854970">
        <w:t xml:space="preserve"> </w:t>
      </w:r>
      <w:r w:rsidR="005F19A1" w:rsidRPr="00854970">
        <w:tab/>
      </w:r>
      <w:r w:rsidRPr="00854970">
        <w:t xml:space="preserve">Essential Services Commission 2022, </w:t>
      </w:r>
      <w:r w:rsidRPr="00854970">
        <w:rPr>
          <w:i/>
        </w:rPr>
        <w:t>2024 Greater Western Water price review: Guidance paper</w:t>
      </w:r>
      <w:r w:rsidRPr="00854970">
        <w:t>, 20 September, p.</w:t>
      </w:r>
      <w:r w:rsidR="00551988" w:rsidRPr="00854970">
        <w:t> </w:t>
      </w:r>
      <w:r w:rsidRPr="00854970">
        <w:t>63–64.</w:t>
      </w:r>
    </w:p>
  </w:footnote>
  <w:footnote w:id="109">
    <w:p w14:paraId="026BD977" w14:textId="21CD5069" w:rsidR="009968F9" w:rsidRDefault="009968F9">
      <w:pPr>
        <w:pStyle w:val="FootnoteText"/>
      </w:pPr>
      <w:r>
        <w:rPr>
          <w:rStyle w:val="FootnoteReference"/>
        </w:rPr>
        <w:footnoteRef/>
      </w:r>
      <w:r>
        <w:t xml:space="preserve"> </w:t>
      </w:r>
      <w:r w:rsidR="00761337">
        <w:tab/>
      </w:r>
      <w:r w:rsidR="00AC2EC2" w:rsidRPr="00761337">
        <w:rPr>
          <w:color w:val="000000" w:themeColor="text1"/>
        </w:rPr>
        <w:t xml:space="preserve">Clause 11(d)(ii) of the 2014 WIRO requires the commission to have regard to whether the regulated entity’s prices provide signals about the efficient costs of providing prescribed services to customers (either collectively or to an individual customer or class of customers). </w:t>
      </w:r>
      <w:r w:rsidR="00A815E2" w:rsidRPr="00761337">
        <w:rPr>
          <w:color w:val="000000" w:themeColor="text1"/>
        </w:rPr>
        <w:t>T</w:t>
      </w:r>
      <w:r w:rsidR="00AC2EC2" w:rsidRPr="00761337">
        <w:rPr>
          <w:color w:val="000000" w:themeColor="text1"/>
        </w:rPr>
        <w:t>he commission will necessarily have regard to relevant information about costs including costs of servicing particular locations. The 2014 WIRO also requires the commission to place particular emphasis</w:t>
      </w:r>
      <w:r w:rsidR="00AC2EC2" w:rsidRPr="00761337">
        <w:rPr>
          <w:i/>
          <w:color w:val="000000" w:themeColor="text1"/>
        </w:rPr>
        <w:t xml:space="preserve"> </w:t>
      </w:r>
      <w:r w:rsidR="00AC2EC2" w:rsidRPr="00761337">
        <w:rPr>
          <w:color w:val="000000" w:themeColor="text1"/>
        </w:rPr>
        <w:t>on certain matters including ‘the promotion of efficient use of prescribed services by customers’ (clause</w:t>
      </w:r>
      <w:r w:rsidR="00725193" w:rsidRPr="00761337">
        <w:rPr>
          <w:color w:val="000000" w:themeColor="text1"/>
        </w:rPr>
        <w:t> </w:t>
      </w:r>
      <w:r w:rsidR="00AC2EC2" w:rsidRPr="00761337">
        <w:rPr>
          <w:color w:val="000000" w:themeColor="text1"/>
        </w:rPr>
        <w:t>8(b)(</w:t>
      </w:r>
      <w:proofErr w:type="spellStart"/>
      <w:r w:rsidR="00AC2EC2" w:rsidRPr="00761337">
        <w:rPr>
          <w:color w:val="000000" w:themeColor="text1"/>
        </w:rPr>
        <w:t>i</w:t>
      </w:r>
      <w:proofErr w:type="spellEnd"/>
      <w:r w:rsidR="00AC2EC2" w:rsidRPr="00761337">
        <w:rPr>
          <w:color w:val="000000" w:themeColor="text1"/>
        </w:rPr>
        <w:t>)). Ensuring that prices, including new customer contributions, appropriately reflect costs (including costs in particular locations) is therefore a fundamental part of the commission’s role in making a price determination.</w:t>
      </w:r>
    </w:p>
  </w:footnote>
  <w:footnote w:id="110">
    <w:p w14:paraId="1CB50754" w14:textId="4C3BC603" w:rsidR="00833528" w:rsidRDefault="00833528">
      <w:pPr>
        <w:pStyle w:val="FootnoteText"/>
      </w:pPr>
      <w:r>
        <w:rPr>
          <w:rStyle w:val="FootnoteReference"/>
        </w:rPr>
        <w:footnoteRef/>
      </w:r>
      <w:r>
        <w:t xml:space="preserve"> </w:t>
      </w:r>
      <w:r w:rsidR="00BE5403">
        <w:t xml:space="preserve">Greater Western Water, </w:t>
      </w:r>
      <w:r w:rsidR="0083447C">
        <w:t xml:space="preserve">Presentation slides for the </w:t>
      </w:r>
      <w:r w:rsidR="00BE5403">
        <w:t>Development Ind</w:t>
      </w:r>
      <w:r w:rsidR="0083447C">
        <w:t>u</w:t>
      </w:r>
      <w:r w:rsidR="00BE5403">
        <w:t xml:space="preserve">stry Forum 1: GWW 2023 price submission, </w:t>
      </w:r>
      <w:r w:rsidR="0083447C">
        <w:t>A</w:t>
      </w:r>
      <w:r w:rsidR="00CD2AB2">
        <w:t>pril</w:t>
      </w:r>
      <w:r w:rsidR="0083447C">
        <w:t xml:space="preserve"> 2023</w:t>
      </w:r>
      <w:r w:rsidR="004A4E53">
        <w:t>; Greater Western Water, Presentation slides for the Development Industry Forum 3: GWW 2023 price submission, August 2023.</w:t>
      </w:r>
    </w:p>
  </w:footnote>
  <w:footnote w:id="111">
    <w:p w14:paraId="641BF90C" w14:textId="0FF06102" w:rsidR="002362C5" w:rsidRPr="00854970" w:rsidRDefault="002362C5" w:rsidP="002362C5">
      <w:pPr>
        <w:pStyle w:val="FootnoteText"/>
      </w:pPr>
      <w:r w:rsidRPr="00854970">
        <w:rPr>
          <w:rStyle w:val="FootnoteReference"/>
        </w:rPr>
        <w:footnoteRef/>
      </w:r>
      <w:r w:rsidR="00656BFF" w:rsidRPr="00854970">
        <w:t xml:space="preserve"> </w:t>
      </w:r>
      <w:r w:rsidR="003B51E8" w:rsidRPr="00854970">
        <w:tab/>
      </w:r>
      <w:r w:rsidRPr="00854970">
        <w:t xml:space="preserve">Essential Services Commission 2022, </w:t>
      </w:r>
      <w:r w:rsidRPr="00854970">
        <w:rPr>
          <w:i/>
        </w:rPr>
        <w:t>2024 Greater Western Water price review: Guidance paper</w:t>
      </w:r>
      <w:r w:rsidRPr="00854970">
        <w:t>, 20 September, p.</w:t>
      </w:r>
      <w:r w:rsidR="00656BFF" w:rsidRPr="00854970">
        <w:t> </w:t>
      </w:r>
      <w:r w:rsidRPr="00854970">
        <w:t>63.</w:t>
      </w:r>
    </w:p>
  </w:footnote>
  <w:footnote w:id="112">
    <w:p w14:paraId="3B77EFB0" w14:textId="52F84EC7" w:rsidR="00FB635A" w:rsidRDefault="00FB635A">
      <w:pPr>
        <w:pStyle w:val="FootnoteText"/>
      </w:pPr>
      <w:r w:rsidRPr="00C63B47">
        <w:rPr>
          <w:rStyle w:val="FootnoteReference"/>
        </w:rPr>
        <w:footnoteRef/>
      </w:r>
      <w:r w:rsidRPr="00C63B47">
        <w:t xml:space="preserve"> </w:t>
      </w:r>
      <w:r w:rsidR="00754793" w:rsidRPr="00C63B47">
        <w:tab/>
        <w:t xml:space="preserve">Greater Western Water </w:t>
      </w:r>
      <w:r w:rsidR="002B19C6" w:rsidRPr="00C63B47">
        <w:t xml:space="preserve">began extending the cost of debt adjustments </w:t>
      </w:r>
      <w:r w:rsidR="002705ED" w:rsidRPr="00C63B47">
        <w:t xml:space="preserve">to its usage charge, in addition to the service charge, </w:t>
      </w:r>
      <w:r w:rsidR="004C2120" w:rsidRPr="00C63B47">
        <w:t>for</w:t>
      </w:r>
      <w:r w:rsidR="002705ED" w:rsidRPr="00C63B47">
        <w:t xml:space="preserve"> </w:t>
      </w:r>
      <w:r w:rsidR="00E5089E" w:rsidRPr="00C63B47">
        <w:t xml:space="preserve">its </w:t>
      </w:r>
      <w:r w:rsidR="002705ED" w:rsidRPr="00C63B47">
        <w:t>2021</w:t>
      </w:r>
      <w:r w:rsidR="002705ED" w:rsidRPr="00C63B47">
        <w:noBreakHyphen/>
        <w:t>22</w:t>
      </w:r>
      <w:r w:rsidR="00E5089E" w:rsidRPr="00C63B47">
        <w:t xml:space="preserve"> prices</w:t>
      </w:r>
      <w:r w:rsidR="006E29D7" w:rsidRPr="00C63B47">
        <w:t xml:space="preserve"> as part of its </w:t>
      </w:r>
      <w:r w:rsidR="00B9325C" w:rsidRPr="00C63B47">
        <w:t>strategy to transition to uniform tariffs</w:t>
      </w:r>
      <w:r w:rsidR="00E5089E" w:rsidRPr="00C63B47">
        <w:t>.</w:t>
      </w:r>
      <w:r w:rsidR="00E5089E">
        <w:t xml:space="preserve"> </w:t>
      </w:r>
    </w:p>
  </w:footnote>
  <w:footnote w:id="113">
    <w:p w14:paraId="4E33B2DD" w14:textId="77777777" w:rsidR="008706A9" w:rsidRPr="008706A9" w:rsidRDefault="008706A9" w:rsidP="008706A9">
      <w:pPr>
        <w:pStyle w:val="FootnoteText"/>
        <w:rPr>
          <w:lang w:val="en-US"/>
        </w:rPr>
      </w:pPr>
      <w:r>
        <w:rPr>
          <w:rStyle w:val="FootnoteReference"/>
        </w:rPr>
        <w:footnoteRef/>
      </w:r>
      <w:r>
        <w:t xml:space="preserve"> </w:t>
      </w:r>
      <w:r>
        <w:tab/>
      </w:r>
      <w:r w:rsidRPr="008706A9">
        <w:t>WIRO clause 8(b)(ii) and ESC Act s.8A(1)(b)</w:t>
      </w:r>
      <w:r>
        <w:t>.</w:t>
      </w:r>
    </w:p>
  </w:footnote>
  <w:footnote w:id="114">
    <w:p w14:paraId="4AF436A0" w14:textId="7E7E5E65" w:rsidR="00414537" w:rsidRPr="00763018" w:rsidRDefault="00414537" w:rsidP="00414537">
      <w:pPr>
        <w:pStyle w:val="FootnoteText"/>
        <w:rPr>
          <w:lang w:val="en-US"/>
        </w:rPr>
      </w:pPr>
      <w:r w:rsidRPr="001429FE">
        <w:rPr>
          <w:rStyle w:val="FootnoteReference"/>
        </w:rPr>
        <w:footnoteRef/>
      </w:r>
      <w:r w:rsidRPr="001429FE">
        <w:t xml:space="preserve"> </w:t>
      </w:r>
      <w:r w:rsidRPr="001429FE">
        <w:tab/>
        <w:t xml:space="preserve">This is the first price review </w:t>
      </w:r>
      <w:r w:rsidR="008679AC" w:rsidRPr="001429FE">
        <w:t xml:space="preserve">for Greater Western Water </w:t>
      </w:r>
      <w:r w:rsidRPr="001429FE">
        <w:t xml:space="preserve">where the rating has been based on all five elements of PREMO. In our 2018 price review, our PREMO assessment was against only four of the elements </w:t>
      </w:r>
      <w:r w:rsidR="006956AB" w:rsidRPr="001429FE">
        <w:t>–</w:t>
      </w:r>
      <w:r w:rsidRPr="001429FE">
        <w:t xml:space="preserve"> Risk, Engagement, Management and Outcomes.</w:t>
      </w:r>
      <w:r w:rsidR="006956AB" w:rsidRPr="001429FE">
        <w:t xml:space="preserve"> Western Water was not required to </w:t>
      </w:r>
      <w:r w:rsidR="00077D9E" w:rsidRPr="001429FE">
        <w:t>provide a PREMO self-rating for its 2020 price review</w:t>
      </w:r>
      <w:r w:rsidR="00E039CC" w:rsidRPr="001429FE">
        <w:t xml:space="preserve"> after receiving a 2-year pricing decision in 2018.</w:t>
      </w:r>
    </w:p>
  </w:footnote>
  <w:footnote w:id="115">
    <w:p w14:paraId="71F51898" w14:textId="664E7EA8" w:rsidR="0083748A" w:rsidRPr="00807039" w:rsidRDefault="0083748A" w:rsidP="0083748A">
      <w:pPr>
        <w:pStyle w:val="FootnoteText"/>
        <w:rPr>
          <w:lang w:val="en-US"/>
        </w:rPr>
      </w:pPr>
      <w:r w:rsidRPr="001429FE">
        <w:rPr>
          <w:rStyle w:val="FootnoteReference"/>
        </w:rPr>
        <w:footnoteRef/>
      </w:r>
      <w:r w:rsidRPr="001429FE">
        <w:t xml:space="preserve"> </w:t>
      </w:r>
      <w:r w:rsidRPr="001429FE">
        <w:tab/>
        <w:t xml:space="preserve">As set out in </w:t>
      </w:r>
      <w:r w:rsidR="00E47374" w:rsidRPr="001429FE">
        <w:t xml:space="preserve">Essential Services Commission 2022, </w:t>
      </w:r>
      <w:r w:rsidR="00E47374" w:rsidRPr="001429FE">
        <w:rPr>
          <w:i/>
        </w:rPr>
        <w:t xml:space="preserve">2024 </w:t>
      </w:r>
      <w:r w:rsidR="00035635" w:rsidRPr="001429FE">
        <w:rPr>
          <w:i/>
        </w:rPr>
        <w:t>Greater Western Water price</w:t>
      </w:r>
      <w:r w:rsidR="00E47374" w:rsidRPr="001429FE">
        <w:rPr>
          <w:i/>
        </w:rPr>
        <w:t xml:space="preserve"> review: Guidance paper</w:t>
      </w:r>
      <w:r w:rsidR="00E47374" w:rsidRPr="001429FE">
        <w:t xml:space="preserve">, </w:t>
      </w:r>
      <w:r w:rsidR="00035635" w:rsidRPr="001429FE">
        <w:t>20</w:t>
      </w:r>
      <w:r w:rsidR="00D45FC9" w:rsidRPr="001429FE">
        <w:t> </w:t>
      </w:r>
      <w:r w:rsidR="00E47374" w:rsidRPr="001429FE">
        <w:t>September</w:t>
      </w:r>
      <w:r w:rsidR="00630EF4" w:rsidRPr="001429FE">
        <w:t>,</w:t>
      </w:r>
      <w:r w:rsidR="00E47374" w:rsidRPr="001429FE">
        <w:t xml:space="preserve"> </w:t>
      </w:r>
      <w:r w:rsidRPr="001429FE">
        <w:t>pp. </w:t>
      </w:r>
      <w:r w:rsidR="00173414" w:rsidRPr="001429FE">
        <w:t>80–81</w:t>
      </w:r>
      <w:r w:rsidRPr="001429FE">
        <w:t>. Guiding questions are set out on page</w:t>
      </w:r>
      <w:r w:rsidR="00630EF4" w:rsidRPr="001429FE">
        <w:t> </w:t>
      </w:r>
      <w:r w:rsidRPr="001429FE">
        <w:t>4</w:t>
      </w:r>
      <w:r w:rsidR="0095093E" w:rsidRPr="001429FE">
        <w:t>9</w:t>
      </w:r>
      <w:r w:rsidRPr="001429FE">
        <w:t>.</w:t>
      </w:r>
    </w:p>
  </w:footnote>
  <w:footnote w:id="116">
    <w:p w14:paraId="1766BBB1" w14:textId="77777777" w:rsidR="00CA3AC4" w:rsidRPr="00DE72CB" w:rsidRDefault="00CA3AC4" w:rsidP="00CA3AC4">
      <w:pPr>
        <w:pStyle w:val="FootnoteText"/>
        <w:rPr>
          <w:lang w:val="en-US"/>
        </w:rPr>
      </w:pPr>
      <w:r>
        <w:rPr>
          <w:rStyle w:val="FootnoteReference"/>
        </w:rPr>
        <w:footnoteRef/>
      </w:r>
      <w:r>
        <w:t xml:space="preserve"> </w:t>
      </w:r>
      <w:r>
        <w:tab/>
      </w:r>
      <w:r>
        <w:rPr>
          <w:lang w:val="en-US"/>
        </w:rPr>
        <w:t xml:space="preserve">The commission’s customer perception survey results are available on our website. See </w:t>
      </w:r>
      <w:hyperlink r:id="rId3" w:anchor="tabs-container2" w:history="1">
        <w:r w:rsidRPr="00787835">
          <w:rPr>
            <w:rStyle w:val="Hyperlink"/>
            <w:lang w:val="en-US"/>
          </w:rPr>
          <w:t>https://www.esc.vic.gov.au/water/sector-performance-and-reporting/how-customers-rate-their-water-business#tabs-container2</w:t>
        </w:r>
      </w:hyperlink>
      <w:r>
        <w:rPr>
          <w:rStyle w:val="Hyperlink"/>
          <w:lang w:val="en-US"/>
        </w:rPr>
        <w:t>.</w:t>
      </w:r>
      <w:r>
        <w:rPr>
          <w:lang w:val="en-US"/>
        </w:rPr>
        <w:t xml:space="preserve"> </w:t>
      </w:r>
    </w:p>
  </w:footnote>
  <w:footnote w:id="117">
    <w:p w14:paraId="144E7A52" w14:textId="237D1CBA" w:rsidR="00555456" w:rsidRPr="00F224D7" w:rsidRDefault="00555456" w:rsidP="00555456">
      <w:pPr>
        <w:pStyle w:val="FootnoteText"/>
        <w:rPr>
          <w:lang w:val="en-US"/>
        </w:rPr>
      </w:pPr>
      <w:r w:rsidRPr="001429FE">
        <w:rPr>
          <w:rStyle w:val="FootnoteReference"/>
        </w:rPr>
        <w:footnoteRef/>
      </w:r>
      <w:r w:rsidRPr="001429FE">
        <w:t xml:space="preserve"> </w:t>
      </w:r>
      <w:r w:rsidRPr="001429FE">
        <w:tab/>
      </w:r>
      <w:r w:rsidR="00DF7FDD" w:rsidRPr="001429FE">
        <w:t xml:space="preserve">Essential Services Commission 2022, </w:t>
      </w:r>
      <w:r w:rsidR="00DF7FDD" w:rsidRPr="001429FE">
        <w:rPr>
          <w:i/>
          <w:iCs/>
        </w:rPr>
        <w:t xml:space="preserve">2024 </w:t>
      </w:r>
      <w:r w:rsidR="00035635" w:rsidRPr="001429FE">
        <w:rPr>
          <w:i/>
          <w:iCs/>
        </w:rPr>
        <w:t>Greater Western Water price</w:t>
      </w:r>
      <w:r w:rsidR="00DF7FDD" w:rsidRPr="001429FE">
        <w:rPr>
          <w:i/>
          <w:iCs/>
        </w:rPr>
        <w:t xml:space="preserve"> review: Guidance paper</w:t>
      </w:r>
      <w:r w:rsidR="00DF7FDD" w:rsidRPr="001429FE">
        <w:t xml:space="preserve">, </w:t>
      </w:r>
      <w:r w:rsidR="00035635" w:rsidRPr="001429FE">
        <w:t>20</w:t>
      </w:r>
      <w:r w:rsidR="00DF7FDD" w:rsidRPr="001429FE">
        <w:t xml:space="preserve"> September</w:t>
      </w:r>
      <w:r w:rsidRPr="001429FE">
        <w:rPr>
          <w:lang w:val="en-US"/>
        </w:rPr>
        <w:t>, p.</w:t>
      </w:r>
      <w:r w:rsidR="007C31BB" w:rsidRPr="001429FE">
        <w:rPr>
          <w:lang w:val="en-US"/>
        </w:rPr>
        <w:t> </w:t>
      </w:r>
      <w:r w:rsidR="00E91998" w:rsidRPr="001429FE">
        <w:rPr>
          <w:lang w:val="en-US"/>
        </w:rPr>
        <w:t>49</w:t>
      </w:r>
      <w:r w:rsidRPr="001429FE">
        <w:rPr>
          <w:lang w:val="en-US"/>
        </w:rPr>
        <w:t>.</w:t>
      </w:r>
    </w:p>
  </w:footnote>
  <w:footnote w:id="118">
    <w:p w14:paraId="23B86B88" w14:textId="2E583FC9" w:rsidR="00732099" w:rsidRPr="001429FE" w:rsidRDefault="00732099" w:rsidP="00732099">
      <w:pPr>
        <w:pStyle w:val="FootnoteText"/>
        <w:rPr>
          <w:lang w:val="en-US"/>
        </w:rPr>
      </w:pPr>
      <w:r w:rsidRPr="001429FE">
        <w:rPr>
          <w:rStyle w:val="FootnoteReference"/>
        </w:rPr>
        <w:footnoteRef/>
      </w:r>
      <w:r w:rsidRPr="001429FE">
        <w:t xml:space="preserve"> </w:t>
      </w:r>
      <w:r w:rsidRPr="001429FE">
        <w:tab/>
      </w:r>
      <w:r w:rsidR="005F3345" w:rsidRPr="001429FE">
        <w:t xml:space="preserve">Essential Services Commission 2022, </w:t>
      </w:r>
      <w:r w:rsidR="005F3345" w:rsidRPr="001429FE">
        <w:rPr>
          <w:i/>
          <w:iCs/>
        </w:rPr>
        <w:t xml:space="preserve">2024 </w:t>
      </w:r>
      <w:r w:rsidR="00035635" w:rsidRPr="001429FE">
        <w:rPr>
          <w:i/>
          <w:iCs/>
        </w:rPr>
        <w:t>Greater Western Water price</w:t>
      </w:r>
      <w:r w:rsidR="005F3345" w:rsidRPr="001429FE">
        <w:rPr>
          <w:i/>
          <w:iCs/>
        </w:rPr>
        <w:t xml:space="preserve"> review: Guidance paper</w:t>
      </w:r>
      <w:r w:rsidR="005F3345" w:rsidRPr="001429FE">
        <w:t xml:space="preserve">, </w:t>
      </w:r>
      <w:r w:rsidR="00035635" w:rsidRPr="001429FE">
        <w:t>20</w:t>
      </w:r>
      <w:r w:rsidR="005F3345" w:rsidRPr="001429FE">
        <w:t xml:space="preserve"> September</w:t>
      </w:r>
      <w:r w:rsidR="005F3345" w:rsidRPr="001429FE">
        <w:rPr>
          <w:lang w:val="en-US"/>
        </w:rPr>
        <w:t>, p.</w:t>
      </w:r>
      <w:r w:rsidR="00630EF4" w:rsidRPr="001429FE">
        <w:rPr>
          <w:lang w:val="en-US"/>
        </w:rPr>
        <w:t> </w:t>
      </w:r>
      <w:r w:rsidR="005F3345" w:rsidRPr="001429FE">
        <w:rPr>
          <w:lang w:val="en-US"/>
        </w:rPr>
        <w:t>49</w:t>
      </w:r>
      <w:r w:rsidR="00630EF4" w:rsidRPr="001429FE">
        <w:rPr>
          <w:lang w:val="en-US"/>
        </w:rPr>
        <w:t>.</w:t>
      </w:r>
    </w:p>
  </w:footnote>
  <w:footnote w:id="119">
    <w:p w14:paraId="6445E8F7" w14:textId="24B63448" w:rsidR="00E54FAD" w:rsidRPr="00F224D7" w:rsidRDefault="00E54FAD" w:rsidP="00E54FAD">
      <w:pPr>
        <w:pStyle w:val="FootnoteText"/>
        <w:rPr>
          <w:lang w:val="en-US"/>
        </w:rPr>
      </w:pPr>
      <w:r w:rsidRPr="001429FE">
        <w:rPr>
          <w:rStyle w:val="FootnoteReference"/>
        </w:rPr>
        <w:footnoteRef/>
      </w:r>
      <w:r w:rsidRPr="001429FE">
        <w:t xml:space="preserve"> </w:t>
      </w:r>
      <w:r w:rsidRPr="001429FE">
        <w:tab/>
      </w:r>
      <w:r w:rsidR="00730270" w:rsidRPr="001429FE">
        <w:t xml:space="preserve">Essential Services Commission 2022, </w:t>
      </w:r>
      <w:r w:rsidR="00730270" w:rsidRPr="001429FE">
        <w:rPr>
          <w:i/>
          <w:iCs/>
        </w:rPr>
        <w:t xml:space="preserve">2024 </w:t>
      </w:r>
      <w:r w:rsidR="00035635" w:rsidRPr="001429FE">
        <w:rPr>
          <w:i/>
          <w:iCs/>
        </w:rPr>
        <w:t>Greater Western Water price</w:t>
      </w:r>
      <w:r w:rsidR="00730270" w:rsidRPr="001429FE">
        <w:rPr>
          <w:i/>
          <w:iCs/>
        </w:rPr>
        <w:t xml:space="preserve"> review: Guidance paper</w:t>
      </w:r>
      <w:r w:rsidR="00730270" w:rsidRPr="001429FE">
        <w:t xml:space="preserve">, </w:t>
      </w:r>
      <w:r w:rsidR="00035635" w:rsidRPr="001429FE">
        <w:t>20</w:t>
      </w:r>
      <w:r w:rsidR="00730270" w:rsidRPr="001429FE">
        <w:t xml:space="preserve"> September</w:t>
      </w:r>
      <w:r w:rsidR="00730270" w:rsidRPr="001429FE">
        <w:rPr>
          <w:lang w:val="en-US"/>
        </w:rPr>
        <w:t>, p.</w:t>
      </w:r>
      <w:r w:rsidR="00816277" w:rsidRPr="001429FE">
        <w:rPr>
          <w:lang w:val="en-US"/>
        </w:rPr>
        <w:t> </w:t>
      </w:r>
      <w:r w:rsidR="00730270" w:rsidRPr="001429FE">
        <w:rPr>
          <w:lang w:val="en-US"/>
        </w:rPr>
        <w:t>49.</w:t>
      </w:r>
    </w:p>
  </w:footnote>
  <w:footnote w:id="120">
    <w:p w14:paraId="2F95DB1F" w14:textId="4FE364B4" w:rsidR="007743A5" w:rsidRPr="00F224D7" w:rsidRDefault="007743A5" w:rsidP="007743A5">
      <w:pPr>
        <w:pStyle w:val="FootnoteText"/>
        <w:rPr>
          <w:lang w:val="en-US"/>
        </w:rPr>
      </w:pPr>
      <w:r w:rsidRPr="001429FE">
        <w:rPr>
          <w:rStyle w:val="FootnoteReference"/>
        </w:rPr>
        <w:footnoteRef/>
      </w:r>
      <w:r w:rsidRPr="001429FE">
        <w:t xml:space="preserve"> </w:t>
      </w:r>
      <w:r w:rsidRPr="001429FE">
        <w:tab/>
      </w:r>
      <w:r w:rsidR="00730270" w:rsidRPr="001429FE">
        <w:t xml:space="preserve">Essential Services Commission 2022, </w:t>
      </w:r>
      <w:r w:rsidR="00730270" w:rsidRPr="001429FE">
        <w:rPr>
          <w:i/>
        </w:rPr>
        <w:t xml:space="preserve">2024 </w:t>
      </w:r>
      <w:r w:rsidR="00035635" w:rsidRPr="001429FE">
        <w:rPr>
          <w:i/>
        </w:rPr>
        <w:t>Greater Western Water price</w:t>
      </w:r>
      <w:r w:rsidR="00730270" w:rsidRPr="001429FE">
        <w:rPr>
          <w:i/>
        </w:rPr>
        <w:t xml:space="preserve"> review: Guidance paper</w:t>
      </w:r>
      <w:r w:rsidR="00730270" w:rsidRPr="001429FE">
        <w:t xml:space="preserve">, </w:t>
      </w:r>
      <w:r w:rsidR="00035635" w:rsidRPr="001429FE">
        <w:t>20</w:t>
      </w:r>
      <w:r w:rsidR="00730270" w:rsidRPr="001429FE">
        <w:t xml:space="preserve"> September 2022</w:t>
      </w:r>
      <w:r w:rsidR="00730270" w:rsidRPr="001429FE">
        <w:rPr>
          <w:lang w:val="en-US"/>
        </w:rPr>
        <w:t>, p</w:t>
      </w:r>
      <w:r w:rsidR="00D061BE" w:rsidRPr="001429FE">
        <w:rPr>
          <w:lang w:val="en-US"/>
        </w:rPr>
        <w:t>. </w:t>
      </w:r>
      <w:r w:rsidR="00730270" w:rsidRPr="001429FE">
        <w:rPr>
          <w:lang w:val="en-US"/>
        </w:rPr>
        <w:t>49.</w:t>
      </w:r>
    </w:p>
  </w:footnote>
  <w:footnote w:id="121">
    <w:p w14:paraId="4770B5C2" w14:textId="2A4D1F90" w:rsidR="00456FD5" w:rsidRPr="003D6992" w:rsidRDefault="00456FD5" w:rsidP="00456FD5">
      <w:pPr>
        <w:pStyle w:val="FootnoteText"/>
        <w:rPr>
          <w:lang w:val="en-US"/>
        </w:rPr>
      </w:pPr>
      <w:r>
        <w:rPr>
          <w:rStyle w:val="FootnoteReference"/>
        </w:rPr>
        <w:footnoteRef/>
      </w:r>
      <w:r>
        <w:t xml:space="preserve"> </w:t>
      </w:r>
      <w:r>
        <w:tab/>
      </w:r>
      <w:r w:rsidRPr="00DA6D61">
        <w:t>Essential Services Commission</w:t>
      </w:r>
      <w:r w:rsidR="00273260">
        <w:t xml:space="preserve"> 2022</w:t>
      </w:r>
      <w:r w:rsidRPr="00DA6D61">
        <w:t xml:space="preserve">, </w:t>
      </w:r>
      <w:r w:rsidRPr="00DA6D61">
        <w:rPr>
          <w:i/>
          <w:iCs/>
        </w:rPr>
        <w:t>202</w:t>
      </w:r>
      <w:r w:rsidR="00273260">
        <w:rPr>
          <w:i/>
          <w:iCs/>
        </w:rPr>
        <w:t>4</w:t>
      </w:r>
      <w:r w:rsidRPr="00DA6D61">
        <w:rPr>
          <w:i/>
          <w:iCs/>
        </w:rPr>
        <w:t xml:space="preserve"> </w:t>
      </w:r>
      <w:r w:rsidR="0095355D">
        <w:rPr>
          <w:i/>
        </w:rPr>
        <w:t>Greater Western W</w:t>
      </w:r>
      <w:r w:rsidR="0095355D" w:rsidRPr="001848F3">
        <w:rPr>
          <w:i/>
        </w:rPr>
        <w:t>ater</w:t>
      </w:r>
      <w:r w:rsidRPr="00DA6D61">
        <w:rPr>
          <w:i/>
          <w:iCs/>
        </w:rPr>
        <w:t xml:space="preserve"> price review: Guidance paper,</w:t>
      </w:r>
      <w:r w:rsidRPr="00DA6D61">
        <w:t xml:space="preserve"> 2</w:t>
      </w:r>
      <w:r w:rsidR="00273260">
        <w:t>0</w:t>
      </w:r>
      <w:r w:rsidRPr="00DA6D61">
        <w:t xml:space="preserve"> </w:t>
      </w:r>
      <w:r w:rsidR="00273260">
        <w:t>Se</w:t>
      </w:r>
      <w:r w:rsidR="00C45D7F">
        <w:t>ptember</w:t>
      </w:r>
      <w:r w:rsidRPr="00DA6D61">
        <w:t>.</w:t>
      </w:r>
    </w:p>
  </w:footnote>
  <w:footnote w:id="122">
    <w:p w14:paraId="49F9BB54" w14:textId="77777777" w:rsidR="00456FD5" w:rsidRPr="00252ADC" w:rsidRDefault="00456FD5" w:rsidP="00456FD5">
      <w:pPr>
        <w:pStyle w:val="FootnoteText"/>
        <w:rPr>
          <w:lang w:val="en-US"/>
        </w:rPr>
      </w:pPr>
      <w:r>
        <w:rPr>
          <w:rStyle w:val="FootnoteReference"/>
        </w:rPr>
        <w:footnoteRef/>
      </w:r>
      <w:r>
        <w:t xml:space="preserve"> </w:t>
      </w:r>
      <w:r>
        <w:tab/>
      </w:r>
      <w:r w:rsidRPr="00252ADC">
        <w:t>The regulatory rate of return is comprised of the cost of debt and the return on equity.</w:t>
      </w:r>
    </w:p>
  </w:footnote>
  <w:footnote w:id="123">
    <w:p w14:paraId="0C9455EB" w14:textId="26090208" w:rsidR="00456FD5" w:rsidRPr="00252ADC" w:rsidRDefault="00456FD5" w:rsidP="00456FD5">
      <w:pPr>
        <w:pStyle w:val="FootnoteText"/>
        <w:rPr>
          <w:lang w:val="en-US"/>
        </w:rPr>
      </w:pPr>
      <w:r>
        <w:rPr>
          <w:rStyle w:val="FootnoteReference"/>
        </w:rPr>
        <w:footnoteRef/>
      </w:r>
      <w:r>
        <w:t xml:space="preserve"> </w:t>
      </w:r>
      <w:r>
        <w:tab/>
      </w:r>
      <w:r w:rsidRPr="00576EDE">
        <w:t>Bureau of Meteorology</w:t>
      </w:r>
      <w:r w:rsidR="00EB5FBD">
        <w:t xml:space="preserve"> 2024</w:t>
      </w:r>
      <w:r w:rsidRPr="00576EDE">
        <w:t xml:space="preserve">, </w:t>
      </w:r>
      <w:r w:rsidRPr="00576EDE">
        <w:rPr>
          <w:i/>
          <w:iCs/>
        </w:rPr>
        <w:t xml:space="preserve">National performance report </w:t>
      </w:r>
      <w:r w:rsidRPr="00EB5FBD">
        <w:rPr>
          <w:i/>
        </w:rPr>
        <w:t>202</w:t>
      </w:r>
      <w:r w:rsidR="00EB5FBD" w:rsidRPr="00EB5FBD">
        <w:rPr>
          <w:i/>
        </w:rPr>
        <w:t>2</w:t>
      </w:r>
      <w:r w:rsidRPr="00EB5FBD">
        <w:rPr>
          <w:i/>
        </w:rPr>
        <w:t>-2</w:t>
      </w:r>
      <w:r w:rsidR="00EB5FBD" w:rsidRPr="00EB5FBD">
        <w:rPr>
          <w:i/>
        </w:rPr>
        <w:t>3</w:t>
      </w:r>
      <w:r w:rsidRPr="00576EDE">
        <w:rPr>
          <w:i/>
          <w:iCs/>
        </w:rPr>
        <w:t>; urban water utilities, part A,</w:t>
      </w:r>
      <w:r w:rsidRPr="00576EDE">
        <w:t xml:space="preserve"> </w:t>
      </w:r>
      <w:r w:rsidR="00EB5FBD" w:rsidRPr="00EB5FBD">
        <w:t>March</w:t>
      </w:r>
      <w:r w:rsidR="00EA7A40">
        <w:t>.</w:t>
      </w:r>
    </w:p>
  </w:footnote>
  <w:footnote w:id="124">
    <w:p w14:paraId="31B0C807" w14:textId="606AEC52" w:rsidR="00456FD5" w:rsidRPr="00252ADC" w:rsidRDefault="00456FD5" w:rsidP="00456FD5">
      <w:pPr>
        <w:pStyle w:val="FootnoteText"/>
        <w:rPr>
          <w:lang w:val="en-US"/>
        </w:rPr>
      </w:pPr>
      <w:r>
        <w:rPr>
          <w:rStyle w:val="FootnoteReference"/>
        </w:rPr>
        <w:footnoteRef/>
      </w:r>
      <w:r>
        <w:t xml:space="preserve"> </w:t>
      </w:r>
      <w:r>
        <w:tab/>
      </w:r>
      <w:r w:rsidRPr="00252ADC">
        <w:t>Bureau of Meteorology</w:t>
      </w:r>
      <w:r w:rsidR="00EB5FBD">
        <w:t xml:space="preserve"> 2024</w:t>
      </w:r>
      <w:r w:rsidRPr="00252ADC">
        <w:t xml:space="preserve">, </w:t>
      </w:r>
      <w:r w:rsidRPr="00EB5FBD">
        <w:rPr>
          <w:i/>
        </w:rPr>
        <w:t xml:space="preserve">National performance report </w:t>
      </w:r>
      <w:r w:rsidRPr="00EB5FBD">
        <w:rPr>
          <w:i/>
          <w:iCs/>
        </w:rPr>
        <w:t>202</w:t>
      </w:r>
      <w:r w:rsidR="00EB5FBD" w:rsidRPr="00EB5FBD">
        <w:rPr>
          <w:i/>
          <w:iCs/>
        </w:rPr>
        <w:t>2</w:t>
      </w:r>
      <w:r w:rsidRPr="00EB5FBD">
        <w:rPr>
          <w:i/>
          <w:iCs/>
        </w:rPr>
        <w:t>-2</w:t>
      </w:r>
      <w:r w:rsidR="00EB5FBD" w:rsidRPr="00EB5FBD">
        <w:rPr>
          <w:i/>
          <w:iCs/>
        </w:rPr>
        <w:t>3</w:t>
      </w:r>
      <w:r w:rsidRPr="00EB5FBD">
        <w:rPr>
          <w:i/>
        </w:rPr>
        <w:t>; urban water utilities</w:t>
      </w:r>
      <w:r w:rsidRPr="00F035A1">
        <w:rPr>
          <w:i/>
        </w:rPr>
        <w:t>, part A</w:t>
      </w:r>
      <w:r w:rsidR="00EB5FBD" w:rsidRPr="00EB5FBD">
        <w:t>, March</w:t>
      </w:r>
      <w:r w:rsidRPr="00252ADC">
        <w:t>.</w:t>
      </w:r>
    </w:p>
  </w:footnote>
  <w:footnote w:id="125">
    <w:p w14:paraId="65F67C19" w14:textId="77777777" w:rsidR="00456FD5" w:rsidRPr="00252ADC" w:rsidRDefault="00456FD5" w:rsidP="00456FD5">
      <w:pPr>
        <w:pStyle w:val="FootnoteText"/>
        <w:rPr>
          <w:lang w:val="en-US"/>
        </w:rPr>
      </w:pPr>
      <w:r>
        <w:rPr>
          <w:rStyle w:val="FootnoteReference"/>
        </w:rPr>
        <w:footnoteRef/>
      </w:r>
      <w:r>
        <w:t xml:space="preserve"> </w:t>
      </w:r>
      <w:r>
        <w:tab/>
      </w:r>
      <w:r w:rsidRPr="00252ADC">
        <w:t xml:space="preserve">Includes Icon Water, Sydney Water, Hunter Water, Central Coast Council, Power and Water Corp, Urban Utilities, Unity Water, SA Water and </w:t>
      </w:r>
      <w:proofErr w:type="spellStart"/>
      <w:r w:rsidRPr="00252ADC">
        <w:t>TasWater</w:t>
      </w:r>
      <w:proofErr w:type="spellEnd"/>
      <w:r w:rsidRPr="00252ADC">
        <w:t>.</w:t>
      </w:r>
    </w:p>
  </w:footnote>
  <w:footnote w:id="126">
    <w:p w14:paraId="3C03B6D4" w14:textId="4AD6367C" w:rsidR="00456FD5" w:rsidRPr="00252ADC" w:rsidRDefault="00456FD5" w:rsidP="00456FD5">
      <w:pPr>
        <w:pStyle w:val="FootnoteText"/>
        <w:rPr>
          <w:lang w:val="en-US"/>
        </w:rPr>
      </w:pPr>
      <w:r>
        <w:rPr>
          <w:rStyle w:val="FootnoteReference"/>
        </w:rPr>
        <w:footnoteRef/>
      </w:r>
      <w:r>
        <w:t xml:space="preserve"> </w:t>
      </w:r>
      <w:r>
        <w:tab/>
      </w:r>
      <w:r w:rsidR="004C4C76" w:rsidRPr="00D630E6">
        <w:t xml:space="preserve">Independent Pricing and Regulatory Tribunal NSW, </w:t>
      </w:r>
      <w:r w:rsidR="004C4C76" w:rsidRPr="007676F3">
        <w:rPr>
          <w:i/>
          <w:iCs/>
        </w:rPr>
        <w:t xml:space="preserve">Final Report - Review of </w:t>
      </w:r>
      <w:proofErr w:type="spellStart"/>
      <w:r w:rsidR="004C4C76" w:rsidRPr="007676F3">
        <w:rPr>
          <w:i/>
          <w:iCs/>
        </w:rPr>
        <w:t>WaterNSW's</w:t>
      </w:r>
      <w:proofErr w:type="spellEnd"/>
      <w:r w:rsidR="004C4C76" w:rsidRPr="007676F3">
        <w:rPr>
          <w:i/>
          <w:iCs/>
        </w:rPr>
        <w:t xml:space="preserve"> rural bulk water prices</w:t>
      </w:r>
      <w:r w:rsidR="004C4C76" w:rsidRPr="00D630E6">
        <w:t xml:space="preserve">, 9 September 2021; Independent Pricing and Regulatory Tribunal NSW, </w:t>
      </w:r>
      <w:r w:rsidR="004C4C76" w:rsidRPr="007676F3">
        <w:rPr>
          <w:i/>
          <w:iCs/>
        </w:rPr>
        <w:t>Final Report - Review of prices for Sydney Water</w:t>
      </w:r>
      <w:r w:rsidR="004C4C76" w:rsidRPr="00D630E6">
        <w:t xml:space="preserve">, June 2020; Essential Services Commission of South Australia, </w:t>
      </w:r>
      <w:r w:rsidR="004C4C76" w:rsidRPr="00AA242B">
        <w:rPr>
          <w:i/>
          <w:iCs/>
        </w:rPr>
        <w:t>SA Water's water and sewerage retail services: 1 July 2020 - 30 June 2024</w:t>
      </w:r>
      <w:r w:rsidR="004C4C76" w:rsidRPr="00D630E6">
        <w:t xml:space="preserve">, Price Determination, 1 July 2020; Queensland Competition Authority, Final report - Seqwater bulk water price review 2022–26, March 2022; Queensland Competition Authority (QCA), </w:t>
      </w:r>
      <w:r w:rsidR="004C4C76" w:rsidRPr="00AA242B">
        <w:rPr>
          <w:i/>
          <w:iCs/>
        </w:rPr>
        <w:t>Final report - Rural irrigation price review 2020–24, Part A: Overview</w:t>
      </w:r>
      <w:r w:rsidR="004C4C76" w:rsidRPr="00D630E6">
        <w:t xml:space="preserve">, January 2020; Office of the Tasmanian Economic Regulator, </w:t>
      </w:r>
      <w:r w:rsidR="004C4C76" w:rsidRPr="00A77AC3">
        <w:rPr>
          <w:i/>
          <w:iCs/>
        </w:rPr>
        <w:t xml:space="preserve">Final report - Investigation into </w:t>
      </w:r>
      <w:proofErr w:type="spellStart"/>
      <w:r w:rsidR="004C4C76" w:rsidRPr="00A77AC3">
        <w:rPr>
          <w:i/>
          <w:iCs/>
        </w:rPr>
        <w:t>TasWater's</w:t>
      </w:r>
      <w:proofErr w:type="spellEnd"/>
      <w:r w:rsidR="004C4C76" w:rsidRPr="00A77AC3">
        <w:rPr>
          <w:i/>
          <w:iCs/>
        </w:rPr>
        <w:t xml:space="preserve"> prices and services for the period 1 July 2022 to 30 June 2026</w:t>
      </w:r>
      <w:r w:rsidR="004C4C76" w:rsidRPr="00D630E6">
        <w:t>, May 2022</w:t>
      </w:r>
      <w:r w:rsidR="004C4C76">
        <w:t>.</w:t>
      </w:r>
    </w:p>
  </w:footnote>
  <w:footnote w:id="127">
    <w:p w14:paraId="7589C47F" w14:textId="77777777" w:rsidR="00456FD5" w:rsidRPr="00252ADC" w:rsidRDefault="00456FD5" w:rsidP="00456FD5">
      <w:pPr>
        <w:pStyle w:val="FootnoteText"/>
        <w:rPr>
          <w:lang w:val="en-US"/>
        </w:rPr>
      </w:pPr>
      <w:r>
        <w:rPr>
          <w:rStyle w:val="FootnoteReference"/>
        </w:rPr>
        <w:footnoteRef/>
      </w:r>
      <w:r>
        <w:t xml:space="preserve"> </w:t>
      </w:r>
      <w:r>
        <w:tab/>
      </w:r>
      <w:r w:rsidRPr="00252ADC">
        <w:t>Essential Services Commission 2016, Water Pricing Framework and Approach, Implementing PREMO from 2018, October, pp. 11–13.</w:t>
      </w:r>
    </w:p>
  </w:footnote>
  <w:footnote w:id="128">
    <w:p w14:paraId="4144220A" w14:textId="5233F4F0" w:rsidR="00456FD5" w:rsidRPr="00252ADC" w:rsidRDefault="00456FD5" w:rsidP="00456FD5">
      <w:pPr>
        <w:pStyle w:val="FootnoteText"/>
        <w:rPr>
          <w:lang w:val="en-US"/>
        </w:rPr>
      </w:pPr>
      <w:r>
        <w:rPr>
          <w:rStyle w:val="FootnoteReference"/>
        </w:rPr>
        <w:footnoteRef/>
      </w:r>
      <w:r>
        <w:t xml:space="preserve"> </w:t>
      </w:r>
      <w:r>
        <w:tab/>
      </w:r>
      <w:r w:rsidRPr="00252ADC">
        <w:t>Essential Services Commission</w:t>
      </w:r>
      <w:r w:rsidR="00863EAC">
        <w:t xml:space="preserve"> 2022</w:t>
      </w:r>
      <w:r w:rsidRPr="00252ADC">
        <w:t xml:space="preserve">, </w:t>
      </w:r>
      <w:r w:rsidRPr="00863EAC">
        <w:rPr>
          <w:i/>
          <w:iCs/>
        </w:rPr>
        <w:t>202</w:t>
      </w:r>
      <w:r w:rsidR="00863EAC" w:rsidRPr="00863EAC">
        <w:rPr>
          <w:i/>
          <w:iCs/>
        </w:rPr>
        <w:t>4</w:t>
      </w:r>
      <w:r w:rsidRPr="00863EAC">
        <w:rPr>
          <w:i/>
        </w:rPr>
        <w:t xml:space="preserve"> </w:t>
      </w:r>
      <w:r w:rsidR="00CE4739">
        <w:rPr>
          <w:i/>
        </w:rPr>
        <w:t>Greater Western W</w:t>
      </w:r>
      <w:r w:rsidR="00CE4739" w:rsidRPr="001848F3">
        <w:rPr>
          <w:i/>
        </w:rPr>
        <w:t>ater</w:t>
      </w:r>
      <w:r w:rsidRPr="00863EAC">
        <w:rPr>
          <w:i/>
        </w:rPr>
        <w:t xml:space="preserve"> price review: Guidance paper</w:t>
      </w:r>
      <w:r w:rsidRPr="00252ADC">
        <w:t xml:space="preserve">, </w:t>
      </w:r>
      <w:r w:rsidR="00863EAC">
        <w:t>28 September</w:t>
      </w:r>
      <w:r w:rsidR="003552C0">
        <w:t>,</w:t>
      </w:r>
      <w:r w:rsidRPr="00252ADC">
        <w:t xml:space="preserve"> </w:t>
      </w:r>
      <w:r w:rsidRPr="003D1B62">
        <w:t>p.</w:t>
      </w:r>
      <w:r w:rsidR="00FF115E">
        <w:t> </w:t>
      </w:r>
      <w:r w:rsidRPr="003D1B62">
        <w:t>2</w:t>
      </w:r>
      <w:r w:rsidR="003D1B62" w:rsidRPr="003D1B62">
        <w:t>–3</w:t>
      </w:r>
      <w:r w:rsidRPr="003D1B62">
        <w:t>.</w:t>
      </w:r>
    </w:p>
  </w:footnote>
  <w:footnote w:id="129">
    <w:p w14:paraId="6DDAB4AB" w14:textId="179EB077" w:rsidR="00456FD5" w:rsidRPr="00252ADC" w:rsidRDefault="00456FD5" w:rsidP="00456FD5">
      <w:pPr>
        <w:pStyle w:val="FootnoteText"/>
        <w:rPr>
          <w:lang w:val="en-US"/>
        </w:rPr>
      </w:pPr>
      <w:r>
        <w:rPr>
          <w:rStyle w:val="FootnoteReference"/>
        </w:rPr>
        <w:footnoteRef/>
      </w:r>
      <w:r>
        <w:t xml:space="preserve"> </w:t>
      </w:r>
      <w:r>
        <w:tab/>
      </w:r>
      <w:r w:rsidRPr="00252ADC">
        <w:t>Essential Services Commission</w:t>
      </w:r>
      <w:r w:rsidR="001848F3">
        <w:t xml:space="preserve"> 2022</w:t>
      </w:r>
      <w:r w:rsidRPr="00252ADC">
        <w:t xml:space="preserve">, </w:t>
      </w:r>
      <w:r w:rsidRPr="001848F3">
        <w:rPr>
          <w:i/>
          <w:iCs/>
        </w:rPr>
        <w:t>202</w:t>
      </w:r>
      <w:r w:rsidR="001848F3" w:rsidRPr="001848F3">
        <w:rPr>
          <w:i/>
          <w:iCs/>
        </w:rPr>
        <w:t>4</w:t>
      </w:r>
      <w:r w:rsidRPr="001848F3">
        <w:rPr>
          <w:i/>
        </w:rPr>
        <w:t xml:space="preserve"> </w:t>
      </w:r>
      <w:r w:rsidR="00F83BAF">
        <w:rPr>
          <w:i/>
        </w:rPr>
        <w:t>Greater Western W</w:t>
      </w:r>
      <w:r w:rsidRPr="001848F3">
        <w:rPr>
          <w:i/>
        </w:rPr>
        <w:t xml:space="preserve">ater price review: </w:t>
      </w:r>
      <w:r w:rsidRPr="00217A73">
        <w:rPr>
          <w:i/>
          <w:iCs/>
        </w:rPr>
        <w:t>Guidance paper</w:t>
      </w:r>
      <w:r w:rsidRPr="00252ADC">
        <w:t xml:space="preserve">, </w:t>
      </w:r>
      <w:r w:rsidR="001848F3">
        <w:t>20 September,</w:t>
      </w:r>
      <w:r w:rsidRPr="00252ADC">
        <w:t xml:space="preserve"> p.</w:t>
      </w:r>
      <w:r w:rsidR="009822DB">
        <w:t> </w:t>
      </w:r>
      <w:r w:rsidRPr="00252ADC">
        <w:t>2</w:t>
      </w:r>
      <w:r w:rsidR="002F3F58">
        <w:t>–3</w:t>
      </w:r>
      <w:r w:rsidRPr="00252AD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640BD" w14:textId="2270DEED" w:rsidR="00EA712A" w:rsidRDefault="00EA712A">
    <w:pPr>
      <w:pStyle w:val="Header"/>
    </w:pPr>
  </w:p>
  <w:p w14:paraId="254A8F09" w14:textId="77777777" w:rsidR="00EA712A" w:rsidRDefault="00EA712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545EE" w14:textId="00353ECC" w:rsidR="003A30F3" w:rsidRPr="00633068" w:rsidRDefault="00EA4560" w:rsidP="00633068">
    <w:pPr>
      <w:pStyle w:val="Header"/>
      <w:tabs>
        <w:tab w:val="clear" w:pos="4680"/>
        <w:tab w:val="clear" w:pos="9360"/>
        <w:tab w:val="left" w:pos="2236"/>
      </w:tabs>
    </w:pPr>
    <w:r>
      <w:rPr>
        <w:noProof/>
        <w:lang w:eastAsia="en-AU"/>
      </w:rPr>
      <mc:AlternateContent>
        <mc:Choice Requires="wps">
          <w:drawing>
            <wp:anchor distT="0" distB="0" distL="114300" distR="114300" simplePos="0" relativeHeight="251658253" behindDoc="0" locked="1" layoutInCell="0" allowOverlap="1" wp14:anchorId="008324E0" wp14:editId="15B6C0B9">
              <wp:simplePos x="0" y="0"/>
              <wp:positionH relativeFrom="margin">
                <wp:align>center</wp:align>
              </wp:positionH>
              <wp:positionV relativeFrom="topMargin">
                <wp:align>center</wp:align>
              </wp:positionV>
              <wp:extent cx="1612265" cy="546100"/>
              <wp:effectExtent l="0" t="0" r="0" b="6350"/>
              <wp:wrapNone/>
              <wp:docPr id="326348443" name="Text Box 326348443"/>
              <wp:cNvGraphicFramePr/>
              <a:graphic xmlns:a="http://schemas.openxmlformats.org/drawingml/2006/main">
                <a:graphicData uri="http://schemas.microsoft.com/office/word/2010/wordprocessingShape">
                  <wps:wsp>
                    <wps:cNvSpPr txBox="1"/>
                    <wps:spPr>
                      <a:xfrm>
                        <a:off x="0" y="0"/>
                        <a:ext cx="1612265" cy="5461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034F26" w14:textId="40CE4221" w:rsidR="00EA4560" w:rsidRPr="00BD4BD2" w:rsidRDefault="00EA4560" w:rsidP="00102B03">
                          <w:pPr>
                            <w:rPr>
                              <w:rFonts w:ascii="Arial" w:hAnsi="Arial" w:cs="Arial"/>
                              <w:b/>
                              <w:color w:val="FF0000"/>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08324E0" id="_x0000_t202" coordsize="21600,21600" o:spt="202" path="m,l,21600r21600,l21600,xe">
              <v:stroke joinstyle="miter"/>
              <v:path gradientshapeok="t" o:connecttype="rect"/>
            </v:shapetype>
            <v:shape id="Text Box 326348443" o:spid="_x0000_s1029" type="#_x0000_t202" style="position:absolute;margin-left:0;margin-top:0;width:126.95pt;height:43pt;z-index:251658253;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" o:allowincell="f" filled="f" stroked="f" strokeweight=".5pt">
              <v:textbox style="mso-fit-shape-to-text:t">
                <w:txbxContent>
                  <w:p w14:paraId="4F034F26" w14:textId="40CE4221" w:rsidR="00EA4560" w:rsidRPr="00BD4BD2" w:rsidRDefault="00EA4560" w:rsidP="00102B03">
                    <w:pPr>
                      <w:rPr>
                        <w:rFonts w:ascii="Arial" w:hAnsi="Arial" w:cs="Arial"/>
                        <w:b/>
                        <w:color w:val="FF0000"/>
                        <w:sz w:val="24"/>
                      </w:rPr>
                    </w:pPr>
                  </w:p>
                </w:txbxContent>
              </v:textbox>
              <w10:wrap anchorx="margin" anchory="margin"/>
              <w10:anchorlock/>
            </v:shape>
          </w:pict>
        </mc:Fallback>
      </mc:AlternateContent>
    </w:r>
    <w:r w:rsidR="007D0963">
      <w:rPr>
        <w:noProof/>
        <w:lang w:eastAsia="en-AU"/>
      </w:rPr>
      <mc:AlternateContent>
        <mc:Choice Requires="wps">
          <w:drawing>
            <wp:anchor distT="0" distB="0" distL="114300" distR="114300" simplePos="0" relativeHeight="251658252" behindDoc="0" locked="1" layoutInCell="0" allowOverlap="1" wp14:anchorId="3D2E160E" wp14:editId="5839064A">
              <wp:simplePos x="0" y="0"/>
              <wp:positionH relativeFrom="margin">
                <wp:posOffset>2283460</wp:posOffset>
              </wp:positionH>
              <wp:positionV relativeFrom="topMargin">
                <wp:align>bottom</wp:align>
              </wp:positionV>
              <wp:extent cx="1612265" cy="546100"/>
              <wp:effectExtent l="0" t="0" r="0" b="6350"/>
              <wp:wrapNone/>
              <wp:docPr id="657754468" name="Text Box 657754468"/>
              <wp:cNvGraphicFramePr/>
              <a:graphic xmlns:a="http://schemas.openxmlformats.org/drawingml/2006/main">
                <a:graphicData uri="http://schemas.microsoft.com/office/word/2010/wordprocessingShape">
                  <wps:wsp>
                    <wps:cNvSpPr txBox="1"/>
                    <wps:spPr>
                      <a:xfrm>
                        <a:off x="0" y="0"/>
                        <a:ext cx="1612265" cy="5461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12AD50" w14:textId="1EB31E93" w:rsidR="007D0963" w:rsidRPr="007D0963" w:rsidRDefault="007D0963" w:rsidP="007D0963">
                          <w:pPr>
                            <w:jc w:val="center"/>
                            <w:rPr>
                              <w:rFonts w:ascii="Arial" w:hAnsi="Arial" w:cs="Arial"/>
                              <w:b/>
                              <w:color w:val="FF0000"/>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2E160E" id="Text Box 657754468" o:spid="_x0000_s1030" type="#_x0000_t202" style="position:absolute;margin-left:179.8pt;margin-top:0;width:126.95pt;height:43pt;z-index:251658252;visibility:visible;mso-wrap-style:none;mso-wrap-distance-left:9pt;mso-wrap-distance-top:0;mso-wrap-distance-right:9pt;mso-wrap-distance-bottom:0;mso-position-horizontal:absolute;mso-position-horizontal-relative:margin;mso-position-vertical:bottom;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" o:allowincell="f" filled="f" stroked="f" strokeweight=".5pt">
              <v:textbox style="mso-fit-shape-to-text:t">
                <w:txbxContent>
                  <w:p w14:paraId="7512AD50" w14:textId="1EB31E93" w:rsidR="007D0963" w:rsidRPr="007D0963" w:rsidRDefault="007D0963" w:rsidP="007D0963">
                    <w:pPr>
                      <w:jc w:val="center"/>
                      <w:rPr>
                        <w:rFonts w:ascii="Arial" w:hAnsi="Arial" w:cs="Arial"/>
                        <w:b/>
                        <w:color w:val="FF0000"/>
                        <w:sz w:val="24"/>
                      </w:rPr>
                    </w:pPr>
                  </w:p>
                </w:txbxContent>
              </v:textbox>
              <w10:wrap anchorx="margin" anchory="margin"/>
              <w10:anchorlock/>
            </v:shape>
          </w:pict>
        </mc:Fallback>
      </mc:AlternateContent>
    </w:r>
    <w:r w:rsidR="00B51593">
      <w:rPr>
        <w:noProof/>
        <w:lang w:eastAsia="en-AU"/>
      </w:rPr>
      <mc:AlternateContent>
        <mc:Choice Requires="wps">
          <w:drawing>
            <wp:anchor distT="0" distB="0" distL="114300" distR="114300" simplePos="0" relativeHeight="251658251" behindDoc="0" locked="1" layoutInCell="0" allowOverlap="1" wp14:anchorId="43F52F35" wp14:editId="0D97842A">
              <wp:simplePos x="0" y="0"/>
              <wp:positionH relativeFrom="margin">
                <wp:align>center</wp:align>
              </wp:positionH>
              <wp:positionV relativeFrom="topMargin">
                <wp:align>center</wp:align>
              </wp:positionV>
              <wp:extent cx="1654175" cy="546100"/>
              <wp:effectExtent l="0" t="0" r="0" b="6350"/>
              <wp:wrapNone/>
              <wp:docPr id="1562238710" name="Text Box 1562238710"/>
              <wp:cNvGraphicFramePr/>
              <a:graphic xmlns:a="http://schemas.openxmlformats.org/drawingml/2006/main">
                <a:graphicData uri="http://schemas.microsoft.com/office/word/2010/wordprocessingShape">
                  <wps:wsp>
                    <wps:cNvSpPr txBox="1"/>
                    <wps:spPr>
                      <a:xfrm>
                        <a:off x="0" y="0"/>
                        <a:ext cx="1654175" cy="5461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623505" w14:textId="58A8B123" w:rsidR="00B51593" w:rsidRPr="00B51593" w:rsidRDefault="00B51593" w:rsidP="00B51593">
                          <w:pPr>
                            <w:jc w:val="center"/>
                            <w:rPr>
                              <w:rFonts w:ascii="Arial" w:hAnsi="Arial" w:cs="Arial"/>
                              <w:b/>
                              <w:color w:val="FF0000"/>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F52F35" id="Text Box 1562238710" o:spid="_x0000_s1031" type="#_x0000_t202" style="position:absolute;margin-left:0;margin-top:0;width:130.25pt;height:43pt;z-index:251658251;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" o:allowincell="f" filled="f" stroked="f" strokeweight=".5pt">
              <v:textbox style="mso-fit-shape-to-text:t">
                <w:txbxContent>
                  <w:p w14:paraId="59623505" w14:textId="58A8B123" w:rsidR="00B51593" w:rsidRPr="00B51593" w:rsidRDefault="00B51593" w:rsidP="00B51593">
                    <w:pPr>
                      <w:jc w:val="center"/>
                      <w:rPr>
                        <w:rFonts w:ascii="Arial" w:hAnsi="Arial" w:cs="Arial"/>
                        <w:b/>
                        <w:color w:val="FF0000"/>
                        <w:sz w:val="24"/>
                      </w:rPr>
                    </w:pPr>
                  </w:p>
                </w:txbxContent>
              </v:textbox>
              <w10:wrap anchorx="margin" anchory="margin"/>
              <w10:anchorlock/>
            </v:shape>
          </w:pict>
        </mc:Fallback>
      </mc:AlternateContent>
    </w:r>
    <w:r w:rsidR="00667914">
      <w:rPr>
        <w:noProof/>
        <w:lang w:eastAsia="en-AU"/>
      </w:rPr>
      <mc:AlternateContent>
        <mc:Choice Requires="wps">
          <w:drawing>
            <wp:anchor distT="0" distB="0" distL="114300" distR="114300" simplePos="0" relativeHeight="251658250" behindDoc="0" locked="1" layoutInCell="0" allowOverlap="1" wp14:anchorId="3613C5FA" wp14:editId="13390593">
              <wp:simplePos x="0" y="0"/>
              <wp:positionH relativeFrom="margin">
                <wp:align>center</wp:align>
              </wp:positionH>
              <wp:positionV relativeFrom="topMargin">
                <wp:align>center</wp:align>
              </wp:positionV>
              <wp:extent cx="1654175" cy="546100"/>
              <wp:effectExtent l="0" t="0" r="0" b="6350"/>
              <wp:wrapNone/>
              <wp:docPr id="1362959057" name="Text Box 1362959057"/>
              <wp:cNvGraphicFramePr/>
              <a:graphic xmlns:a="http://schemas.openxmlformats.org/drawingml/2006/main">
                <a:graphicData uri="http://schemas.microsoft.com/office/word/2010/wordprocessingShape">
                  <wps:wsp>
                    <wps:cNvSpPr txBox="1"/>
                    <wps:spPr>
                      <a:xfrm>
                        <a:off x="0" y="0"/>
                        <a:ext cx="1654175" cy="5461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A1EFF4" w14:textId="5AA06D58" w:rsidR="00667914" w:rsidRPr="00BD6C45" w:rsidRDefault="00667914" w:rsidP="00667914">
                          <w:pPr>
                            <w:jc w:val="center"/>
                            <w:rPr>
                              <w:rFonts w:ascii="Arial" w:hAnsi="Arial" w:cs="Arial"/>
                              <w:b/>
                              <w:color w:val="FF0000"/>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13C5FA" id="Text Box 1362959057" o:spid="_x0000_s1032" type="#_x0000_t202" style="position:absolute;margin-left:0;margin-top:0;width:130.25pt;height:43pt;z-index:251658250;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" o:allowincell="f" filled="f" stroked="f" strokeweight=".5pt">
              <v:textbox style="mso-fit-shape-to-text:t">
                <w:txbxContent>
                  <w:p w14:paraId="7EA1EFF4" w14:textId="5AA06D58" w:rsidR="00667914" w:rsidRPr="00BD6C45" w:rsidRDefault="00667914" w:rsidP="00667914">
                    <w:pPr>
                      <w:jc w:val="center"/>
                      <w:rPr>
                        <w:rFonts w:ascii="Arial" w:hAnsi="Arial" w:cs="Arial"/>
                        <w:b/>
                        <w:color w:val="FF0000"/>
                        <w:sz w:val="24"/>
                      </w:rPr>
                    </w:pPr>
                  </w:p>
                </w:txbxContent>
              </v:textbox>
              <w10:wrap anchorx="margin" anchory="margin"/>
              <w10:anchorlock/>
            </v:shape>
          </w:pict>
        </mc:Fallback>
      </mc:AlternateContent>
    </w:r>
    <w:r w:rsidR="00B50F4A">
      <w:rPr>
        <w:noProof/>
        <w:lang w:eastAsia="en-AU"/>
      </w:rPr>
      <mc:AlternateContent>
        <mc:Choice Requires="wps">
          <w:drawing>
            <wp:anchor distT="0" distB="0" distL="114300" distR="114300" simplePos="0" relativeHeight="251658249" behindDoc="0" locked="1" layoutInCell="0" allowOverlap="1" wp14:anchorId="630058EF" wp14:editId="075CEE92">
              <wp:simplePos x="0" y="0"/>
              <wp:positionH relativeFrom="margin">
                <wp:align>center</wp:align>
              </wp:positionH>
              <wp:positionV relativeFrom="topMargin">
                <wp:align>center</wp:align>
              </wp:positionV>
              <wp:extent cx="1612265" cy="546100"/>
              <wp:effectExtent l="0" t="0" r="0" b="6350"/>
              <wp:wrapNone/>
              <wp:docPr id="98467397" name="Text Box 98467397"/>
              <wp:cNvGraphicFramePr/>
              <a:graphic xmlns:a="http://schemas.openxmlformats.org/drawingml/2006/main">
                <a:graphicData uri="http://schemas.microsoft.com/office/word/2010/wordprocessingShape">
                  <wps:wsp>
                    <wps:cNvSpPr txBox="1"/>
                    <wps:spPr>
                      <a:xfrm>
                        <a:off x="0" y="0"/>
                        <a:ext cx="1612265" cy="5461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2C6A58" w14:textId="578FBCCF" w:rsidR="00B50F4A" w:rsidRPr="005D6339" w:rsidRDefault="00B50F4A" w:rsidP="00B50F4A">
                          <w:pPr>
                            <w:jc w:val="center"/>
                            <w:rPr>
                              <w:rFonts w:ascii="Arial" w:hAnsi="Arial" w:cs="Arial"/>
                              <w:b/>
                              <w:color w:val="FF0000"/>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0058EF" id="Text Box 98467397" o:spid="_x0000_s1033" type="#_x0000_t202" style="position:absolute;margin-left:0;margin-top:0;width:126.95pt;height:43pt;z-index:251658249;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" o:allowincell="f" filled="f" stroked="f" strokeweight=".5pt">
              <v:textbox style="mso-fit-shape-to-text:t">
                <w:txbxContent>
                  <w:p w14:paraId="772C6A58" w14:textId="578FBCCF" w:rsidR="00B50F4A" w:rsidRPr="005D6339" w:rsidRDefault="00B50F4A" w:rsidP="00B50F4A">
                    <w:pPr>
                      <w:jc w:val="center"/>
                      <w:rPr>
                        <w:rFonts w:ascii="Arial" w:hAnsi="Arial" w:cs="Arial"/>
                        <w:b/>
                        <w:color w:val="FF0000"/>
                        <w:sz w:val="24"/>
                      </w:rPr>
                    </w:pPr>
                  </w:p>
                </w:txbxContent>
              </v:textbox>
              <w10:wrap anchorx="margin" anchory="margin"/>
              <w10:anchorlock/>
            </v:shape>
          </w:pict>
        </mc:Fallback>
      </mc:AlternateContent>
    </w:r>
    <w:r w:rsidR="00730270">
      <w:rPr>
        <w:noProof/>
        <w:lang w:eastAsia="en-AU"/>
      </w:rPr>
      <mc:AlternateContent>
        <mc:Choice Requires="wps">
          <w:drawing>
            <wp:anchor distT="0" distB="0" distL="114300" distR="114300" simplePos="0" relativeHeight="251658248" behindDoc="0" locked="1" layoutInCell="0" allowOverlap="1" wp14:anchorId="492D79EF" wp14:editId="380DE026">
              <wp:simplePos x="0" y="0"/>
              <wp:positionH relativeFrom="margin">
                <wp:align>center</wp:align>
              </wp:positionH>
              <wp:positionV relativeFrom="topMargin">
                <wp:align>center</wp:align>
              </wp:positionV>
              <wp:extent cx="1612265" cy="5461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1612265" cy="5461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D4273C" w14:textId="404B23FF" w:rsidR="00730270" w:rsidRPr="00730270" w:rsidRDefault="00730270" w:rsidP="00730270">
                          <w:pPr>
                            <w:jc w:val="center"/>
                            <w:rPr>
                              <w:rFonts w:ascii="Arial" w:hAnsi="Arial" w:cs="Arial"/>
                              <w:b/>
                              <w:color w:val="FF0000"/>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2D79EF" id="Text Box 5" o:spid="_x0000_s1034" type="#_x0000_t202" style="position:absolute;margin-left:0;margin-top:0;width:126.95pt;height:43pt;z-index:251658248;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" o:allowincell="f" filled="f" stroked="f" strokeweight=".5pt">
              <v:textbox style="mso-fit-shape-to-text:t">
                <w:txbxContent>
                  <w:p w14:paraId="07D4273C" w14:textId="404B23FF" w:rsidR="00730270" w:rsidRPr="00730270" w:rsidRDefault="00730270" w:rsidP="00730270">
                    <w:pPr>
                      <w:jc w:val="center"/>
                      <w:rPr>
                        <w:rFonts w:ascii="Arial" w:hAnsi="Arial" w:cs="Arial"/>
                        <w:b/>
                        <w:color w:val="FF0000"/>
                        <w:sz w:val="24"/>
                      </w:rPr>
                    </w:pPr>
                  </w:p>
                </w:txbxContent>
              </v:textbox>
              <w10:wrap anchorx="margin" anchory="margin"/>
              <w10:anchorlock/>
            </v:shape>
          </w:pict>
        </mc:Fallback>
      </mc:AlternateContent>
    </w:r>
    <w:r w:rsidR="00A15262">
      <w:rPr>
        <w:noProof/>
        <w:lang w:eastAsia="en-AU"/>
      </w:rPr>
      <mc:AlternateContent>
        <mc:Choice Requires="wps">
          <w:drawing>
            <wp:anchor distT="0" distB="0" distL="114300" distR="114300" simplePos="0" relativeHeight="251658247" behindDoc="0" locked="1" layoutInCell="0" allowOverlap="1" wp14:anchorId="6FDA02CB" wp14:editId="211B86C4">
              <wp:simplePos x="0" y="0"/>
              <wp:positionH relativeFrom="margin">
                <wp:align>center</wp:align>
              </wp:positionH>
              <wp:positionV relativeFrom="topMargin">
                <wp:align>center</wp:align>
              </wp:positionV>
              <wp:extent cx="892175" cy="5461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892175" cy="5461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1DE23A" w14:textId="1DB0BC77" w:rsidR="00A15262" w:rsidRPr="00F452C5" w:rsidRDefault="00A15262" w:rsidP="00A15262">
                          <w:pPr>
                            <w:jc w:val="center"/>
                            <w:rPr>
                              <w:rFonts w:ascii="Arial" w:hAnsi="Arial" w:cs="Arial"/>
                              <w:b/>
                              <w:color w:val="FF0000"/>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DA02CB" id="Text Box 3" o:spid="_x0000_s1035" type="#_x0000_t202" style="position:absolute;margin-left:0;margin-top:0;width:70.25pt;height:43pt;z-index:251658247;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" o:allowincell="f" filled="f" stroked="f" strokeweight=".5pt">
              <v:textbox style="mso-fit-shape-to-text:t">
                <w:txbxContent>
                  <w:p w14:paraId="0A1DE23A" w14:textId="1DB0BC77" w:rsidR="00A15262" w:rsidRPr="00F452C5" w:rsidRDefault="00A15262" w:rsidP="00A15262">
                    <w:pPr>
                      <w:jc w:val="center"/>
                      <w:rPr>
                        <w:rFonts w:ascii="Arial" w:hAnsi="Arial" w:cs="Arial"/>
                        <w:b/>
                        <w:color w:val="FF0000"/>
                        <w:sz w:val="24"/>
                      </w:rPr>
                    </w:pPr>
                  </w:p>
                </w:txbxContent>
              </v:textbox>
              <w10:wrap anchorx="margin" anchory="margin"/>
              <w10:anchorlock/>
            </v:shape>
          </w:pict>
        </mc:Fallback>
      </mc:AlternateContent>
    </w:r>
    <w:r w:rsidR="003A30F3">
      <w:rPr>
        <w:noProof/>
        <w:lang w:eastAsia="en-AU"/>
      </w:rPr>
      <mc:AlternateContent>
        <mc:Choice Requires="wpg">
          <w:drawing>
            <wp:anchor distT="0" distB="0" distL="114300" distR="114300" simplePos="0" relativeHeight="251658246" behindDoc="0" locked="1" layoutInCell="1" allowOverlap="1" wp14:anchorId="49762024" wp14:editId="206A17B0">
              <wp:simplePos x="0" y="0"/>
              <wp:positionH relativeFrom="page">
                <wp:align>right</wp:align>
              </wp:positionH>
              <wp:positionV relativeFrom="page">
                <wp:align>bottom</wp:align>
              </wp:positionV>
              <wp:extent cx="7282800" cy="6199200"/>
              <wp:effectExtent l="0" t="0" r="0" b="0"/>
              <wp:wrapNone/>
              <wp:docPr id="13" name="Group 13"/>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14" name="Group 4"/>
                      <wpg:cNvGrpSpPr/>
                      <wpg:grpSpPr bwMode="auto">
                        <a:xfrm>
                          <a:off x="0" y="0"/>
                          <a:ext cx="7121457" cy="6026668"/>
                          <a:chOff x="0" y="0"/>
                          <a:chExt cx="4278" cy="3620"/>
                        </a:xfrm>
                      </wpg:grpSpPr>
                      <wps:wsp>
                        <wps:cNvPr id="15"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8"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C4DE38" id="Group 13" o:spid="_x0000_s1026" style="position:absolute;margin-left:522.25pt;margin-top:0;width:573.45pt;height:488.15pt;z-index:251658246;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" path="m1315,v-1,,-1,,-1,c1122,,938,39,770,108,596,181,440,286,309,417,178,548,72,705,,878v159,66,159,66,159,66c223,792,315,654,431,539,546,424,683,331,836,268v148,-62,309,-96,478,-96c1315,172,1315,172,1315,172v16,,32,1,48,1c1363,,1363,,1363,v-16,,-32,,-48,xe" fillcolor="#ce0058 [3205]"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w10:wrap anchorx="page" anchory="page"/>
              <w10:anchorlock/>
            </v:group>
          </w:pict>
        </mc:Fallback>
      </mc:AlternateContent>
    </w:r>
    <w:r w:rsidR="003A30F3" w:rsidRPr="00EA47A3">
      <w:rPr>
        <w:noProof/>
        <w:lang w:eastAsia="en-AU"/>
      </w:rPr>
      <w:drawing>
        <wp:anchor distT="0" distB="431800" distL="114300" distR="114300" simplePos="0" relativeHeight="251658245" behindDoc="1" locked="1" layoutInCell="1" allowOverlap="1" wp14:anchorId="6A80423D" wp14:editId="20921CDD">
          <wp:simplePos x="0" y="0"/>
          <wp:positionH relativeFrom="page">
            <wp:posOffset>720090</wp:posOffset>
          </wp:positionH>
          <wp:positionV relativeFrom="page">
            <wp:posOffset>720090</wp:posOffset>
          </wp:positionV>
          <wp:extent cx="2656800" cy="8280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B2056" w14:textId="5BEB2135" w:rsidR="003A30F3" w:rsidRDefault="003A30F3" w:rsidP="007C7E2D">
    <w:pPr>
      <w:pStyle w:val="Header"/>
      <w:tabs>
        <w:tab w:val="clear" w:pos="4680"/>
        <w:tab w:val="clear" w:pos="9360"/>
        <w:tab w:val="left" w:pos="2236"/>
      </w:tabs>
    </w:pPr>
    <w:r>
      <w:rPr>
        <w:noProof/>
        <w:lang w:eastAsia="en-AU"/>
      </w:rPr>
      <mc:AlternateContent>
        <mc:Choice Requires="wpg">
          <w:drawing>
            <wp:anchor distT="0" distB="0" distL="114300" distR="114300" simplePos="0" relativeHeight="251658244" behindDoc="0" locked="1" layoutInCell="1" allowOverlap="1" wp14:anchorId="45343244" wp14:editId="5954AD88">
              <wp:simplePos x="0" y="0"/>
              <wp:positionH relativeFrom="page">
                <wp:align>right</wp:align>
              </wp:positionH>
              <wp:positionV relativeFrom="page">
                <wp:align>bottom</wp:align>
              </wp:positionV>
              <wp:extent cx="7282800" cy="6199200"/>
              <wp:effectExtent l="0" t="0" r="0" b="0"/>
              <wp:wrapNone/>
              <wp:docPr id="29" name="Group 29"/>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30" name="Group 4"/>
                      <wpg:cNvGrpSpPr/>
                      <wpg:grpSpPr bwMode="auto">
                        <a:xfrm>
                          <a:off x="0" y="0"/>
                          <a:ext cx="7121457" cy="6026668"/>
                          <a:chOff x="0" y="0"/>
                          <a:chExt cx="4278" cy="3620"/>
                        </a:xfrm>
                      </wpg:grpSpPr>
                      <wps:wsp>
                        <wps:cNvPr id="31"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4"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28BF5C" id="Group 29" o:spid="_x0000_s1026" style="position:absolute;margin-left:522.25pt;margin-top:0;width:573.45pt;height:488.15pt;z-index:251658244;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" path="m1315,v-1,,-1,,-1,c1122,,938,39,770,108,596,181,440,286,309,417,178,548,72,705,,878v159,66,159,66,159,66c223,792,315,654,431,539,546,424,683,331,836,268v148,-62,309,-96,478,-96c1315,172,1315,172,1315,172v16,,32,1,48,1c1363,,1363,,1363,v-16,,-32,,-48,xe" fillcolor="#ed8b00 [3207]"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w10:wrap anchorx="page" anchory="page"/>
              <w10:anchorlock/>
            </v:group>
          </w:pict>
        </mc:Fallback>
      </mc:AlternateContent>
    </w:r>
    <w:r w:rsidRPr="00EA47A3">
      <w:rPr>
        <w:noProof/>
        <w:lang w:eastAsia="en-AU"/>
      </w:rPr>
      <w:drawing>
        <wp:anchor distT="0" distB="431800" distL="114300" distR="114300" simplePos="0" relativeHeight="251658242" behindDoc="1" locked="1" layoutInCell="1" allowOverlap="1" wp14:anchorId="0843C84E" wp14:editId="67B9821B">
          <wp:simplePos x="0" y="0"/>
          <wp:positionH relativeFrom="page">
            <wp:posOffset>720090</wp:posOffset>
          </wp:positionH>
          <wp:positionV relativeFrom="page">
            <wp:posOffset>720090</wp:posOffset>
          </wp:positionV>
          <wp:extent cx="2656800" cy="8280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CD624" w14:textId="0A5C275A" w:rsidR="003A30F3" w:rsidRPr="00633068" w:rsidRDefault="00BD4BD2" w:rsidP="00633068">
    <w:pPr>
      <w:pStyle w:val="Header"/>
      <w:tabs>
        <w:tab w:val="clear" w:pos="4680"/>
        <w:tab w:val="clear" w:pos="9360"/>
        <w:tab w:val="left" w:pos="2236"/>
      </w:tabs>
    </w:pPr>
    <w:r>
      <w:rPr>
        <w:noProof/>
      </w:rPr>
      <mc:AlternateContent>
        <mc:Choice Requires="wps">
          <w:drawing>
            <wp:anchor distT="0" distB="0" distL="114300" distR="114300" simplePos="0" relativeHeight="251658255" behindDoc="0" locked="1" layoutInCell="0" allowOverlap="1" wp14:anchorId="7669E464" wp14:editId="22FD2829">
              <wp:simplePos x="0" y="0"/>
              <wp:positionH relativeFrom="margin">
                <wp:posOffset>332105</wp:posOffset>
              </wp:positionH>
              <wp:positionV relativeFrom="topMargin">
                <wp:align>bottom</wp:align>
              </wp:positionV>
              <wp:extent cx="1654175" cy="546100"/>
              <wp:effectExtent l="0" t="0" r="0" b="6350"/>
              <wp:wrapNone/>
              <wp:docPr id="1621323433" name="Text Box 1621323433"/>
              <wp:cNvGraphicFramePr/>
              <a:graphic xmlns:a="http://schemas.openxmlformats.org/drawingml/2006/main">
                <a:graphicData uri="http://schemas.microsoft.com/office/word/2010/wordprocessingShape">
                  <wps:wsp>
                    <wps:cNvSpPr txBox="1"/>
                    <wps:spPr>
                      <a:xfrm>
                        <a:off x="0" y="0"/>
                        <a:ext cx="1654175" cy="5461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7EF3E4" w14:textId="4334632D" w:rsidR="00BD4BD2" w:rsidRPr="00BD4BD2" w:rsidRDefault="00BD4BD2" w:rsidP="002D5E7E">
                          <w:pPr>
                            <w:rPr>
                              <w:rFonts w:ascii="Arial" w:hAnsi="Arial" w:cs="Arial"/>
                              <w:b/>
                              <w:color w:val="FF0000"/>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669E464" id="_x0000_t202" coordsize="21600,21600" o:spt="202" path="m,l,21600r21600,l21600,xe">
              <v:stroke joinstyle="miter"/>
              <v:path gradientshapeok="t" o:connecttype="rect"/>
            </v:shapetype>
            <v:shape id="Text Box 1621323433" o:spid="_x0000_s1036" type="#_x0000_t202" style="position:absolute;margin-left:26.15pt;margin-top:0;width:130.25pt;height:43pt;z-index:251658255;visibility:visible;mso-wrap-style:none;mso-wrap-distance-left:9pt;mso-wrap-distance-top:0;mso-wrap-distance-right:9pt;mso-wrap-distance-bottom:0;mso-position-horizontal:absolute;mso-position-horizontal-relative:margin;mso-position-vertical:bottom;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" o:allowincell="f" filled="f" stroked="f" strokeweight=".5pt">
              <v:textbox style="mso-fit-shape-to-text:t">
                <w:txbxContent>
                  <w:p w14:paraId="5F7EF3E4" w14:textId="4334632D" w:rsidR="00BD4BD2" w:rsidRPr="00BD4BD2" w:rsidRDefault="00BD4BD2" w:rsidP="002D5E7E">
                    <w:pPr>
                      <w:rPr>
                        <w:rFonts w:ascii="Arial" w:hAnsi="Arial" w:cs="Arial"/>
                        <w:b/>
                        <w:color w:val="FF0000"/>
                        <w:sz w:val="24"/>
                      </w:rPr>
                    </w:pPr>
                  </w:p>
                </w:txbxContent>
              </v:textbox>
              <w10:wrap anchorx="margin" anchory="margin"/>
              <w10:anchorlock/>
            </v:shape>
          </w:pict>
        </mc:Fallback>
      </mc:AlternateContent>
    </w:r>
    <w:r w:rsidR="00B51593">
      <w:rPr>
        <w:noProof/>
      </w:rPr>
      <mc:AlternateContent>
        <mc:Choice Requires="wps">
          <w:drawing>
            <wp:anchor distT="0" distB="0" distL="114300" distR="114300" simplePos="0" relativeHeight="251658254" behindDoc="0" locked="1" layoutInCell="0" allowOverlap="1" wp14:anchorId="7292FC01" wp14:editId="1A6A728F">
              <wp:simplePos x="0" y="0"/>
              <wp:positionH relativeFrom="margin">
                <wp:align>center</wp:align>
              </wp:positionH>
              <wp:positionV relativeFrom="topMargin">
                <wp:align>center</wp:align>
              </wp:positionV>
              <wp:extent cx="1654175" cy="546100"/>
              <wp:effectExtent l="0" t="0" r="0" b="6350"/>
              <wp:wrapNone/>
              <wp:docPr id="1321082489" name="Text Box 1321082489"/>
              <wp:cNvGraphicFramePr/>
              <a:graphic xmlns:a="http://schemas.openxmlformats.org/drawingml/2006/main">
                <a:graphicData uri="http://schemas.microsoft.com/office/word/2010/wordprocessingShape">
                  <wps:wsp>
                    <wps:cNvSpPr txBox="1"/>
                    <wps:spPr>
                      <a:xfrm>
                        <a:off x="0" y="0"/>
                        <a:ext cx="1654175" cy="5461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6C8F51" w14:textId="2CB46192" w:rsidR="00B51593" w:rsidRPr="00B51593" w:rsidRDefault="00B51593" w:rsidP="00B51593">
                          <w:pPr>
                            <w:jc w:val="center"/>
                            <w:rPr>
                              <w:rFonts w:ascii="Arial" w:hAnsi="Arial" w:cs="Arial"/>
                              <w:b/>
                              <w:color w:val="FF0000"/>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92FC01" id="Text Box 1321082489" o:spid="_x0000_s1037" type="#_x0000_t202" style="position:absolute;margin-left:0;margin-top:0;width:130.25pt;height:43pt;z-index:251658254;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" o:allowincell="f" filled="f" stroked="f" strokeweight=".5pt">
              <v:textbox style="mso-fit-shape-to-text:t">
                <w:txbxContent>
                  <w:p w14:paraId="276C8F51" w14:textId="2CB46192" w:rsidR="00B51593" w:rsidRPr="00B51593" w:rsidRDefault="00B51593" w:rsidP="00B51593">
                    <w:pPr>
                      <w:jc w:val="center"/>
                      <w:rPr>
                        <w:rFonts w:ascii="Arial" w:hAnsi="Arial" w:cs="Arial"/>
                        <w:b/>
                        <w:color w:val="FF0000"/>
                        <w:sz w:val="24"/>
                      </w:rPr>
                    </w:pPr>
                  </w:p>
                </w:txbxContent>
              </v:textbox>
              <w10:wrap anchorx="margin" anchory="margin"/>
              <w10:anchorlock/>
            </v:shape>
          </w:pict>
        </mc:Fallback>
      </mc:AlternateContent>
    </w:r>
    <w:r w:rsidR="00BD6C45">
      <w:rPr>
        <w:noProof/>
      </w:rPr>
      <mc:AlternateContent>
        <mc:Choice Requires="wps">
          <w:drawing>
            <wp:anchor distT="0" distB="0" distL="114300" distR="114300" simplePos="0" relativeHeight="251658243" behindDoc="0" locked="1" layoutInCell="0" allowOverlap="1" wp14:anchorId="038FB7A3" wp14:editId="52C13680">
              <wp:simplePos x="0" y="0"/>
              <wp:positionH relativeFrom="margin">
                <wp:align>center</wp:align>
              </wp:positionH>
              <wp:positionV relativeFrom="topMargin">
                <wp:align>center</wp:align>
              </wp:positionV>
              <wp:extent cx="1654175" cy="546100"/>
              <wp:effectExtent l="0" t="0" r="0" b="6350"/>
              <wp:wrapNone/>
              <wp:docPr id="438809488" name="Text Box 438809488"/>
              <wp:cNvGraphicFramePr/>
              <a:graphic xmlns:a="http://schemas.openxmlformats.org/drawingml/2006/main">
                <a:graphicData uri="http://schemas.microsoft.com/office/word/2010/wordprocessingShape">
                  <wps:wsp>
                    <wps:cNvSpPr txBox="1"/>
                    <wps:spPr>
                      <a:xfrm>
                        <a:off x="0" y="0"/>
                        <a:ext cx="1654175" cy="5461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97EF82" w14:textId="03FEE4B9" w:rsidR="00BD6C45" w:rsidRPr="00BD6C45" w:rsidRDefault="00BD6C45" w:rsidP="00BD6C45">
                          <w:pPr>
                            <w:jc w:val="center"/>
                            <w:rPr>
                              <w:rFonts w:ascii="Arial" w:hAnsi="Arial" w:cs="Arial"/>
                              <w:b/>
                              <w:color w:val="FF0000"/>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8FB7A3" id="Text Box 438809488" o:spid="_x0000_s1038" type="#_x0000_t202" style="position:absolute;margin-left:0;margin-top:0;width:130.25pt;height:43pt;z-index:251658243;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" o:allowincell="f" filled="f" stroked="f" strokeweight=".5pt">
              <v:textbox style="mso-fit-shape-to-text:t">
                <w:txbxContent>
                  <w:p w14:paraId="6897EF82" w14:textId="03FEE4B9" w:rsidR="00BD6C45" w:rsidRPr="00BD6C45" w:rsidRDefault="00BD6C45" w:rsidP="00BD6C45">
                    <w:pPr>
                      <w:jc w:val="center"/>
                      <w:rPr>
                        <w:rFonts w:ascii="Arial" w:hAnsi="Arial" w:cs="Arial"/>
                        <w:b/>
                        <w:color w:val="FF0000"/>
                        <w:sz w:val="24"/>
                      </w:rPr>
                    </w:pPr>
                  </w:p>
                </w:txbxContent>
              </v:textbox>
              <w10:wrap anchorx="margin" anchory="margin"/>
              <w10:anchorlock/>
            </v:shape>
          </w:pict>
        </mc:Fallback>
      </mc:AlternateContent>
    </w:r>
    <w:r w:rsidR="005D6339">
      <w:rPr>
        <w:noProof/>
      </w:rPr>
      <mc:AlternateContent>
        <mc:Choice Requires="wps">
          <w:drawing>
            <wp:anchor distT="0" distB="0" distL="114300" distR="114300" simplePos="0" relativeHeight="251658241" behindDoc="0" locked="1" layoutInCell="0" allowOverlap="1" wp14:anchorId="1F5375B2" wp14:editId="3C175F8D">
              <wp:simplePos x="0" y="0"/>
              <wp:positionH relativeFrom="margin">
                <wp:align>center</wp:align>
              </wp:positionH>
              <wp:positionV relativeFrom="topMargin">
                <wp:align>center</wp:align>
              </wp:positionV>
              <wp:extent cx="1654175" cy="546100"/>
              <wp:effectExtent l="0" t="0" r="0" b="6350"/>
              <wp:wrapNone/>
              <wp:docPr id="845166633" name="Text Box 845166633"/>
              <wp:cNvGraphicFramePr/>
              <a:graphic xmlns:a="http://schemas.openxmlformats.org/drawingml/2006/main">
                <a:graphicData uri="http://schemas.microsoft.com/office/word/2010/wordprocessingShape">
                  <wps:wsp>
                    <wps:cNvSpPr txBox="1"/>
                    <wps:spPr>
                      <a:xfrm>
                        <a:off x="0" y="0"/>
                        <a:ext cx="1654175" cy="5461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5F5E8A" w14:textId="649933DE" w:rsidR="005D6339" w:rsidRPr="005D6339" w:rsidRDefault="005D6339" w:rsidP="005D6339">
                          <w:pPr>
                            <w:jc w:val="center"/>
                            <w:rPr>
                              <w:rFonts w:ascii="Arial" w:hAnsi="Arial" w:cs="Arial"/>
                              <w:b/>
                              <w:color w:val="FF0000"/>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5375B2" id="Text Box 845166633" o:spid="_x0000_s1039" type="#_x0000_t202" style="position:absolute;margin-left:0;margin-top:0;width:130.25pt;height:43pt;z-index:251658241;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" o:allowincell="f" filled="f" stroked="f" strokeweight=".5pt">
              <v:textbox style="mso-fit-shape-to-text:t">
                <w:txbxContent>
                  <w:p w14:paraId="535F5E8A" w14:textId="649933DE" w:rsidR="005D6339" w:rsidRPr="005D6339" w:rsidRDefault="005D6339" w:rsidP="005D6339">
                    <w:pPr>
                      <w:jc w:val="center"/>
                      <w:rPr>
                        <w:rFonts w:ascii="Arial" w:hAnsi="Arial" w:cs="Arial"/>
                        <w:b/>
                        <w:color w:val="FF0000"/>
                        <w:sz w:val="24"/>
                      </w:rPr>
                    </w:pPr>
                  </w:p>
                </w:txbxContent>
              </v:textbox>
              <w10:wrap anchorx="margin" anchory="margin"/>
              <w10:anchorlock/>
            </v:shape>
          </w:pict>
        </mc:Fallback>
      </mc:AlternateContent>
    </w:r>
    <w:r w:rsidR="00730270">
      <w:rPr>
        <w:noProof/>
      </w:rPr>
      <mc:AlternateContent>
        <mc:Choice Requires="wps">
          <w:drawing>
            <wp:anchor distT="0" distB="0" distL="114300" distR="114300" simplePos="0" relativeHeight="251658240" behindDoc="0" locked="1" layoutInCell="0" allowOverlap="1" wp14:anchorId="5F3C704C" wp14:editId="7C008C68">
              <wp:simplePos x="0" y="0"/>
              <wp:positionH relativeFrom="margin">
                <wp:align>center</wp:align>
              </wp:positionH>
              <wp:positionV relativeFrom="topMargin">
                <wp:align>center</wp:align>
              </wp:positionV>
              <wp:extent cx="1612265" cy="5461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1612265" cy="5461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78C034" w14:textId="6467C15C" w:rsidR="00730270" w:rsidRPr="00730270" w:rsidRDefault="00730270" w:rsidP="00730270">
                          <w:pPr>
                            <w:jc w:val="center"/>
                            <w:rPr>
                              <w:rFonts w:ascii="Arial" w:hAnsi="Arial" w:cs="Arial"/>
                              <w:b/>
                              <w:color w:val="FF0000"/>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3C704C" id="Text Box 7" o:spid="_x0000_s1040" type="#_x0000_t202" style="position:absolute;margin-left:0;margin-top:0;width:126.95pt;height:43pt;z-index:251658240;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" o:allowincell="f" filled="f" stroked="f" strokeweight=".5pt">
              <v:textbox style="mso-fit-shape-to-text:t">
                <w:txbxContent>
                  <w:p w14:paraId="7278C034" w14:textId="6467C15C" w:rsidR="00730270" w:rsidRPr="00730270" w:rsidRDefault="00730270" w:rsidP="00730270">
                    <w:pPr>
                      <w:jc w:val="center"/>
                      <w:rPr>
                        <w:rFonts w:ascii="Arial" w:hAnsi="Arial" w:cs="Arial"/>
                        <w:b/>
                        <w:color w:val="FF0000"/>
                        <w:sz w:val="24"/>
                      </w:rPr>
                    </w:pPr>
                  </w:p>
                </w:txbxContent>
              </v:textbox>
              <w10:wrap anchorx="margin" anchory="margin"/>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6C27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402B2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F6E1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41CF2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8C2CE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929D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A000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1454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CEE6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B20E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1A4563"/>
    <w:multiLevelType w:val="hybridMultilevel"/>
    <w:tmpl w:val="682CEC4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8E57822"/>
    <w:multiLevelType w:val="hybridMultilevel"/>
    <w:tmpl w:val="1B6695E4"/>
    <w:lvl w:ilvl="0" w:tplc="FDAC4F3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E90296"/>
    <w:multiLevelType w:val="multilevel"/>
    <w:tmpl w:val="510EE69C"/>
    <w:styleLink w:val="ListLetters"/>
    <w:lvl w:ilvl="0">
      <w:start w:val="1"/>
      <w:numFmt w:val="lowerLetter"/>
      <w:pStyle w:val="ListLetters0"/>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FF96766"/>
    <w:multiLevelType w:val="multilevel"/>
    <w:tmpl w:val="7B18E240"/>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06F3222"/>
    <w:multiLevelType w:val="hybridMultilevel"/>
    <w:tmpl w:val="FBA811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1F0552F"/>
    <w:multiLevelType w:val="hybridMultilevel"/>
    <w:tmpl w:val="F81E4C6E"/>
    <w:lvl w:ilvl="0" w:tplc="AD02D04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14510C0B"/>
    <w:multiLevelType w:val="multilevel"/>
    <w:tmpl w:val="3D66CBA2"/>
    <w:numStyleLink w:val="CustomNumberlist"/>
  </w:abstractNum>
  <w:abstractNum w:abstractNumId="17" w15:restartNumberingAfterBreak="0">
    <w:nsid w:val="1B3C049B"/>
    <w:multiLevelType w:val="multilevel"/>
    <w:tmpl w:val="6D9A2BC2"/>
    <w:numStyleLink w:val="NumberedHeadings"/>
  </w:abstractNum>
  <w:abstractNum w:abstractNumId="18" w15:restartNumberingAfterBreak="0">
    <w:nsid w:val="1E8052EF"/>
    <w:multiLevelType w:val="multilevel"/>
    <w:tmpl w:val="ED3A613C"/>
    <w:numStyleLink w:val="TableBullets"/>
  </w:abstractNum>
  <w:abstractNum w:abstractNumId="19" w15:restartNumberingAfterBreak="0">
    <w:nsid w:val="1FCF7766"/>
    <w:multiLevelType w:val="multilevel"/>
    <w:tmpl w:val="6D9A2BC2"/>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2391238"/>
    <w:multiLevelType w:val="multilevel"/>
    <w:tmpl w:val="6D9A2BC2"/>
    <w:numStyleLink w:val="NumberedHeadings"/>
  </w:abstractNum>
  <w:abstractNum w:abstractNumId="21" w15:restartNumberingAfterBreak="0">
    <w:nsid w:val="32AC3A31"/>
    <w:multiLevelType w:val="hybridMultilevel"/>
    <w:tmpl w:val="FFB0C014"/>
    <w:lvl w:ilvl="0" w:tplc="6E0AD76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9E348D"/>
    <w:multiLevelType w:val="multilevel"/>
    <w:tmpl w:val="3D66CBA2"/>
    <w:numStyleLink w:val="CustomNumberlist"/>
  </w:abstractNum>
  <w:abstractNum w:abstractNumId="23" w15:restartNumberingAfterBreak="0">
    <w:nsid w:val="39C20E77"/>
    <w:multiLevelType w:val="multilevel"/>
    <w:tmpl w:val="6D9A2BC2"/>
    <w:numStyleLink w:val="NumberedHeadings"/>
  </w:abstractNum>
  <w:abstractNum w:abstractNumId="24" w15:restartNumberingAfterBreak="0">
    <w:nsid w:val="3AA454D7"/>
    <w:multiLevelType w:val="multilevel"/>
    <w:tmpl w:val="6D9A2BC2"/>
    <w:numStyleLink w:val="NumberedHeadings"/>
  </w:abstractNum>
  <w:abstractNum w:abstractNumId="25" w15:restartNumberingAfterBreak="0">
    <w:nsid w:val="3F9735C7"/>
    <w:multiLevelType w:val="multilevel"/>
    <w:tmpl w:val="2FAC61F8"/>
    <w:styleLink w:val="Bullet"/>
    <w:lvl w:ilvl="0">
      <w:start w:val="1"/>
      <w:numFmt w:val="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Arial" w:hAnsi="Arial" w:hint="default"/>
        <w:color w:val="auto"/>
      </w:rPr>
    </w:lvl>
    <w:lvl w:ilvl="2">
      <w:start w:val="1"/>
      <w:numFmt w:val="none"/>
      <w:pStyle w:val="ListParagraph"/>
      <w:lvlText w:val=""/>
      <w:lvlJc w:val="left"/>
      <w:pPr>
        <w:ind w:left="284" w:firstLine="0"/>
      </w:pPr>
      <w:rPr>
        <w:rFonts w:hint="default"/>
      </w:rPr>
    </w:lvl>
    <w:lvl w:ilvl="3">
      <w:start w:val="1"/>
      <w:numFmt w:val="bullet"/>
      <w:pStyle w:val="ListBullet3"/>
      <w:lvlText w:val=""/>
      <w:lvlJc w:val="left"/>
      <w:pPr>
        <w:ind w:left="851" w:hanging="284"/>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06E7432"/>
    <w:multiLevelType w:val="hybridMultilevel"/>
    <w:tmpl w:val="2854A49E"/>
    <w:lvl w:ilvl="0" w:tplc="DFE0133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4F537B8"/>
    <w:multiLevelType w:val="hybridMultilevel"/>
    <w:tmpl w:val="4C20E034"/>
    <w:lvl w:ilvl="0" w:tplc="E764A1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130E0B"/>
    <w:multiLevelType w:val="hybridMultilevel"/>
    <w:tmpl w:val="CB90FE28"/>
    <w:lvl w:ilvl="0" w:tplc="D7462CF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F47E20"/>
    <w:multiLevelType w:val="multilevel"/>
    <w:tmpl w:val="3D66CBA2"/>
    <w:styleLink w:val="CustomNumberlist"/>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A8B0109"/>
    <w:multiLevelType w:val="multilevel"/>
    <w:tmpl w:val="3D66CBA2"/>
    <w:numStyleLink w:val="CustomNumberlist"/>
  </w:abstractNum>
  <w:abstractNum w:abstractNumId="31" w15:restartNumberingAfterBreak="0">
    <w:nsid w:val="52DF77E5"/>
    <w:multiLevelType w:val="hybridMultilevel"/>
    <w:tmpl w:val="9E9E8A74"/>
    <w:lvl w:ilvl="0" w:tplc="1B2CBA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E41190"/>
    <w:multiLevelType w:val="hybridMultilevel"/>
    <w:tmpl w:val="C50ABADC"/>
    <w:lvl w:ilvl="0" w:tplc="4E1E365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2963A3"/>
    <w:multiLevelType w:val="multilevel"/>
    <w:tmpl w:val="15E08EDC"/>
    <w:lvl w:ilvl="0">
      <w:start w:val="1"/>
      <w:numFmt w:val="decimal"/>
      <w:lvlText w:val="%1."/>
      <w:lvlJc w:val="left"/>
      <w:pPr>
        <w:tabs>
          <w:tab w:val="num" w:pos="360"/>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284" w:hanging="284"/>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4700710"/>
    <w:multiLevelType w:val="hybridMultilevel"/>
    <w:tmpl w:val="9962BBCC"/>
    <w:lvl w:ilvl="0" w:tplc="20745EC8">
      <w:start w:val="1"/>
      <w:numFmt w:val="bullet"/>
      <w:pStyle w:val="TableBullet"/>
      <w:lvlText w:val=""/>
      <w:lvlJc w:val="left"/>
      <w:pPr>
        <w:ind w:left="100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60F67876"/>
    <w:multiLevelType w:val="hybridMultilevel"/>
    <w:tmpl w:val="E3EEA8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3D30B6"/>
    <w:multiLevelType w:val="hybridMultilevel"/>
    <w:tmpl w:val="FC20E16C"/>
    <w:lvl w:ilvl="0" w:tplc="A8B6EDD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23641D"/>
    <w:multiLevelType w:val="hybridMultilevel"/>
    <w:tmpl w:val="8572DBE0"/>
    <w:lvl w:ilvl="0" w:tplc="B096E4C4">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6505317"/>
    <w:multiLevelType w:val="multilevel"/>
    <w:tmpl w:val="3D66CBA2"/>
    <w:numStyleLink w:val="CustomNumberlist"/>
  </w:abstractNum>
  <w:abstractNum w:abstractNumId="39" w15:restartNumberingAfterBreak="0">
    <w:nsid w:val="6B031981"/>
    <w:multiLevelType w:val="multilevel"/>
    <w:tmpl w:val="ED3A613C"/>
    <w:styleLink w:val="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decimal"/>
      <w:lvlText w:val="%3."/>
      <w:lvlJc w:val="left"/>
      <w:pPr>
        <w:ind w:left="284" w:hanging="284"/>
      </w:pPr>
      <w:rPr>
        <w:rFonts w:hint="default"/>
      </w:rPr>
    </w:lvl>
    <w:lvl w:ilvl="3">
      <w:start w:val="1"/>
      <w:numFmt w:val="decimal"/>
      <w:lvlText w:val="%3.%4."/>
      <w:lvlJc w:val="left"/>
      <w:pPr>
        <w:ind w:left="567" w:hanging="28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C9D0A8D"/>
    <w:multiLevelType w:val="hybridMultilevel"/>
    <w:tmpl w:val="D166C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0732D36"/>
    <w:multiLevelType w:val="multilevel"/>
    <w:tmpl w:val="ABC89444"/>
    <w:styleLink w:val="Pull-outlists"/>
    <w:lvl w:ilvl="0">
      <w:start w:val="1"/>
      <w:numFmt w:val="bullet"/>
      <w:pStyle w:val="Pull-outBullet1"/>
      <w:lvlText w:val=""/>
      <w:lvlJc w:val="left"/>
      <w:pPr>
        <w:ind w:left="284" w:hanging="284"/>
      </w:pPr>
      <w:rPr>
        <w:rFonts w:ascii="Symbol" w:hAnsi="Symbol" w:cs="Times New Roman" w:hint="default"/>
      </w:rPr>
    </w:lvl>
    <w:lvl w:ilvl="1">
      <w:start w:val="1"/>
      <w:numFmt w:val="bullet"/>
      <w:pStyle w:val="Pull-outBullet2"/>
      <w:lvlText w:val="–"/>
      <w:lvlJc w:val="left"/>
      <w:pPr>
        <w:ind w:left="567" w:hanging="283"/>
      </w:pPr>
      <w:rPr>
        <w:rFonts w:ascii="Times New Roman" w:hAnsi="Times New Roman" w:cs="Times New Roman" w:hint="default"/>
      </w:rPr>
    </w:lvl>
    <w:lvl w:ilvl="2">
      <w:start w:val="1"/>
      <w:numFmt w:val="decimal"/>
      <w:pStyle w:val="Pull-outListNumber1"/>
      <w:lvlText w:val="%3."/>
      <w:lvlJc w:val="left"/>
      <w:pPr>
        <w:ind w:left="284" w:hanging="284"/>
      </w:pPr>
      <w:rPr>
        <w:rFonts w:hint="default"/>
      </w:rPr>
    </w:lvl>
    <w:lvl w:ilvl="3">
      <w:start w:val="1"/>
      <w:numFmt w:val="decimal"/>
      <w:pStyle w:val="Pull-outListNumber2"/>
      <w:lvlText w:val="%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1F3379A"/>
    <w:multiLevelType w:val="hybridMultilevel"/>
    <w:tmpl w:val="F422873A"/>
    <w:lvl w:ilvl="0" w:tplc="5AC6EAC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661215"/>
    <w:multiLevelType w:val="hybridMultilevel"/>
    <w:tmpl w:val="C3A4F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39106041">
    <w:abstractNumId w:val="9"/>
  </w:num>
  <w:num w:numId="2" w16cid:durableId="1779061471">
    <w:abstractNumId w:val="7"/>
  </w:num>
  <w:num w:numId="3" w16cid:durableId="53506533">
    <w:abstractNumId w:val="6"/>
  </w:num>
  <w:num w:numId="4" w16cid:durableId="198326821">
    <w:abstractNumId w:val="5"/>
  </w:num>
  <w:num w:numId="5" w16cid:durableId="588195316">
    <w:abstractNumId w:val="4"/>
  </w:num>
  <w:num w:numId="6" w16cid:durableId="107510125">
    <w:abstractNumId w:val="8"/>
  </w:num>
  <w:num w:numId="7" w16cid:durableId="1803575784">
    <w:abstractNumId w:val="3"/>
  </w:num>
  <w:num w:numId="8" w16cid:durableId="690646177">
    <w:abstractNumId w:val="2"/>
  </w:num>
  <w:num w:numId="9" w16cid:durableId="1146892812">
    <w:abstractNumId w:val="1"/>
  </w:num>
  <w:num w:numId="10" w16cid:durableId="1864400098">
    <w:abstractNumId w:val="25"/>
  </w:num>
  <w:num w:numId="11" w16cid:durableId="370762502">
    <w:abstractNumId w:val="19"/>
  </w:num>
  <w:num w:numId="12" w16cid:durableId="55039009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17455432">
    <w:abstractNumId w:val="0"/>
  </w:num>
  <w:num w:numId="14" w16cid:durableId="263609786">
    <w:abstractNumId w:val="19"/>
  </w:num>
  <w:num w:numId="15" w16cid:durableId="59331334">
    <w:abstractNumId w:val="20"/>
  </w:num>
  <w:num w:numId="16" w16cid:durableId="1745451974">
    <w:abstractNumId w:val="13"/>
  </w:num>
  <w:num w:numId="17" w16cid:durableId="1614091139">
    <w:abstractNumId w:val="29"/>
  </w:num>
  <w:num w:numId="18" w16cid:durableId="64113969">
    <w:abstractNumId w:val="29"/>
  </w:num>
  <w:num w:numId="19" w16cid:durableId="1820028400">
    <w:abstractNumId w:val="22"/>
  </w:num>
  <w:num w:numId="20" w16cid:durableId="92554970">
    <w:abstractNumId w:val="16"/>
  </w:num>
  <w:num w:numId="21" w16cid:durableId="2034963639">
    <w:abstractNumId w:val="33"/>
  </w:num>
  <w:num w:numId="22" w16cid:durableId="1271670145">
    <w:abstractNumId w:val="38"/>
  </w:num>
  <w:num w:numId="23" w16cid:durableId="576787642">
    <w:abstractNumId w:val="14"/>
  </w:num>
  <w:num w:numId="24" w16cid:durableId="646712910">
    <w:abstractNumId w:val="43"/>
  </w:num>
  <w:num w:numId="25" w16cid:durableId="1319456452">
    <w:abstractNumId w:val="36"/>
  </w:num>
  <w:num w:numId="26" w16cid:durableId="1150485785">
    <w:abstractNumId w:val="39"/>
  </w:num>
  <w:num w:numId="27" w16cid:durableId="706950552">
    <w:abstractNumId w:val="18"/>
  </w:num>
  <w:num w:numId="28" w16cid:durableId="477383506">
    <w:abstractNumId w:val="24"/>
  </w:num>
  <w:num w:numId="29" w16cid:durableId="609432371">
    <w:abstractNumId w:val="23"/>
  </w:num>
  <w:num w:numId="30" w16cid:durableId="1457480185">
    <w:abstractNumId w:val="17"/>
  </w:num>
  <w:num w:numId="31" w16cid:durableId="862980298">
    <w:abstractNumId w:val="30"/>
  </w:num>
  <w:num w:numId="32" w16cid:durableId="518155382">
    <w:abstractNumId w:val="12"/>
  </w:num>
  <w:num w:numId="33" w16cid:durableId="18700257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39235872">
    <w:abstractNumId w:val="41"/>
  </w:num>
  <w:num w:numId="35" w16cid:durableId="1299606260">
    <w:abstractNumId w:val="21"/>
  </w:num>
  <w:num w:numId="36" w16cid:durableId="1769037075">
    <w:abstractNumId w:val="28"/>
  </w:num>
  <w:num w:numId="37" w16cid:durableId="1922905166">
    <w:abstractNumId w:val="27"/>
  </w:num>
  <w:num w:numId="38" w16cid:durableId="726102697">
    <w:abstractNumId w:val="15"/>
  </w:num>
  <w:num w:numId="39" w16cid:durableId="1796093583">
    <w:abstractNumId w:val="11"/>
  </w:num>
  <w:num w:numId="40" w16cid:durableId="356202455">
    <w:abstractNumId w:val="39"/>
  </w:num>
  <w:num w:numId="41" w16cid:durableId="1277373900">
    <w:abstractNumId w:val="34"/>
  </w:num>
  <w:num w:numId="42" w16cid:durableId="655032425">
    <w:abstractNumId w:val="37"/>
  </w:num>
  <w:num w:numId="43" w16cid:durableId="1824814730">
    <w:abstractNumId w:val="40"/>
  </w:num>
  <w:num w:numId="44" w16cid:durableId="1682856466">
    <w:abstractNumId w:val="10"/>
  </w:num>
  <w:num w:numId="45" w16cid:durableId="2090926732">
    <w:abstractNumId w:val="35"/>
  </w:num>
  <w:num w:numId="46" w16cid:durableId="1520654687">
    <w:abstractNumId w:val="31"/>
  </w:num>
  <w:num w:numId="47" w16cid:durableId="871456113">
    <w:abstractNumId w:val="42"/>
  </w:num>
  <w:num w:numId="48" w16cid:durableId="1303343103">
    <w:abstractNumId w:val="32"/>
  </w:num>
  <w:num w:numId="49" w16cid:durableId="11674799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4FA"/>
    <w:rsid w:val="000002F4"/>
    <w:rsid w:val="0000067A"/>
    <w:rsid w:val="00000A67"/>
    <w:rsid w:val="00000AC3"/>
    <w:rsid w:val="00000C57"/>
    <w:rsid w:val="00000CDF"/>
    <w:rsid w:val="000012E1"/>
    <w:rsid w:val="0000142D"/>
    <w:rsid w:val="00001D66"/>
    <w:rsid w:val="00001F0C"/>
    <w:rsid w:val="00002035"/>
    <w:rsid w:val="000027B8"/>
    <w:rsid w:val="00003253"/>
    <w:rsid w:val="000032CD"/>
    <w:rsid w:val="00003582"/>
    <w:rsid w:val="00003AC4"/>
    <w:rsid w:val="00003AD5"/>
    <w:rsid w:val="00003BC4"/>
    <w:rsid w:val="00004051"/>
    <w:rsid w:val="000040F0"/>
    <w:rsid w:val="0000416B"/>
    <w:rsid w:val="00004398"/>
    <w:rsid w:val="0000439F"/>
    <w:rsid w:val="00004406"/>
    <w:rsid w:val="00004499"/>
    <w:rsid w:val="00004696"/>
    <w:rsid w:val="000046BD"/>
    <w:rsid w:val="00004B57"/>
    <w:rsid w:val="00004E12"/>
    <w:rsid w:val="000050AA"/>
    <w:rsid w:val="000050D2"/>
    <w:rsid w:val="00005134"/>
    <w:rsid w:val="0000518E"/>
    <w:rsid w:val="000052EA"/>
    <w:rsid w:val="0000549B"/>
    <w:rsid w:val="000058C4"/>
    <w:rsid w:val="0000607F"/>
    <w:rsid w:val="000061B6"/>
    <w:rsid w:val="00006B23"/>
    <w:rsid w:val="00006D3D"/>
    <w:rsid w:val="000071EE"/>
    <w:rsid w:val="00007307"/>
    <w:rsid w:val="000074C3"/>
    <w:rsid w:val="000075B8"/>
    <w:rsid w:val="00007B84"/>
    <w:rsid w:val="00007EB6"/>
    <w:rsid w:val="00010094"/>
    <w:rsid w:val="0001013F"/>
    <w:rsid w:val="00010AE3"/>
    <w:rsid w:val="00010AF4"/>
    <w:rsid w:val="00010B88"/>
    <w:rsid w:val="00010F5D"/>
    <w:rsid w:val="00010FD6"/>
    <w:rsid w:val="00011208"/>
    <w:rsid w:val="000112AC"/>
    <w:rsid w:val="000113EA"/>
    <w:rsid w:val="00011463"/>
    <w:rsid w:val="00011469"/>
    <w:rsid w:val="00011760"/>
    <w:rsid w:val="0001191D"/>
    <w:rsid w:val="00011FEC"/>
    <w:rsid w:val="0001203F"/>
    <w:rsid w:val="00012434"/>
    <w:rsid w:val="000126FB"/>
    <w:rsid w:val="00012722"/>
    <w:rsid w:val="0001282C"/>
    <w:rsid w:val="00012E05"/>
    <w:rsid w:val="00013184"/>
    <w:rsid w:val="000131A4"/>
    <w:rsid w:val="00013370"/>
    <w:rsid w:val="0001340C"/>
    <w:rsid w:val="0001355B"/>
    <w:rsid w:val="0001365E"/>
    <w:rsid w:val="000137A5"/>
    <w:rsid w:val="0001390B"/>
    <w:rsid w:val="000139A2"/>
    <w:rsid w:val="000140F1"/>
    <w:rsid w:val="00014C38"/>
    <w:rsid w:val="00014CB9"/>
    <w:rsid w:val="00014D35"/>
    <w:rsid w:val="00014DD6"/>
    <w:rsid w:val="00014F20"/>
    <w:rsid w:val="0001506F"/>
    <w:rsid w:val="000150E2"/>
    <w:rsid w:val="0001528C"/>
    <w:rsid w:val="000154FB"/>
    <w:rsid w:val="00015588"/>
    <w:rsid w:val="0001570E"/>
    <w:rsid w:val="0001571C"/>
    <w:rsid w:val="000159AB"/>
    <w:rsid w:val="000159B0"/>
    <w:rsid w:val="00015A6A"/>
    <w:rsid w:val="00015BF5"/>
    <w:rsid w:val="00015D31"/>
    <w:rsid w:val="00015DF2"/>
    <w:rsid w:val="0001682F"/>
    <w:rsid w:val="00016A06"/>
    <w:rsid w:val="00016D22"/>
    <w:rsid w:val="00017425"/>
    <w:rsid w:val="000176F4"/>
    <w:rsid w:val="00017CFA"/>
    <w:rsid w:val="00017EBC"/>
    <w:rsid w:val="00017FCC"/>
    <w:rsid w:val="0002001B"/>
    <w:rsid w:val="00020337"/>
    <w:rsid w:val="0002039C"/>
    <w:rsid w:val="000205F7"/>
    <w:rsid w:val="00020C52"/>
    <w:rsid w:val="00020E56"/>
    <w:rsid w:val="00020EF0"/>
    <w:rsid w:val="00021041"/>
    <w:rsid w:val="0002113C"/>
    <w:rsid w:val="000213E2"/>
    <w:rsid w:val="000213FE"/>
    <w:rsid w:val="000214A6"/>
    <w:rsid w:val="000214DA"/>
    <w:rsid w:val="0002158A"/>
    <w:rsid w:val="00021735"/>
    <w:rsid w:val="0002177A"/>
    <w:rsid w:val="00021B10"/>
    <w:rsid w:val="00021BD7"/>
    <w:rsid w:val="00021EC0"/>
    <w:rsid w:val="00021F46"/>
    <w:rsid w:val="000221D2"/>
    <w:rsid w:val="000225A0"/>
    <w:rsid w:val="000226E5"/>
    <w:rsid w:val="00022929"/>
    <w:rsid w:val="00022DAC"/>
    <w:rsid w:val="000235C1"/>
    <w:rsid w:val="00023884"/>
    <w:rsid w:val="00023A1C"/>
    <w:rsid w:val="00023BB3"/>
    <w:rsid w:val="00023BC7"/>
    <w:rsid w:val="00023D71"/>
    <w:rsid w:val="00024084"/>
    <w:rsid w:val="0002415D"/>
    <w:rsid w:val="000242A8"/>
    <w:rsid w:val="00024309"/>
    <w:rsid w:val="00024545"/>
    <w:rsid w:val="00024DCB"/>
    <w:rsid w:val="00024E45"/>
    <w:rsid w:val="000252AB"/>
    <w:rsid w:val="000253AC"/>
    <w:rsid w:val="00025A1A"/>
    <w:rsid w:val="00025AAA"/>
    <w:rsid w:val="00025BB4"/>
    <w:rsid w:val="00025BFF"/>
    <w:rsid w:val="00025D3A"/>
    <w:rsid w:val="00025F2C"/>
    <w:rsid w:val="000261B7"/>
    <w:rsid w:val="000261EB"/>
    <w:rsid w:val="0002624C"/>
    <w:rsid w:val="00026377"/>
    <w:rsid w:val="0002698B"/>
    <w:rsid w:val="0002702B"/>
    <w:rsid w:val="0002746D"/>
    <w:rsid w:val="00027799"/>
    <w:rsid w:val="000279D5"/>
    <w:rsid w:val="00027C59"/>
    <w:rsid w:val="00027D1E"/>
    <w:rsid w:val="00027F99"/>
    <w:rsid w:val="00030229"/>
    <w:rsid w:val="00030619"/>
    <w:rsid w:val="000307EF"/>
    <w:rsid w:val="00030884"/>
    <w:rsid w:val="000309D3"/>
    <w:rsid w:val="00030A7E"/>
    <w:rsid w:val="0003121C"/>
    <w:rsid w:val="00031AF7"/>
    <w:rsid w:val="00031B7D"/>
    <w:rsid w:val="00032274"/>
    <w:rsid w:val="00032723"/>
    <w:rsid w:val="00032908"/>
    <w:rsid w:val="00032DFF"/>
    <w:rsid w:val="00032FF0"/>
    <w:rsid w:val="000331A8"/>
    <w:rsid w:val="000332A6"/>
    <w:rsid w:val="000333A7"/>
    <w:rsid w:val="000334E6"/>
    <w:rsid w:val="000335E5"/>
    <w:rsid w:val="000337A0"/>
    <w:rsid w:val="00033B7E"/>
    <w:rsid w:val="00033BF6"/>
    <w:rsid w:val="00033DA5"/>
    <w:rsid w:val="00033E37"/>
    <w:rsid w:val="00033F45"/>
    <w:rsid w:val="0003418F"/>
    <w:rsid w:val="0003439C"/>
    <w:rsid w:val="000345A5"/>
    <w:rsid w:val="000347D9"/>
    <w:rsid w:val="0003493D"/>
    <w:rsid w:val="00034CBD"/>
    <w:rsid w:val="00034CF1"/>
    <w:rsid w:val="00035320"/>
    <w:rsid w:val="00035635"/>
    <w:rsid w:val="0003574A"/>
    <w:rsid w:val="00035A66"/>
    <w:rsid w:val="00035CAB"/>
    <w:rsid w:val="00035E50"/>
    <w:rsid w:val="00035F1E"/>
    <w:rsid w:val="00036080"/>
    <w:rsid w:val="000362AF"/>
    <w:rsid w:val="00036510"/>
    <w:rsid w:val="00036601"/>
    <w:rsid w:val="00036707"/>
    <w:rsid w:val="00036856"/>
    <w:rsid w:val="00036AFF"/>
    <w:rsid w:val="00036CD6"/>
    <w:rsid w:val="00036DD4"/>
    <w:rsid w:val="00036E3B"/>
    <w:rsid w:val="00036FBC"/>
    <w:rsid w:val="00036FCD"/>
    <w:rsid w:val="0003735B"/>
    <w:rsid w:val="0003748C"/>
    <w:rsid w:val="00037745"/>
    <w:rsid w:val="00037B28"/>
    <w:rsid w:val="00037FD3"/>
    <w:rsid w:val="00040002"/>
    <w:rsid w:val="00040231"/>
    <w:rsid w:val="00040523"/>
    <w:rsid w:val="00040947"/>
    <w:rsid w:val="00040B1C"/>
    <w:rsid w:val="00040B8E"/>
    <w:rsid w:val="00040BFB"/>
    <w:rsid w:val="00040FAC"/>
    <w:rsid w:val="00041288"/>
    <w:rsid w:val="000412BE"/>
    <w:rsid w:val="00041475"/>
    <w:rsid w:val="00041635"/>
    <w:rsid w:val="00041821"/>
    <w:rsid w:val="00041D96"/>
    <w:rsid w:val="0004221D"/>
    <w:rsid w:val="00042255"/>
    <w:rsid w:val="00042429"/>
    <w:rsid w:val="00042652"/>
    <w:rsid w:val="0004284F"/>
    <w:rsid w:val="000429A6"/>
    <w:rsid w:val="000433DB"/>
    <w:rsid w:val="0004340E"/>
    <w:rsid w:val="000435FD"/>
    <w:rsid w:val="00043633"/>
    <w:rsid w:val="0004376D"/>
    <w:rsid w:val="000443C7"/>
    <w:rsid w:val="0004459D"/>
    <w:rsid w:val="00044637"/>
    <w:rsid w:val="000446CC"/>
    <w:rsid w:val="0004492D"/>
    <w:rsid w:val="00044A76"/>
    <w:rsid w:val="00044B74"/>
    <w:rsid w:val="00044C7F"/>
    <w:rsid w:val="00044C86"/>
    <w:rsid w:val="00044CD7"/>
    <w:rsid w:val="00044D30"/>
    <w:rsid w:val="00044F1D"/>
    <w:rsid w:val="0004504B"/>
    <w:rsid w:val="000457D6"/>
    <w:rsid w:val="00046331"/>
    <w:rsid w:val="00046689"/>
    <w:rsid w:val="000467AE"/>
    <w:rsid w:val="00046868"/>
    <w:rsid w:val="000469E9"/>
    <w:rsid w:val="00046BD2"/>
    <w:rsid w:val="00046D4B"/>
    <w:rsid w:val="00046E40"/>
    <w:rsid w:val="00046F5A"/>
    <w:rsid w:val="00046FC8"/>
    <w:rsid w:val="00046FFA"/>
    <w:rsid w:val="0004745C"/>
    <w:rsid w:val="00047659"/>
    <w:rsid w:val="000479A2"/>
    <w:rsid w:val="00047A24"/>
    <w:rsid w:val="00047ABC"/>
    <w:rsid w:val="00047D09"/>
    <w:rsid w:val="00047E30"/>
    <w:rsid w:val="00050021"/>
    <w:rsid w:val="00050027"/>
    <w:rsid w:val="0005019C"/>
    <w:rsid w:val="000504DF"/>
    <w:rsid w:val="00050512"/>
    <w:rsid w:val="00050978"/>
    <w:rsid w:val="00050C70"/>
    <w:rsid w:val="000510A9"/>
    <w:rsid w:val="00051738"/>
    <w:rsid w:val="00051772"/>
    <w:rsid w:val="000518F3"/>
    <w:rsid w:val="00051A2E"/>
    <w:rsid w:val="00051B6C"/>
    <w:rsid w:val="00051CC3"/>
    <w:rsid w:val="00051CC7"/>
    <w:rsid w:val="00051FEF"/>
    <w:rsid w:val="00052500"/>
    <w:rsid w:val="00052561"/>
    <w:rsid w:val="00052B64"/>
    <w:rsid w:val="00052E7D"/>
    <w:rsid w:val="000530B7"/>
    <w:rsid w:val="000530B8"/>
    <w:rsid w:val="00053299"/>
    <w:rsid w:val="00053315"/>
    <w:rsid w:val="0005386F"/>
    <w:rsid w:val="00053980"/>
    <w:rsid w:val="00053B3E"/>
    <w:rsid w:val="00053DFD"/>
    <w:rsid w:val="00053FB7"/>
    <w:rsid w:val="000541E6"/>
    <w:rsid w:val="000543C7"/>
    <w:rsid w:val="00054463"/>
    <w:rsid w:val="00054DEB"/>
    <w:rsid w:val="00054E0F"/>
    <w:rsid w:val="00054FE9"/>
    <w:rsid w:val="0005509D"/>
    <w:rsid w:val="0005553D"/>
    <w:rsid w:val="000558EC"/>
    <w:rsid w:val="0005599F"/>
    <w:rsid w:val="00055F00"/>
    <w:rsid w:val="000561F5"/>
    <w:rsid w:val="00056606"/>
    <w:rsid w:val="000566E0"/>
    <w:rsid w:val="0005672B"/>
    <w:rsid w:val="00056AE3"/>
    <w:rsid w:val="00056B32"/>
    <w:rsid w:val="00056CE9"/>
    <w:rsid w:val="00056E01"/>
    <w:rsid w:val="0005715F"/>
    <w:rsid w:val="000574AE"/>
    <w:rsid w:val="0005759E"/>
    <w:rsid w:val="00057667"/>
    <w:rsid w:val="00057702"/>
    <w:rsid w:val="00057A00"/>
    <w:rsid w:val="00057C41"/>
    <w:rsid w:val="00057D94"/>
    <w:rsid w:val="00057E20"/>
    <w:rsid w:val="0006007E"/>
    <w:rsid w:val="000608E4"/>
    <w:rsid w:val="00060A20"/>
    <w:rsid w:val="00060DC8"/>
    <w:rsid w:val="000611F2"/>
    <w:rsid w:val="000612E3"/>
    <w:rsid w:val="000612F8"/>
    <w:rsid w:val="000614E4"/>
    <w:rsid w:val="0006163F"/>
    <w:rsid w:val="00061855"/>
    <w:rsid w:val="0006187F"/>
    <w:rsid w:val="000618C9"/>
    <w:rsid w:val="00061930"/>
    <w:rsid w:val="00061AD6"/>
    <w:rsid w:val="00061FF9"/>
    <w:rsid w:val="00062121"/>
    <w:rsid w:val="0006266C"/>
    <w:rsid w:val="00062711"/>
    <w:rsid w:val="00062A3B"/>
    <w:rsid w:val="00062AE4"/>
    <w:rsid w:val="00062E69"/>
    <w:rsid w:val="00062FDB"/>
    <w:rsid w:val="00063267"/>
    <w:rsid w:val="000633CE"/>
    <w:rsid w:val="00063516"/>
    <w:rsid w:val="00063798"/>
    <w:rsid w:val="00063821"/>
    <w:rsid w:val="000639E7"/>
    <w:rsid w:val="00063BBF"/>
    <w:rsid w:val="00063BE0"/>
    <w:rsid w:val="00063CC8"/>
    <w:rsid w:val="00063DAF"/>
    <w:rsid w:val="00063F5A"/>
    <w:rsid w:val="0006469C"/>
    <w:rsid w:val="0006486B"/>
    <w:rsid w:val="00064F4B"/>
    <w:rsid w:val="00065357"/>
    <w:rsid w:val="0006551B"/>
    <w:rsid w:val="000656B7"/>
    <w:rsid w:val="00065F07"/>
    <w:rsid w:val="0006628D"/>
    <w:rsid w:val="000662EA"/>
    <w:rsid w:val="000665C1"/>
    <w:rsid w:val="000665E8"/>
    <w:rsid w:val="000665FA"/>
    <w:rsid w:val="00066847"/>
    <w:rsid w:val="00066CB1"/>
    <w:rsid w:val="0006700D"/>
    <w:rsid w:val="000670C5"/>
    <w:rsid w:val="00067253"/>
    <w:rsid w:val="0006749C"/>
    <w:rsid w:val="00067DD9"/>
    <w:rsid w:val="00067F31"/>
    <w:rsid w:val="000705E0"/>
    <w:rsid w:val="000705F3"/>
    <w:rsid w:val="000706D7"/>
    <w:rsid w:val="000707AD"/>
    <w:rsid w:val="0007093D"/>
    <w:rsid w:val="00070996"/>
    <w:rsid w:val="00071197"/>
    <w:rsid w:val="0007140F"/>
    <w:rsid w:val="0007182B"/>
    <w:rsid w:val="00071935"/>
    <w:rsid w:val="00071A66"/>
    <w:rsid w:val="0007225A"/>
    <w:rsid w:val="00072472"/>
    <w:rsid w:val="00072641"/>
    <w:rsid w:val="0007274F"/>
    <w:rsid w:val="00072C6F"/>
    <w:rsid w:val="0007345E"/>
    <w:rsid w:val="00073D01"/>
    <w:rsid w:val="00073D07"/>
    <w:rsid w:val="00073E32"/>
    <w:rsid w:val="000741B3"/>
    <w:rsid w:val="0007458C"/>
    <w:rsid w:val="000747C3"/>
    <w:rsid w:val="00074830"/>
    <w:rsid w:val="0007485B"/>
    <w:rsid w:val="00074DB9"/>
    <w:rsid w:val="00074FBB"/>
    <w:rsid w:val="0007500D"/>
    <w:rsid w:val="0007506F"/>
    <w:rsid w:val="0007509F"/>
    <w:rsid w:val="000754B3"/>
    <w:rsid w:val="0007556E"/>
    <w:rsid w:val="000755C4"/>
    <w:rsid w:val="000757AE"/>
    <w:rsid w:val="00075E84"/>
    <w:rsid w:val="0007606D"/>
    <w:rsid w:val="00076082"/>
    <w:rsid w:val="00076283"/>
    <w:rsid w:val="0007637E"/>
    <w:rsid w:val="00076BCB"/>
    <w:rsid w:val="00076E08"/>
    <w:rsid w:val="00076E19"/>
    <w:rsid w:val="00076E8B"/>
    <w:rsid w:val="00076F1C"/>
    <w:rsid w:val="00077109"/>
    <w:rsid w:val="000776F4"/>
    <w:rsid w:val="000779D1"/>
    <w:rsid w:val="00077B32"/>
    <w:rsid w:val="00077BCC"/>
    <w:rsid w:val="00077CFA"/>
    <w:rsid w:val="00077D5F"/>
    <w:rsid w:val="00077D9E"/>
    <w:rsid w:val="00077E4A"/>
    <w:rsid w:val="00077F37"/>
    <w:rsid w:val="00080610"/>
    <w:rsid w:val="00081687"/>
    <w:rsid w:val="0008194E"/>
    <w:rsid w:val="00081AE2"/>
    <w:rsid w:val="00081DD2"/>
    <w:rsid w:val="00081E8D"/>
    <w:rsid w:val="00082030"/>
    <w:rsid w:val="00082086"/>
    <w:rsid w:val="000823E6"/>
    <w:rsid w:val="00082A58"/>
    <w:rsid w:val="00082C43"/>
    <w:rsid w:val="0008306D"/>
    <w:rsid w:val="000830CD"/>
    <w:rsid w:val="000830D1"/>
    <w:rsid w:val="00083392"/>
    <w:rsid w:val="0008358D"/>
    <w:rsid w:val="0008372A"/>
    <w:rsid w:val="00083868"/>
    <w:rsid w:val="00083A5F"/>
    <w:rsid w:val="00083B0A"/>
    <w:rsid w:val="00083CD3"/>
    <w:rsid w:val="00083E8A"/>
    <w:rsid w:val="000842FE"/>
    <w:rsid w:val="00084395"/>
    <w:rsid w:val="0008445B"/>
    <w:rsid w:val="0008468D"/>
    <w:rsid w:val="000846C2"/>
    <w:rsid w:val="000848ED"/>
    <w:rsid w:val="0008496B"/>
    <w:rsid w:val="00084BAE"/>
    <w:rsid w:val="00084D62"/>
    <w:rsid w:val="00084FA2"/>
    <w:rsid w:val="0008500A"/>
    <w:rsid w:val="00085183"/>
    <w:rsid w:val="0008570D"/>
    <w:rsid w:val="00085936"/>
    <w:rsid w:val="0008625F"/>
    <w:rsid w:val="000862E4"/>
    <w:rsid w:val="00086358"/>
    <w:rsid w:val="00086528"/>
    <w:rsid w:val="000865E7"/>
    <w:rsid w:val="00086826"/>
    <w:rsid w:val="00086CBF"/>
    <w:rsid w:val="00086EB6"/>
    <w:rsid w:val="000874B1"/>
    <w:rsid w:val="00087653"/>
    <w:rsid w:val="000878B5"/>
    <w:rsid w:val="00087A99"/>
    <w:rsid w:val="000902B6"/>
    <w:rsid w:val="0009032A"/>
    <w:rsid w:val="0009037F"/>
    <w:rsid w:val="0009084A"/>
    <w:rsid w:val="00090945"/>
    <w:rsid w:val="00090A30"/>
    <w:rsid w:val="00090C17"/>
    <w:rsid w:val="00090C46"/>
    <w:rsid w:val="00090C7D"/>
    <w:rsid w:val="00090DC6"/>
    <w:rsid w:val="00090DEF"/>
    <w:rsid w:val="00090F43"/>
    <w:rsid w:val="0009102F"/>
    <w:rsid w:val="000914FA"/>
    <w:rsid w:val="0009154B"/>
    <w:rsid w:val="00091937"/>
    <w:rsid w:val="00091A48"/>
    <w:rsid w:val="00091B19"/>
    <w:rsid w:val="00091B48"/>
    <w:rsid w:val="00091BC0"/>
    <w:rsid w:val="00091CBC"/>
    <w:rsid w:val="00091E0A"/>
    <w:rsid w:val="00091E89"/>
    <w:rsid w:val="000928E5"/>
    <w:rsid w:val="0009292D"/>
    <w:rsid w:val="00092ED2"/>
    <w:rsid w:val="00092EF3"/>
    <w:rsid w:val="00093309"/>
    <w:rsid w:val="0009360F"/>
    <w:rsid w:val="0009373B"/>
    <w:rsid w:val="0009376F"/>
    <w:rsid w:val="00093A5D"/>
    <w:rsid w:val="00093A70"/>
    <w:rsid w:val="00093C47"/>
    <w:rsid w:val="00093D85"/>
    <w:rsid w:val="00093E9F"/>
    <w:rsid w:val="000941F2"/>
    <w:rsid w:val="0009431A"/>
    <w:rsid w:val="00094562"/>
    <w:rsid w:val="0009478B"/>
    <w:rsid w:val="00094B8C"/>
    <w:rsid w:val="00094DCA"/>
    <w:rsid w:val="00095403"/>
    <w:rsid w:val="00095445"/>
    <w:rsid w:val="000955BC"/>
    <w:rsid w:val="00095E96"/>
    <w:rsid w:val="000961F6"/>
    <w:rsid w:val="000962E2"/>
    <w:rsid w:val="00096570"/>
    <w:rsid w:val="000966B8"/>
    <w:rsid w:val="00096826"/>
    <w:rsid w:val="000968AE"/>
    <w:rsid w:val="00096A74"/>
    <w:rsid w:val="00096F34"/>
    <w:rsid w:val="0009726F"/>
    <w:rsid w:val="000972CB"/>
    <w:rsid w:val="0009750D"/>
    <w:rsid w:val="00097724"/>
    <w:rsid w:val="000977A0"/>
    <w:rsid w:val="00097BCC"/>
    <w:rsid w:val="00097D3A"/>
    <w:rsid w:val="000A09B9"/>
    <w:rsid w:val="000A09C9"/>
    <w:rsid w:val="000A09F5"/>
    <w:rsid w:val="000A09F9"/>
    <w:rsid w:val="000A0EF2"/>
    <w:rsid w:val="000A11A6"/>
    <w:rsid w:val="000A1292"/>
    <w:rsid w:val="000A1677"/>
    <w:rsid w:val="000A1892"/>
    <w:rsid w:val="000A1E70"/>
    <w:rsid w:val="000A2063"/>
    <w:rsid w:val="000A20BD"/>
    <w:rsid w:val="000A2189"/>
    <w:rsid w:val="000A2340"/>
    <w:rsid w:val="000A2492"/>
    <w:rsid w:val="000A25D3"/>
    <w:rsid w:val="000A270B"/>
    <w:rsid w:val="000A2773"/>
    <w:rsid w:val="000A2D76"/>
    <w:rsid w:val="000A333B"/>
    <w:rsid w:val="000A34A4"/>
    <w:rsid w:val="000A396E"/>
    <w:rsid w:val="000A3CAC"/>
    <w:rsid w:val="000A3F48"/>
    <w:rsid w:val="000A4073"/>
    <w:rsid w:val="000A41AC"/>
    <w:rsid w:val="000A4463"/>
    <w:rsid w:val="000A4517"/>
    <w:rsid w:val="000A491C"/>
    <w:rsid w:val="000A49BC"/>
    <w:rsid w:val="000A4B18"/>
    <w:rsid w:val="000A4C69"/>
    <w:rsid w:val="000A5169"/>
    <w:rsid w:val="000A5185"/>
    <w:rsid w:val="000A5274"/>
    <w:rsid w:val="000A5578"/>
    <w:rsid w:val="000A55E8"/>
    <w:rsid w:val="000A567C"/>
    <w:rsid w:val="000A5A67"/>
    <w:rsid w:val="000A63C3"/>
    <w:rsid w:val="000A659B"/>
    <w:rsid w:val="000A67E4"/>
    <w:rsid w:val="000A68E8"/>
    <w:rsid w:val="000A6C17"/>
    <w:rsid w:val="000A6C45"/>
    <w:rsid w:val="000A6D93"/>
    <w:rsid w:val="000A6EE1"/>
    <w:rsid w:val="000A7417"/>
    <w:rsid w:val="000A759D"/>
    <w:rsid w:val="000A75B1"/>
    <w:rsid w:val="000A75DA"/>
    <w:rsid w:val="000A77EF"/>
    <w:rsid w:val="000A7AED"/>
    <w:rsid w:val="000A7B95"/>
    <w:rsid w:val="000A7BC9"/>
    <w:rsid w:val="000A7D66"/>
    <w:rsid w:val="000A7EAE"/>
    <w:rsid w:val="000A7FD9"/>
    <w:rsid w:val="000B0776"/>
    <w:rsid w:val="000B089D"/>
    <w:rsid w:val="000B08CF"/>
    <w:rsid w:val="000B092E"/>
    <w:rsid w:val="000B0A42"/>
    <w:rsid w:val="000B0A4C"/>
    <w:rsid w:val="000B0DEB"/>
    <w:rsid w:val="000B140B"/>
    <w:rsid w:val="000B1A99"/>
    <w:rsid w:val="000B1B5F"/>
    <w:rsid w:val="000B24CB"/>
    <w:rsid w:val="000B25BF"/>
    <w:rsid w:val="000B28E5"/>
    <w:rsid w:val="000B2B24"/>
    <w:rsid w:val="000B2BD3"/>
    <w:rsid w:val="000B2D3E"/>
    <w:rsid w:val="000B2ECE"/>
    <w:rsid w:val="000B2F58"/>
    <w:rsid w:val="000B3084"/>
    <w:rsid w:val="000B3386"/>
    <w:rsid w:val="000B3A6D"/>
    <w:rsid w:val="000B3FEF"/>
    <w:rsid w:val="000B405A"/>
    <w:rsid w:val="000B4870"/>
    <w:rsid w:val="000B4886"/>
    <w:rsid w:val="000B491D"/>
    <w:rsid w:val="000B4C20"/>
    <w:rsid w:val="000B53B8"/>
    <w:rsid w:val="000B53DC"/>
    <w:rsid w:val="000B5438"/>
    <w:rsid w:val="000B54F3"/>
    <w:rsid w:val="000B54FD"/>
    <w:rsid w:val="000B5507"/>
    <w:rsid w:val="000B55DF"/>
    <w:rsid w:val="000B57DC"/>
    <w:rsid w:val="000B57E0"/>
    <w:rsid w:val="000B598F"/>
    <w:rsid w:val="000B5C18"/>
    <w:rsid w:val="000B5C95"/>
    <w:rsid w:val="000B5EA1"/>
    <w:rsid w:val="000B618B"/>
    <w:rsid w:val="000B624F"/>
    <w:rsid w:val="000B6E7E"/>
    <w:rsid w:val="000B719A"/>
    <w:rsid w:val="000B722F"/>
    <w:rsid w:val="000B7376"/>
    <w:rsid w:val="000B782D"/>
    <w:rsid w:val="000B798F"/>
    <w:rsid w:val="000B7E1E"/>
    <w:rsid w:val="000C0154"/>
    <w:rsid w:val="000C0174"/>
    <w:rsid w:val="000C06D6"/>
    <w:rsid w:val="000C085B"/>
    <w:rsid w:val="000C088D"/>
    <w:rsid w:val="000C0F62"/>
    <w:rsid w:val="000C0FFA"/>
    <w:rsid w:val="000C1217"/>
    <w:rsid w:val="000C12D6"/>
    <w:rsid w:val="000C1610"/>
    <w:rsid w:val="000C1893"/>
    <w:rsid w:val="000C1E69"/>
    <w:rsid w:val="000C2079"/>
    <w:rsid w:val="000C242A"/>
    <w:rsid w:val="000C25DA"/>
    <w:rsid w:val="000C2841"/>
    <w:rsid w:val="000C2FB6"/>
    <w:rsid w:val="000C3169"/>
    <w:rsid w:val="000C34A8"/>
    <w:rsid w:val="000C38FE"/>
    <w:rsid w:val="000C3A15"/>
    <w:rsid w:val="000C3B1E"/>
    <w:rsid w:val="000C40E6"/>
    <w:rsid w:val="000C4272"/>
    <w:rsid w:val="000C4900"/>
    <w:rsid w:val="000C52B6"/>
    <w:rsid w:val="000C57EC"/>
    <w:rsid w:val="000C58E6"/>
    <w:rsid w:val="000C591C"/>
    <w:rsid w:val="000C5C8E"/>
    <w:rsid w:val="000C5FDE"/>
    <w:rsid w:val="000C608A"/>
    <w:rsid w:val="000C66B1"/>
    <w:rsid w:val="000C6975"/>
    <w:rsid w:val="000C6AFA"/>
    <w:rsid w:val="000C6BC3"/>
    <w:rsid w:val="000C6C14"/>
    <w:rsid w:val="000C6D2A"/>
    <w:rsid w:val="000C7216"/>
    <w:rsid w:val="000C7811"/>
    <w:rsid w:val="000C786D"/>
    <w:rsid w:val="000C7C44"/>
    <w:rsid w:val="000D0160"/>
    <w:rsid w:val="000D025F"/>
    <w:rsid w:val="000D0335"/>
    <w:rsid w:val="000D04CC"/>
    <w:rsid w:val="000D09BB"/>
    <w:rsid w:val="000D09EE"/>
    <w:rsid w:val="000D0B0A"/>
    <w:rsid w:val="000D0B2F"/>
    <w:rsid w:val="000D0F01"/>
    <w:rsid w:val="000D1922"/>
    <w:rsid w:val="000D1C6F"/>
    <w:rsid w:val="000D1E90"/>
    <w:rsid w:val="000D20EB"/>
    <w:rsid w:val="000D2190"/>
    <w:rsid w:val="000D22BD"/>
    <w:rsid w:val="000D253E"/>
    <w:rsid w:val="000D2994"/>
    <w:rsid w:val="000D2AA9"/>
    <w:rsid w:val="000D2C98"/>
    <w:rsid w:val="000D3065"/>
    <w:rsid w:val="000D34CF"/>
    <w:rsid w:val="000D39B9"/>
    <w:rsid w:val="000D3A20"/>
    <w:rsid w:val="000D3B0A"/>
    <w:rsid w:val="000D3D53"/>
    <w:rsid w:val="000D4225"/>
    <w:rsid w:val="000D4547"/>
    <w:rsid w:val="000D4680"/>
    <w:rsid w:val="000D471B"/>
    <w:rsid w:val="000D47FE"/>
    <w:rsid w:val="000D48A7"/>
    <w:rsid w:val="000D4CC2"/>
    <w:rsid w:val="000D4D5A"/>
    <w:rsid w:val="000D4D89"/>
    <w:rsid w:val="000D51D3"/>
    <w:rsid w:val="000D5376"/>
    <w:rsid w:val="000D53D2"/>
    <w:rsid w:val="000D54F9"/>
    <w:rsid w:val="000D584C"/>
    <w:rsid w:val="000D5B88"/>
    <w:rsid w:val="000D5D5D"/>
    <w:rsid w:val="000D6043"/>
    <w:rsid w:val="000D64B4"/>
    <w:rsid w:val="000D65B1"/>
    <w:rsid w:val="000D6B4B"/>
    <w:rsid w:val="000D7014"/>
    <w:rsid w:val="000D7686"/>
    <w:rsid w:val="000D7CE7"/>
    <w:rsid w:val="000D7DAD"/>
    <w:rsid w:val="000D7E5F"/>
    <w:rsid w:val="000E051E"/>
    <w:rsid w:val="000E05F5"/>
    <w:rsid w:val="000E0803"/>
    <w:rsid w:val="000E0FC9"/>
    <w:rsid w:val="000E124B"/>
    <w:rsid w:val="000E1444"/>
    <w:rsid w:val="000E1732"/>
    <w:rsid w:val="000E173A"/>
    <w:rsid w:val="000E1854"/>
    <w:rsid w:val="000E1E91"/>
    <w:rsid w:val="000E1F92"/>
    <w:rsid w:val="000E212C"/>
    <w:rsid w:val="000E25F5"/>
    <w:rsid w:val="000E2683"/>
    <w:rsid w:val="000E2955"/>
    <w:rsid w:val="000E2D36"/>
    <w:rsid w:val="000E2ED6"/>
    <w:rsid w:val="000E2F89"/>
    <w:rsid w:val="000E359E"/>
    <w:rsid w:val="000E36F0"/>
    <w:rsid w:val="000E3B96"/>
    <w:rsid w:val="000E3FEB"/>
    <w:rsid w:val="000E426A"/>
    <w:rsid w:val="000E42A9"/>
    <w:rsid w:val="000E443F"/>
    <w:rsid w:val="000E44EE"/>
    <w:rsid w:val="000E4936"/>
    <w:rsid w:val="000E4B23"/>
    <w:rsid w:val="000E4C27"/>
    <w:rsid w:val="000E4C65"/>
    <w:rsid w:val="000E4DAD"/>
    <w:rsid w:val="000E4E1E"/>
    <w:rsid w:val="000E53CC"/>
    <w:rsid w:val="000E5419"/>
    <w:rsid w:val="000E54A1"/>
    <w:rsid w:val="000E56E4"/>
    <w:rsid w:val="000E590E"/>
    <w:rsid w:val="000E5AD4"/>
    <w:rsid w:val="000E5AED"/>
    <w:rsid w:val="000E5B29"/>
    <w:rsid w:val="000E5B77"/>
    <w:rsid w:val="000E5CB6"/>
    <w:rsid w:val="000E6044"/>
    <w:rsid w:val="000E63E4"/>
    <w:rsid w:val="000E66DF"/>
    <w:rsid w:val="000E676C"/>
    <w:rsid w:val="000E687E"/>
    <w:rsid w:val="000E6974"/>
    <w:rsid w:val="000E69C8"/>
    <w:rsid w:val="000E6B5F"/>
    <w:rsid w:val="000E7135"/>
    <w:rsid w:val="000E71D6"/>
    <w:rsid w:val="000E7293"/>
    <w:rsid w:val="000E7381"/>
    <w:rsid w:val="000E765F"/>
    <w:rsid w:val="000E76DE"/>
    <w:rsid w:val="000E7D6A"/>
    <w:rsid w:val="000F0137"/>
    <w:rsid w:val="000F0DFF"/>
    <w:rsid w:val="000F0E6B"/>
    <w:rsid w:val="000F1119"/>
    <w:rsid w:val="000F1186"/>
    <w:rsid w:val="000F1377"/>
    <w:rsid w:val="000F14CB"/>
    <w:rsid w:val="000F165B"/>
    <w:rsid w:val="000F1664"/>
    <w:rsid w:val="000F1948"/>
    <w:rsid w:val="000F19C6"/>
    <w:rsid w:val="000F1F08"/>
    <w:rsid w:val="000F22DC"/>
    <w:rsid w:val="000F26BF"/>
    <w:rsid w:val="000F2788"/>
    <w:rsid w:val="000F279D"/>
    <w:rsid w:val="000F2A4A"/>
    <w:rsid w:val="000F2CDF"/>
    <w:rsid w:val="000F2CEC"/>
    <w:rsid w:val="000F2E5D"/>
    <w:rsid w:val="000F3144"/>
    <w:rsid w:val="000F31BD"/>
    <w:rsid w:val="000F34B2"/>
    <w:rsid w:val="000F367B"/>
    <w:rsid w:val="000F36DB"/>
    <w:rsid w:val="000F3A6F"/>
    <w:rsid w:val="000F3BB0"/>
    <w:rsid w:val="000F3DD3"/>
    <w:rsid w:val="000F4111"/>
    <w:rsid w:val="000F4281"/>
    <w:rsid w:val="000F4983"/>
    <w:rsid w:val="000F4CAE"/>
    <w:rsid w:val="000F4D4C"/>
    <w:rsid w:val="000F4E27"/>
    <w:rsid w:val="000F4FF7"/>
    <w:rsid w:val="000F508E"/>
    <w:rsid w:val="000F5221"/>
    <w:rsid w:val="000F52BF"/>
    <w:rsid w:val="000F573A"/>
    <w:rsid w:val="000F598F"/>
    <w:rsid w:val="000F5F82"/>
    <w:rsid w:val="000F5FB0"/>
    <w:rsid w:val="000F65F1"/>
    <w:rsid w:val="000F6945"/>
    <w:rsid w:val="000F6AB5"/>
    <w:rsid w:val="000F6FD4"/>
    <w:rsid w:val="000F7A21"/>
    <w:rsid w:val="000F7A9E"/>
    <w:rsid w:val="000F7C67"/>
    <w:rsid w:val="000F7D8B"/>
    <w:rsid w:val="000F7E43"/>
    <w:rsid w:val="000F7E65"/>
    <w:rsid w:val="000F7ECA"/>
    <w:rsid w:val="000F7FE1"/>
    <w:rsid w:val="001000A0"/>
    <w:rsid w:val="001007B7"/>
    <w:rsid w:val="001009B1"/>
    <w:rsid w:val="0010101D"/>
    <w:rsid w:val="001012D6"/>
    <w:rsid w:val="001016CF"/>
    <w:rsid w:val="00101C64"/>
    <w:rsid w:val="00101F67"/>
    <w:rsid w:val="0010205F"/>
    <w:rsid w:val="001022B2"/>
    <w:rsid w:val="001022DB"/>
    <w:rsid w:val="00102966"/>
    <w:rsid w:val="00102985"/>
    <w:rsid w:val="0010298C"/>
    <w:rsid w:val="00102B03"/>
    <w:rsid w:val="00102BEF"/>
    <w:rsid w:val="00102FA8"/>
    <w:rsid w:val="0010303F"/>
    <w:rsid w:val="001030DF"/>
    <w:rsid w:val="0010317E"/>
    <w:rsid w:val="00103317"/>
    <w:rsid w:val="00103711"/>
    <w:rsid w:val="00103C3C"/>
    <w:rsid w:val="00104608"/>
    <w:rsid w:val="0010460D"/>
    <w:rsid w:val="00104993"/>
    <w:rsid w:val="00104A72"/>
    <w:rsid w:val="00104C8D"/>
    <w:rsid w:val="00104CE1"/>
    <w:rsid w:val="00104D96"/>
    <w:rsid w:val="00105007"/>
    <w:rsid w:val="001051D4"/>
    <w:rsid w:val="001051EE"/>
    <w:rsid w:val="001052CA"/>
    <w:rsid w:val="00105632"/>
    <w:rsid w:val="00105734"/>
    <w:rsid w:val="00105A87"/>
    <w:rsid w:val="00105CFB"/>
    <w:rsid w:val="00105D4B"/>
    <w:rsid w:val="00105FD6"/>
    <w:rsid w:val="00106446"/>
    <w:rsid w:val="00106608"/>
    <w:rsid w:val="00107186"/>
    <w:rsid w:val="00107395"/>
    <w:rsid w:val="00107558"/>
    <w:rsid w:val="00107593"/>
    <w:rsid w:val="00107CF3"/>
    <w:rsid w:val="00107EF7"/>
    <w:rsid w:val="0011038C"/>
    <w:rsid w:val="0011045E"/>
    <w:rsid w:val="00110F68"/>
    <w:rsid w:val="0011108B"/>
    <w:rsid w:val="0011130A"/>
    <w:rsid w:val="001113A2"/>
    <w:rsid w:val="0011152C"/>
    <w:rsid w:val="00111644"/>
    <w:rsid w:val="0011179F"/>
    <w:rsid w:val="001117BF"/>
    <w:rsid w:val="00111B33"/>
    <w:rsid w:val="00111C71"/>
    <w:rsid w:val="00112285"/>
    <w:rsid w:val="00112304"/>
    <w:rsid w:val="00112325"/>
    <w:rsid w:val="00112473"/>
    <w:rsid w:val="001126C0"/>
    <w:rsid w:val="0011275C"/>
    <w:rsid w:val="0011276D"/>
    <w:rsid w:val="00112823"/>
    <w:rsid w:val="0011286F"/>
    <w:rsid w:val="00112887"/>
    <w:rsid w:val="001129A3"/>
    <w:rsid w:val="00112A0D"/>
    <w:rsid w:val="0011333E"/>
    <w:rsid w:val="00113815"/>
    <w:rsid w:val="001141A7"/>
    <w:rsid w:val="00114352"/>
    <w:rsid w:val="00114613"/>
    <w:rsid w:val="0011463B"/>
    <w:rsid w:val="001147C4"/>
    <w:rsid w:val="001149B2"/>
    <w:rsid w:val="00114E0A"/>
    <w:rsid w:val="00115708"/>
    <w:rsid w:val="00115E74"/>
    <w:rsid w:val="00115F98"/>
    <w:rsid w:val="00116003"/>
    <w:rsid w:val="00116156"/>
    <w:rsid w:val="0011643E"/>
    <w:rsid w:val="00116454"/>
    <w:rsid w:val="001165A9"/>
    <w:rsid w:val="00116896"/>
    <w:rsid w:val="00116A99"/>
    <w:rsid w:val="00116CD1"/>
    <w:rsid w:val="00117228"/>
    <w:rsid w:val="001172BE"/>
    <w:rsid w:val="0011750F"/>
    <w:rsid w:val="00117B28"/>
    <w:rsid w:val="00117BF9"/>
    <w:rsid w:val="00117C7A"/>
    <w:rsid w:val="00120133"/>
    <w:rsid w:val="001201A1"/>
    <w:rsid w:val="001201D6"/>
    <w:rsid w:val="001202D9"/>
    <w:rsid w:val="0012048B"/>
    <w:rsid w:val="00120B9B"/>
    <w:rsid w:val="00120BA4"/>
    <w:rsid w:val="00120BA6"/>
    <w:rsid w:val="00120C0D"/>
    <w:rsid w:val="00120D3A"/>
    <w:rsid w:val="001210B5"/>
    <w:rsid w:val="001210DC"/>
    <w:rsid w:val="0012115E"/>
    <w:rsid w:val="0012117B"/>
    <w:rsid w:val="00121301"/>
    <w:rsid w:val="0012130D"/>
    <w:rsid w:val="0012151A"/>
    <w:rsid w:val="00121608"/>
    <w:rsid w:val="0012181A"/>
    <w:rsid w:val="00121B93"/>
    <w:rsid w:val="00121D09"/>
    <w:rsid w:val="00122180"/>
    <w:rsid w:val="0012239E"/>
    <w:rsid w:val="00122473"/>
    <w:rsid w:val="0012261E"/>
    <w:rsid w:val="00122726"/>
    <w:rsid w:val="001229DF"/>
    <w:rsid w:val="00122A8D"/>
    <w:rsid w:val="00122E3E"/>
    <w:rsid w:val="00122F2A"/>
    <w:rsid w:val="001230E3"/>
    <w:rsid w:val="0012310E"/>
    <w:rsid w:val="001231EB"/>
    <w:rsid w:val="00123289"/>
    <w:rsid w:val="00123491"/>
    <w:rsid w:val="00123515"/>
    <w:rsid w:val="001236B3"/>
    <w:rsid w:val="001237F1"/>
    <w:rsid w:val="00123C5C"/>
    <w:rsid w:val="00123D75"/>
    <w:rsid w:val="00123EB6"/>
    <w:rsid w:val="00124027"/>
    <w:rsid w:val="00124385"/>
    <w:rsid w:val="00124389"/>
    <w:rsid w:val="0012449A"/>
    <w:rsid w:val="001245E1"/>
    <w:rsid w:val="001246C0"/>
    <w:rsid w:val="001246E1"/>
    <w:rsid w:val="001248EB"/>
    <w:rsid w:val="00124BED"/>
    <w:rsid w:val="00124E09"/>
    <w:rsid w:val="00124EEC"/>
    <w:rsid w:val="0012528E"/>
    <w:rsid w:val="001252BE"/>
    <w:rsid w:val="001255B2"/>
    <w:rsid w:val="001255F4"/>
    <w:rsid w:val="0012597C"/>
    <w:rsid w:val="00125B1F"/>
    <w:rsid w:val="00125D8F"/>
    <w:rsid w:val="00125EE7"/>
    <w:rsid w:val="00126171"/>
    <w:rsid w:val="00126211"/>
    <w:rsid w:val="0012649A"/>
    <w:rsid w:val="001264FC"/>
    <w:rsid w:val="001265DC"/>
    <w:rsid w:val="00126907"/>
    <w:rsid w:val="00126A7A"/>
    <w:rsid w:val="00126C16"/>
    <w:rsid w:val="00126C30"/>
    <w:rsid w:val="00126F56"/>
    <w:rsid w:val="00126F8B"/>
    <w:rsid w:val="00126FD0"/>
    <w:rsid w:val="00127270"/>
    <w:rsid w:val="0013003E"/>
    <w:rsid w:val="001304B0"/>
    <w:rsid w:val="001304CA"/>
    <w:rsid w:val="00130680"/>
    <w:rsid w:val="00130888"/>
    <w:rsid w:val="00130A58"/>
    <w:rsid w:val="00131002"/>
    <w:rsid w:val="00131415"/>
    <w:rsid w:val="001314F2"/>
    <w:rsid w:val="001318BF"/>
    <w:rsid w:val="00131EBD"/>
    <w:rsid w:val="00131EDE"/>
    <w:rsid w:val="001320BC"/>
    <w:rsid w:val="0013228D"/>
    <w:rsid w:val="0013246E"/>
    <w:rsid w:val="00132915"/>
    <w:rsid w:val="00132925"/>
    <w:rsid w:val="00132F23"/>
    <w:rsid w:val="00133247"/>
    <w:rsid w:val="00133277"/>
    <w:rsid w:val="001332B9"/>
    <w:rsid w:val="001332E7"/>
    <w:rsid w:val="001333D0"/>
    <w:rsid w:val="001334B8"/>
    <w:rsid w:val="001335B8"/>
    <w:rsid w:val="001336A7"/>
    <w:rsid w:val="001337A0"/>
    <w:rsid w:val="00133887"/>
    <w:rsid w:val="00133C1E"/>
    <w:rsid w:val="00133C20"/>
    <w:rsid w:val="00133CDE"/>
    <w:rsid w:val="00133F1C"/>
    <w:rsid w:val="001340F7"/>
    <w:rsid w:val="00134254"/>
    <w:rsid w:val="001342F6"/>
    <w:rsid w:val="001343E3"/>
    <w:rsid w:val="0013449F"/>
    <w:rsid w:val="0013469C"/>
    <w:rsid w:val="00134872"/>
    <w:rsid w:val="00134F94"/>
    <w:rsid w:val="001352C5"/>
    <w:rsid w:val="00135413"/>
    <w:rsid w:val="00135494"/>
    <w:rsid w:val="001356BB"/>
    <w:rsid w:val="00135713"/>
    <w:rsid w:val="00135865"/>
    <w:rsid w:val="001358B6"/>
    <w:rsid w:val="00135AEF"/>
    <w:rsid w:val="00135B18"/>
    <w:rsid w:val="001360F8"/>
    <w:rsid w:val="001366D4"/>
    <w:rsid w:val="00136A7B"/>
    <w:rsid w:val="00136B5A"/>
    <w:rsid w:val="00136DD9"/>
    <w:rsid w:val="0013767C"/>
    <w:rsid w:val="001377D4"/>
    <w:rsid w:val="001378F0"/>
    <w:rsid w:val="0013791F"/>
    <w:rsid w:val="00137998"/>
    <w:rsid w:val="00137F37"/>
    <w:rsid w:val="00140382"/>
    <w:rsid w:val="001404D7"/>
    <w:rsid w:val="0014051F"/>
    <w:rsid w:val="00140668"/>
    <w:rsid w:val="00140AD1"/>
    <w:rsid w:val="00140B89"/>
    <w:rsid w:val="00140C3B"/>
    <w:rsid w:val="00140CEF"/>
    <w:rsid w:val="00140E6E"/>
    <w:rsid w:val="0014114F"/>
    <w:rsid w:val="00141168"/>
    <w:rsid w:val="00141577"/>
    <w:rsid w:val="0014165A"/>
    <w:rsid w:val="00141795"/>
    <w:rsid w:val="00141CE3"/>
    <w:rsid w:val="00141DAC"/>
    <w:rsid w:val="00141E75"/>
    <w:rsid w:val="00141F35"/>
    <w:rsid w:val="00142877"/>
    <w:rsid w:val="001429FE"/>
    <w:rsid w:val="00142ACF"/>
    <w:rsid w:val="00142AE5"/>
    <w:rsid w:val="00142CC1"/>
    <w:rsid w:val="00142EEA"/>
    <w:rsid w:val="00143135"/>
    <w:rsid w:val="0014352C"/>
    <w:rsid w:val="0014354D"/>
    <w:rsid w:val="00143799"/>
    <w:rsid w:val="001438D3"/>
    <w:rsid w:val="00143AB5"/>
    <w:rsid w:val="0014406D"/>
    <w:rsid w:val="001444D6"/>
    <w:rsid w:val="001446CA"/>
    <w:rsid w:val="00144B83"/>
    <w:rsid w:val="00144CEA"/>
    <w:rsid w:val="0014503E"/>
    <w:rsid w:val="001451AC"/>
    <w:rsid w:val="001451FA"/>
    <w:rsid w:val="00145416"/>
    <w:rsid w:val="00145491"/>
    <w:rsid w:val="00145ADD"/>
    <w:rsid w:val="00145FAB"/>
    <w:rsid w:val="00146136"/>
    <w:rsid w:val="001466CD"/>
    <w:rsid w:val="00146D5D"/>
    <w:rsid w:val="00146FA9"/>
    <w:rsid w:val="0014710A"/>
    <w:rsid w:val="00147317"/>
    <w:rsid w:val="001475D5"/>
    <w:rsid w:val="00147959"/>
    <w:rsid w:val="00147D3B"/>
    <w:rsid w:val="00150127"/>
    <w:rsid w:val="00150277"/>
    <w:rsid w:val="00150317"/>
    <w:rsid w:val="00150409"/>
    <w:rsid w:val="001506FD"/>
    <w:rsid w:val="00150CAD"/>
    <w:rsid w:val="00151450"/>
    <w:rsid w:val="001516EB"/>
    <w:rsid w:val="0015176D"/>
    <w:rsid w:val="00151A81"/>
    <w:rsid w:val="00151B27"/>
    <w:rsid w:val="00151F98"/>
    <w:rsid w:val="001522FA"/>
    <w:rsid w:val="001523B6"/>
    <w:rsid w:val="001529E1"/>
    <w:rsid w:val="00152A38"/>
    <w:rsid w:val="00152C74"/>
    <w:rsid w:val="0015300C"/>
    <w:rsid w:val="00153081"/>
    <w:rsid w:val="001531A3"/>
    <w:rsid w:val="0015356F"/>
    <w:rsid w:val="00153763"/>
    <w:rsid w:val="001538E4"/>
    <w:rsid w:val="00153B43"/>
    <w:rsid w:val="00153BAD"/>
    <w:rsid w:val="00153DC5"/>
    <w:rsid w:val="00153E32"/>
    <w:rsid w:val="0015405B"/>
    <w:rsid w:val="0015426C"/>
    <w:rsid w:val="00154394"/>
    <w:rsid w:val="00154744"/>
    <w:rsid w:val="0015475A"/>
    <w:rsid w:val="0015488C"/>
    <w:rsid w:val="00154ED8"/>
    <w:rsid w:val="001550A0"/>
    <w:rsid w:val="0015517B"/>
    <w:rsid w:val="00155513"/>
    <w:rsid w:val="0015587F"/>
    <w:rsid w:val="00155AC0"/>
    <w:rsid w:val="00155ED2"/>
    <w:rsid w:val="00155FFA"/>
    <w:rsid w:val="001563FE"/>
    <w:rsid w:val="00156459"/>
    <w:rsid w:val="001564F5"/>
    <w:rsid w:val="0015697C"/>
    <w:rsid w:val="00156A2B"/>
    <w:rsid w:val="00157131"/>
    <w:rsid w:val="001572FF"/>
    <w:rsid w:val="00157763"/>
    <w:rsid w:val="001577DD"/>
    <w:rsid w:val="00157C65"/>
    <w:rsid w:val="0016049B"/>
    <w:rsid w:val="00160577"/>
    <w:rsid w:val="00160F48"/>
    <w:rsid w:val="001615DC"/>
    <w:rsid w:val="00161673"/>
    <w:rsid w:val="0016188E"/>
    <w:rsid w:val="001619A0"/>
    <w:rsid w:val="001622D1"/>
    <w:rsid w:val="00162394"/>
    <w:rsid w:val="001624DD"/>
    <w:rsid w:val="0016264D"/>
    <w:rsid w:val="00162974"/>
    <w:rsid w:val="00162C45"/>
    <w:rsid w:val="00162D5B"/>
    <w:rsid w:val="00162E85"/>
    <w:rsid w:val="00162EBB"/>
    <w:rsid w:val="00162F96"/>
    <w:rsid w:val="00163382"/>
    <w:rsid w:val="00164155"/>
    <w:rsid w:val="00164241"/>
    <w:rsid w:val="00164582"/>
    <w:rsid w:val="00164967"/>
    <w:rsid w:val="00164F39"/>
    <w:rsid w:val="0016507E"/>
    <w:rsid w:val="00165278"/>
    <w:rsid w:val="0016543A"/>
    <w:rsid w:val="001654F9"/>
    <w:rsid w:val="001657E3"/>
    <w:rsid w:val="00165CCB"/>
    <w:rsid w:val="00165E2B"/>
    <w:rsid w:val="00165F46"/>
    <w:rsid w:val="00166041"/>
    <w:rsid w:val="001664DE"/>
    <w:rsid w:val="00166639"/>
    <w:rsid w:val="0016696D"/>
    <w:rsid w:val="00166A8A"/>
    <w:rsid w:val="00166E2E"/>
    <w:rsid w:val="00166FD2"/>
    <w:rsid w:val="00167143"/>
    <w:rsid w:val="0016759F"/>
    <w:rsid w:val="00167852"/>
    <w:rsid w:val="00167892"/>
    <w:rsid w:val="001678F2"/>
    <w:rsid w:val="00167C26"/>
    <w:rsid w:val="00167C47"/>
    <w:rsid w:val="00167F58"/>
    <w:rsid w:val="001701D6"/>
    <w:rsid w:val="001702E2"/>
    <w:rsid w:val="001704CB"/>
    <w:rsid w:val="00170519"/>
    <w:rsid w:val="00170739"/>
    <w:rsid w:val="0017074A"/>
    <w:rsid w:val="00170765"/>
    <w:rsid w:val="00170A04"/>
    <w:rsid w:val="00170B2C"/>
    <w:rsid w:val="00170DA3"/>
    <w:rsid w:val="001710B0"/>
    <w:rsid w:val="001713FA"/>
    <w:rsid w:val="00171B5C"/>
    <w:rsid w:val="00172039"/>
    <w:rsid w:val="001720AE"/>
    <w:rsid w:val="001720B9"/>
    <w:rsid w:val="00172440"/>
    <w:rsid w:val="00172552"/>
    <w:rsid w:val="001726BC"/>
    <w:rsid w:val="00172A84"/>
    <w:rsid w:val="00172BF3"/>
    <w:rsid w:val="00172E04"/>
    <w:rsid w:val="00172ED5"/>
    <w:rsid w:val="00172F56"/>
    <w:rsid w:val="00173233"/>
    <w:rsid w:val="00173240"/>
    <w:rsid w:val="001732FF"/>
    <w:rsid w:val="001733EF"/>
    <w:rsid w:val="00173414"/>
    <w:rsid w:val="00173436"/>
    <w:rsid w:val="00173451"/>
    <w:rsid w:val="00173531"/>
    <w:rsid w:val="001735FB"/>
    <w:rsid w:val="00173954"/>
    <w:rsid w:val="00173AF6"/>
    <w:rsid w:val="00173F47"/>
    <w:rsid w:val="001740E9"/>
    <w:rsid w:val="001746DD"/>
    <w:rsid w:val="00174787"/>
    <w:rsid w:val="0017489C"/>
    <w:rsid w:val="00174ABE"/>
    <w:rsid w:val="00174DCD"/>
    <w:rsid w:val="001754B4"/>
    <w:rsid w:val="00175985"/>
    <w:rsid w:val="00175BD7"/>
    <w:rsid w:val="00175DAC"/>
    <w:rsid w:val="0017638E"/>
    <w:rsid w:val="001764EA"/>
    <w:rsid w:val="0017670D"/>
    <w:rsid w:val="001767CC"/>
    <w:rsid w:val="0017686D"/>
    <w:rsid w:val="00176880"/>
    <w:rsid w:val="001768F0"/>
    <w:rsid w:val="00176E67"/>
    <w:rsid w:val="00177470"/>
    <w:rsid w:val="00177524"/>
    <w:rsid w:val="0017778E"/>
    <w:rsid w:val="00177B1E"/>
    <w:rsid w:val="00177CA8"/>
    <w:rsid w:val="00177ED3"/>
    <w:rsid w:val="00177FBC"/>
    <w:rsid w:val="00180072"/>
    <w:rsid w:val="001801D7"/>
    <w:rsid w:val="00180391"/>
    <w:rsid w:val="00180609"/>
    <w:rsid w:val="001808D3"/>
    <w:rsid w:val="001809C8"/>
    <w:rsid w:val="00180C87"/>
    <w:rsid w:val="00180E67"/>
    <w:rsid w:val="0018127C"/>
    <w:rsid w:val="00181409"/>
    <w:rsid w:val="00181449"/>
    <w:rsid w:val="00181677"/>
    <w:rsid w:val="00181E29"/>
    <w:rsid w:val="00181FFE"/>
    <w:rsid w:val="001823A3"/>
    <w:rsid w:val="0018254E"/>
    <w:rsid w:val="00182605"/>
    <w:rsid w:val="00182BCB"/>
    <w:rsid w:val="0018353A"/>
    <w:rsid w:val="00183AD6"/>
    <w:rsid w:val="00183B14"/>
    <w:rsid w:val="00183BB8"/>
    <w:rsid w:val="00183D1B"/>
    <w:rsid w:val="00183DAA"/>
    <w:rsid w:val="00184139"/>
    <w:rsid w:val="00184596"/>
    <w:rsid w:val="001848F3"/>
    <w:rsid w:val="00184A31"/>
    <w:rsid w:val="00184B76"/>
    <w:rsid w:val="00184CEF"/>
    <w:rsid w:val="00184E79"/>
    <w:rsid w:val="00184E92"/>
    <w:rsid w:val="001850A8"/>
    <w:rsid w:val="0018546E"/>
    <w:rsid w:val="001858F0"/>
    <w:rsid w:val="00185911"/>
    <w:rsid w:val="00185B96"/>
    <w:rsid w:val="00186187"/>
    <w:rsid w:val="0018676F"/>
    <w:rsid w:val="001869B0"/>
    <w:rsid w:val="00186C03"/>
    <w:rsid w:val="001870CC"/>
    <w:rsid w:val="001872E4"/>
    <w:rsid w:val="00187403"/>
    <w:rsid w:val="001874BD"/>
    <w:rsid w:val="00187743"/>
    <w:rsid w:val="001877AD"/>
    <w:rsid w:val="001877CF"/>
    <w:rsid w:val="00187ACF"/>
    <w:rsid w:val="00187D8B"/>
    <w:rsid w:val="0019054D"/>
    <w:rsid w:val="00190589"/>
    <w:rsid w:val="001907EB"/>
    <w:rsid w:val="00190E2D"/>
    <w:rsid w:val="00190E8D"/>
    <w:rsid w:val="00190F50"/>
    <w:rsid w:val="00190FEF"/>
    <w:rsid w:val="00191060"/>
    <w:rsid w:val="00191A9D"/>
    <w:rsid w:val="00192143"/>
    <w:rsid w:val="0019218D"/>
    <w:rsid w:val="00192318"/>
    <w:rsid w:val="001924BE"/>
    <w:rsid w:val="00192AA1"/>
    <w:rsid w:val="00192E44"/>
    <w:rsid w:val="00192FA3"/>
    <w:rsid w:val="00192FBE"/>
    <w:rsid w:val="00193016"/>
    <w:rsid w:val="0019314B"/>
    <w:rsid w:val="00193281"/>
    <w:rsid w:val="0019352E"/>
    <w:rsid w:val="0019371D"/>
    <w:rsid w:val="0019375A"/>
    <w:rsid w:val="001938C7"/>
    <w:rsid w:val="001939EF"/>
    <w:rsid w:val="00193C09"/>
    <w:rsid w:val="0019407B"/>
    <w:rsid w:val="00194328"/>
    <w:rsid w:val="00194A2F"/>
    <w:rsid w:val="00194B7D"/>
    <w:rsid w:val="00194BDD"/>
    <w:rsid w:val="00195129"/>
    <w:rsid w:val="00195501"/>
    <w:rsid w:val="00195D6E"/>
    <w:rsid w:val="00195D91"/>
    <w:rsid w:val="00195DCE"/>
    <w:rsid w:val="00196081"/>
    <w:rsid w:val="001963B4"/>
    <w:rsid w:val="001964BD"/>
    <w:rsid w:val="001965CD"/>
    <w:rsid w:val="001967AC"/>
    <w:rsid w:val="00196AA2"/>
    <w:rsid w:val="0019706A"/>
    <w:rsid w:val="00197137"/>
    <w:rsid w:val="001972BF"/>
    <w:rsid w:val="001973DD"/>
    <w:rsid w:val="00197447"/>
    <w:rsid w:val="0019748D"/>
    <w:rsid w:val="00197498"/>
    <w:rsid w:val="0019761F"/>
    <w:rsid w:val="0019772B"/>
    <w:rsid w:val="00197AB5"/>
    <w:rsid w:val="00197F78"/>
    <w:rsid w:val="00197FB7"/>
    <w:rsid w:val="001A00AD"/>
    <w:rsid w:val="001A0803"/>
    <w:rsid w:val="001A09DD"/>
    <w:rsid w:val="001A0E50"/>
    <w:rsid w:val="001A0FE3"/>
    <w:rsid w:val="001A115F"/>
    <w:rsid w:val="001A1197"/>
    <w:rsid w:val="001A122C"/>
    <w:rsid w:val="001A1432"/>
    <w:rsid w:val="001A14F4"/>
    <w:rsid w:val="001A1BA8"/>
    <w:rsid w:val="001A2427"/>
    <w:rsid w:val="001A2955"/>
    <w:rsid w:val="001A2A54"/>
    <w:rsid w:val="001A2B93"/>
    <w:rsid w:val="001A2BC1"/>
    <w:rsid w:val="001A2D21"/>
    <w:rsid w:val="001A2E0B"/>
    <w:rsid w:val="001A2FC3"/>
    <w:rsid w:val="001A32C9"/>
    <w:rsid w:val="001A36C1"/>
    <w:rsid w:val="001A3DF7"/>
    <w:rsid w:val="001A3E2F"/>
    <w:rsid w:val="001A40E1"/>
    <w:rsid w:val="001A41C9"/>
    <w:rsid w:val="001A4309"/>
    <w:rsid w:val="001A44C4"/>
    <w:rsid w:val="001A4AC7"/>
    <w:rsid w:val="001A4ACF"/>
    <w:rsid w:val="001A5140"/>
    <w:rsid w:val="001A568F"/>
    <w:rsid w:val="001A56B3"/>
    <w:rsid w:val="001A58ED"/>
    <w:rsid w:val="001A5AD0"/>
    <w:rsid w:val="001A5E97"/>
    <w:rsid w:val="001A6216"/>
    <w:rsid w:val="001A62E3"/>
    <w:rsid w:val="001A6482"/>
    <w:rsid w:val="001A65AE"/>
    <w:rsid w:val="001A66D4"/>
    <w:rsid w:val="001A6A06"/>
    <w:rsid w:val="001A6A0B"/>
    <w:rsid w:val="001A6BBF"/>
    <w:rsid w:val="001A6D08"/>
    <w:rsid w:val="001A70D3"/>
    <w:rsid w:val="001A7267"/>
    <w:rsid w:val="001A75C5"/>
    <w:rsid w:val="001A77A5"/>
    <w:rsid w:val="001A7851"/>
    <w:rsid w:val="001A7D1B"/>
    <w:rsid w:val="001B003D"/>
    <w:rsid w:val="001B00EF"/>
    <w:rsid w:val="001B0131"/>
    <w:rsid w:val="001B01DE"/>
    <w:rsid w:val="001B025C"/>
    <w:rsid w:val="001B035D"/>
    <w:rsid w:val="001B0A01"/>
    <w:rsid w:val="001B0E6A"/>
    <w:rsid w:val="001B1031"/>
    <w:rsid w:val="001B147F"/>
    <w:rsid w:val="001B1A9A"/>
    <w:rsid w:val="001B1B04"/>
    <w:rsid w:val="001B1EC4"/>
    <w:rsid w:val="001B1F32"/>
    <w:rsid w:val="001B27E2"/>
    <w:rsid w:val="001B29A6"/>
    <w:rsid w:val="001B29FB"/>
    <w:rsid w:val="001B2EB4"/>
    <w:rsid w:val="001B2F54"/>
    <w:rsid w:val="001B2FCC"/>
    <w:rsid w:val="001B303C"/>
    <w:rsid w:val="001B30D8"/>
    <w:rsid w:val="001B3956"/>
    <w:rsid w:val="001B3B2E"/>
    <w:rsid w:val="001B489C"/>
    <w:rsid w:val="001B4DBB"/>
    <w:rsid w:val="001B4DBE"/>
    <w:rsid w:val="001B4F4B"/>
    <w:rsid w:val="001B51DF"/>
    <w:rsid w:val="001B551F"/>
    <w:rsid w:val="001B571A"/>
    <w:rsid w:val="001B5D91"/>
    <w:rsid w:val="001B5FC5"/>
    <w:rsid w:val="001B62CC"/>
    <w:rsid w:val="001B6512"/>
    <w:rsid w:val="001B65E4"/>
    <w:rsid w:val="001B65EB"/>
    <w:rsid w:val="001B6661"/>
    <w:rsid w:val="001B67CD"/>
    <w:rsid w:val="001B68B1"/>
    <w:rsid w:val="001B7112"/>
    <w:rsid w:val="001B716C"/>
    <w:rsid w:val="001B724F"/>
    <w:rsid w:val="001B72A7"/>
    <w:rsid w:val="001B72CA"/>
    <w:rsid w:val="001B738E"/>
    <w:rsid w:val="001B7439"/>
    <w:rsid w:val="001B745D"/>
    <w:rsid w:val="001B768E"/>
    <w:rsid w:val="001B79D9"/>
    <w:rsid w:val="001B7EFE"/>
    <w:rsid w:val="001C0172"/>
    <w:rsid w:val="001C0383"/>
    <w:rsid w:val="001C0BD3"/>
    <w:rsid w:val="001C0C47"/>
    <w:rsid w:val="001C1056"/>
    <w:rsid w:val="001C11F9"/>
    <w:rsid w:val="001C1752"/>
    <w:rsid w:val="001C1C6D"/>
    <w:rsid w:val="001C1DAE"/>
    <w:rsid w:val="001C1E78"/>
    <w:rsid w:val="001C1EF6"/>
    <w:rsid w:val="001C2499"/>
    <w:rsid w:val="001C24F3"/>
    <w:rsid w:val="001C3044"/>
    <w:rsid w:val="001C3068"/>
    <w:rsid w:val="001C3172"/>
    <w:rsid w:val="001C3189"/>
    <w:rsid w:val="001C32A4"/>
    <w:rsid w:val="001C3614"/>
    <w:rsid w:val="001C3764"/>
    <w:rsid w:val="001C3CD9"/>
    <w:rsid w:val="001C3DB6"/>
    <w:rsid w:val="001C3DEB"/>
    <w:rsid w:val="001C3FAD"/>
    <w:rsid w:val="001C416F"/>
    <w:rsid w:val="001C42CA"/>
    <w:rsid w:val="001C4812"/>
    <w:rsid w:val="001C4A2F"/>
    <w:rsid w:val="001C514A"/>
    <w:rsid w:val="001C5215"/>
    <w:rsid w:val="001C53E4"/>
    <w:rsid w:val="001C55C4"/>
    <w:rsid w:val="001C5C3D"/>
    <w:rsid w:val="001C5DF0"/>
    <w:rsid w:val="001C5F94"/>
    <w:rsid w:val="001C6024"/>
    <w:rsid w:val="001C60B1"/>
    <w:rsid w:val="001C61E0"/>
    <w:rsid w:val="001C65EA"/>
    <w:rsid w:val="001C6826"/>
    <w:rsid w:val="001C69D5"/>
    <w:rsid w:val="001C6B76"/>
    <w:rsid w:val="001C6DDB"/>
    <w:rsid w:val="001C6EC3"/>
    <w:rsid w:val="001C6F6C"/>
    <w:rsid w:val="001C7175"/>
    <w:rsid w:val="001C750A"/>
    <w:rsid w:val="001C7528"/>
    <w:rsid w:val="001C7AB5"/>
    <w:rsid w:val="001C7ABB"/>
    <w:rsid w:val="001C7B9B"/>
    <w:rsid w:val="001C7FBA"/>
    <w:rsid w:val="001D02A7"/>
    <w:rsid w:val="001D02A8"/>
    <w:rsid w:val="001D04D2"/>
    <w:rsid w:val="001D07CD"/>
    <w:rsid w:val="001D098B"/>
    <w:rsid w:val="001D0A1F"/>
    <w:rsid w:val="001D0DC0"/>
    <w:rsid w:val="001D0DCE"/>
    <w:rsid w:val="001D171F"/>
    <w:rsid w:val="001D17FE"/>
    <w:rsid w:val="001D1863"/>
    <w:rsid w:val="001D1951"/>
    <w:rsid w:val="001D1B4E"/>
    <w:rsid w:val="001D1BFA"/>
    <w:rsid w:val="001D1C5B"/>
    <w:rsid w:val="001D1E9E"/>
    <w:rsid w:val="001D208F"/>
    <w:rsid w:val="001D20AE"/>
    <w:rsid w:val="001D2662"/>
    <w:rsid w:val="001D2989"/>
    <w:rsid w:val="001D2D63"/>
    <w:rsid w:val="001D30B4"/>
    <w:rsid w:val="001D333B"/>
    <w:rsid w:val="001D3524"/>
    <w:rsid w:val="001D354B"/>
    <w:rsid w:val="001D3951"/>
    <w:rsid w:val="001D3A24"/>
    <w:rsid w:val="001D3BA1"/>
    <w:rsid w:val="001D3C8D"/>
    <w:rsid w:val="001D4385"/>
    <w:rsid w:val="001D4A84"/>
    <w:rsid w:val="001D504C"/>
    <w:rsid w:val="001D53FB"/>
    <w:rsid w:val="001D5466"/>
    <w:rsid w:val="001D54BB"/>
    <w:rsid w:val="001D5500"/>
    <w:rsid w:val="001D5597"/>
    <w:rsid w:val="001D5CB6"/>
    <w:rsid w:val="001D5D32"/>
    <w:rsid w:val="001D5FFF"/>
    <w:rsid w:val="001D60D7"/>
    <w:rsid w:val="001D6129"/>
    <w:rsid w:val="001D6386"/>
    <w:rsid w:val="001D6417"/>
    <w:rsid w:val="001D6949"/>
    <w:rsid w:val="001D6B36"/>
    <w:rsid w:val="001D6CEE"/>
    <w:rsid w:val="001D6D84"/>
    <w:rsid w:val="001D6E9F"/>
    <w:rsid w:val="001D75CB"/>
    <w:rsid w:val="001D7AC0"/>
    <w:rsid w:val="001D7EB6"/>
    <w:rsid w:val="001D7F2F"/>
    <w:rsid w:val="001D7F3C"/>
    <w:rsid w:val="001E0469"/>
    <w:rsid w:val="001E0545"/>
    <w:rsid w:val="001E056E"/>
    <w:rsid w:val="001E05E3"/>
    <w:rsid w:val="001E0945"/>
    <w:rsid w:val="001E0BD6"/>
    <w:rsid w:val="001E0DE7"/>
    <w:rsid w:val="001E0DF5"/>
    <w:rsid w:val="001E0F4A"/>
    <w:rsid w:val="001E0FFF"/>
    <w:rsid w:val="001E11ED"/>
    <w:rsid w:val="001E1706"/>
    <w:rsid w:val="001E18F4"/>
    <w:rsid w:val="001E1917"/>
    <w:rsid w:val="001E1996"/>
    <w:rsid w:val="001E1F34"/>
    <w:rsid w:val="001E1FA6"/>
    <w:rsid w:val="001E1FA9"/>
    <w:rsid w:val="001E2013"/>
    <w:rsid w:val="001E2468"/>
    <w:rsid w:val="001E2510"/>
    <w:rsid w:val="001E25AE"/>
    <w:rsid w:val="001E2629"/>
    <w:rsid w:val="001E2964"/>
    <w:rsid w:val="001E2AB3"/>
    <w:rsid w:val="001E2B2E"/>
    <w:rsid w:val="001E2C9B"/>
    <w:rsid w:val="001E2D12"/>
    <w:rsid w:val="001E2D55"/>
    <w:rsid w:val="001E2D8E"/>
    <w:rsid w:val="001E31E3"/>
    <w:rsid w:val="001E320C"/>
    <w:rsid w:val="001E3359"/>
    <w:rsid w:val="001E3427"/>
    <w:rsid w:val="001E3B96"/>
    <w:rsid w:val="001E3C26"/>
    <w:rsid w:val="001E3CE3"/>
    <w:rsid w:val="001E454D"/>
    <w:rsid w:val="001E4564"/>
    <w:rsid w:val="001E46C1"/>
    <w:rsid w:val="001E4744"/>
    <w:rsid w:val="001E4E26"/>
    <w:rsid w:val="001E4EAD"/>
    <w:rsid w:val="001E5291"/>
    <w:rsid w:val="001E533D"/>
    <w:rsid w:val="001E58E1"/>
    <w:rsid w:val="001E5921"/>
    <w:rsid w:val="001E5A0E"/>
    <w:rsid w:val="001E5DD7"/>
    <w:rsid w:val="001E5FFD"/>
    <w:rsid w:val="001E6909"/>
    <w:rsid w:val="001E6913"/>
    <w:rsid w:val="001E69CA"/>
    <w:rsid w:val="001E6A9E"/>
    <w:rsid w:val="001E6D9E"/>
    <w:rsid w:val="001E6EFF"/>
    <w:rsid w:val="001E7263"/>
    <w:rsid w:val="001E728C"/>
    <w:rsid w:val="001E72B3"/>
    <w:rsid w:val="001E74F3"/>
    <w:rsid w:val="001E76BF"/>
    <w:rsid w:val="001E7A5B"/>
    <w:rsid w:val="001E7ADC"/>
    <w:rsid w:val="001E7AE0"/>
    <w:rsid w:val="001E7E3B"/>
    <w:rsid w:val="001F00F8"/>
    <w:rsid w:val="001F0201"/>
    <w:rsid w:val="001F0502"/>
    <w:rsid w:val="001F0FD6"/>
    <w:rsid w:val="001F10EF"/>
    <w:rsid w:val="001F11A4"/>
    <w:rsid w:val="001F1372"/>
    <w:rsid w:val="001F1484"/>
    <w:rsid w:val="001F14E0"/>
    <w:rsid w:val="001F1510"/>
    <w:rsid w:val="001F175A"/>
    <w:rsid w:val="001F1A24"/>
    <w:rsid w:val="001F1E38"/>
    <w:rsid w:val="001F1E50"/>
    <w:rsid w:val="001F1F76"/>
    <w:rsid w:val="001F1FDA"/>
    <w:rsid w:val="001F207C"/>
    <w:rsid w:val="001F23DB"/>
    <w:rsid w:val="001F2B10"/>
    <w:rsid w:val="001F2C12"/>
    <w:rsid w:val="001F2CFC"/>
    <w:rsid w:val="001F2D2C"/>
    <w:rsid w:val="001F2DA1"/>
    <w:rsid w:val="001F34E7"/>
    <w:rsid w:val="001F35C5"/>
    <w:rsid w:val="001F3674"/>
    <w:rsid w:val="001F3997"/>
    <w:rsid w:val="001F3D44"/>
    <w:rsid w:val="001F403A"/>
    <w:rsid w:val="001F41B2"/>
    <w:rsid w:val="001F49B7"/>
    <w:rsid w:val="001F4BBD"/>
    <w:rsid w:val="001F4D3D"/>
    <w:rsid w:val="001F4DE8"/>
    <w:rsid w:val="001F5027"/>
    <w:rsid w:val="001F515C"/>
    <w:rsid w:val="001F5421"/>
    <w:rsid w:val="001F58DC"/>
    <w:rsid w:val="001F61F7"/>
    <w:rsid w:val="001F63E6"/>
    <w:rsid w:val="001F63F1"/>
    <w:rsid w:val="001F64A3"/>
    <w:rsid w:val="001F686A"/>
    <w:rsid w:val="001F6A74"/>
    <w:rsid w:val="001F7029"/>
    <w:rsid w:val="001F7116"/>
    <w:rsid w:val="001F711E"/>
    <w:rsid w:val="001F7383"/>
    <w:rsid w:val="001F7518"/>
    <w:rsid w:val="001F751B"/>
    <w:rsid w:val="001F7536"/>
    <w:rsid w:val="001F765D"/>
    <w:rsid w:val="001F780C"/>
    <w:rsid w:val="001F792E"/>
    <w:rsid w:val="001F7A6B"/>
    <w:rsid w:val="001F7A6F"/>
    <w:rsid w:val="001F7F9F"/>
    <w:rsid w:val="002007A3"/>
    <w:rsid w:val="00200B43"/>
    <w:rsid w:val="00200CC8"/>
    <w:rsid w:val="002010B7"/>
    <w:rsid w:val="0020121C"/>
    <w:rsid w:val="0020147F"/>
    <w:rsid w:val="002014BB"/>
    <w:rsid w:val="00201530"/>
    <w:rsid w:val="00201778"/>
    <w:rsid w:val="00201851"/>
    <w:rsid w:val="00201E66"/>
    <w:rsid w:val="00201E9D"/>
    <w:rsid w:val="0020205F"/>
    <w:rsid w:val="0020251C"/>
    <w:rsid w:val="002025EE"/>
    <w:rsid w:val="0020283C"/>
    <w:rsid w:val="00202905"/>
    <w:rsid w:val="00202ED7"/>
    <w:rsid w:val="00203314"/>
    <w:rsid w:val="00203720"/>
    <w:rsid w:val="00203A94"/>
    <w:rsid w:val="00203E60"/>
    <w:rsid w:val="0020413B"/>
    <w:rsid w:val="002041D8"/>
    <w:rsid w:val="0020421C"/>
    <w:rsid w:val="00204240"/>
    <w:rsid w:val="00204271"/>
    <w:rsid w:val="002045E9"/>
    <w:rsid w:val="00204768"/>
    <w:rsid w:val="00204857"/>
    <w:rsid w:val="00204AAE"/>
    <w:rsid w:val="00204C88"/>
    <w:rsid w:val="00204D52"/>
    <w:rsid w:val="00204D6D"/>
    <w:rsid w:val="00204EA4"/>
    <w:rsid w:val="002051B7"/>
    <w:rsid w:val="00205372"/>
    <w:rsid w:val="002054CB"/>
    <w:rsid w:val="0020557B"/>
    <w:rsid w:val="002056BA"/>
    <w:rsid w:val="00205783"/>
    <w:rsid w:val="00205865"/>
    <w:rsid w:val="00205DB8"/>
    <w:rsid w:val="00205E71"/>
    <w:rsid w:val="00205EC8"/>
    <w:rsid w:val="0020628E"/>
    <w:rsid w:val="00206429"/>
    <w:rsid w:val="002064AF"/>
    <w:rsid w:val="00206BE7"/>
    <w:rsid w:val="00206C07"/>
    <w:rsid w:val="00207294"/>
    <w:rsid w:val="0020747B"/>
    <w:rsid w:val="00207527"/>
    <w:rsid w:val="002076F3"/>
    <w:rsid w:val="00207D5B"/>
    <w:rsid w:val="00207DED"/>
    <w:rsid w:val="00207E22"/>
    <w:rsid w:val="00207E7D"/>
    <w:rsid w:val="00207FA8"/>
    <w:rsid w:val="00210519"/>
    <w:rsid w:val="00210570"/>
    <w:rsid w:val="002106ED"/>
    <w:rsid w:val="00210770"/>
    <w:rsid w:val="00210773"/>
    <w:rsid w:val="00210861"/>
    <w:rsid w:val="00210982"/>
    <w:rsid w:val="00210F16"/>
    <w:rsid w:val="0021116A"/>
    <w:rsid w:val="0021129E"/>
    <w:rsid w:val="00211375"/>
    <w:rsid w:val="00211417"/>
    <w:rsid w:val="00211816"/>
    <w:rsid w:val="00211A6C"/>
    <w:rsid w:val="00211F43"/>
    <w:rsid w:val="00211F6D"/>
    <w:rsid w:val="002120E5"/>
    <w:rsid w:val="00212136"/>
    <w:rsid w:val="00212163"/>
    <w:rsid w:val="00212501"/>
    <w:rsid w:val="0021334F"/>
    <w:rsid w:val="00213616"/>
    <w:rsid w:val="00213AB3"/>
    <w:rsid w:val="00213B29"/>
    <w:rsid w:val="00213BAA"/>
    <w:rsid w:val="00213C0B"/>
    <w:rsid w:val="00213F2E"/>
    <w:rsid w:val="00214049"/>
    <w:rsid w:val="0021410F"/>
    <w:rsid w:val="00214866"/>
    <w:rsid w:val="002149F3"/>
    <w:rsid w:val="00214C0D"/>
    <w:rsid w:val="00214CC7"/>
    <w:rsid w:val="0021615F"/>
    <w:rsid w:val="00216310"/>
    <w:rsid w:val="002165DE"/>
    <w:rsid w:val="0021660B"/>
    <w:rsid w:val="0021668A"/>
    <w:rsid w:val="002167DA"/>
    <w:rsid w:val="00216857"/>
    <w:rsid w:val="00216D36"/>
    <w:rsid w:val="00216E26"/>
    <w:rsid w:val="00216F37"/>
    <w:rsid w:val="00216FBD"/>
    <w:rsid w:val="00217448"/>
    <w:rsid w:val="002178BA"/>
    <w:rsid w:val="002178C7"/>
    <w:rsid w:val="00217D4F"/>
    <w:rsid w:val="00220063"/>
    <w:rsid w:val="00220499"/>
    <w:rsid w:val="002205D6"/>
    <w:rsid w:val="00220701"/>
    <w:rsid w:val="00220B7E"/>
    <w:rsid w:val="00221018"/>
    <w:rsid w:val="002212A7"/>
    <w:rsid w:val="00221685"/>
    <w:rsid w:val="00221745"/>
    <w:rsid w:val="00221811"/>
    <w:rsid w:val="00221F90"/>
    <w:rsid w:val="00221FE8"/>
    <w:rsid w:val="00222380"/>
    <w:rsid w:val="00222496"/>
    <w:rsid w:val="002228E7"/>
    <w:rsid w:val="00222AB8"/>
    <w:rsid w:val="00222C4D"/>
    <w:rsid w:val="00222E60"/>
    <w:rsid w:val="0022305A"/>
    <w:rsid w:val="002230DE"/>
    <w:rsid w:val="00223258"/>
    <w:rsid w:val="002233A7"/>
    <w:rsid w:val="00223774"/>
    <w:rsid w:val="0022380C"/>
    <w:rsid w:val="00223E85"/>
    <w:rsid w:val="00223F25"/>
    <w:rsid w:val="00223F2D"/>
    <w:rsid w:val="0022405F"/>
    <w:rsid w:val="0022418B"/>
    <w:rsid w:val="002243DC"/>
    <w:rsid w:val="0022468D"/>
    <w:rsid w:val="00224737"/>
    <w:rsid w:val="00224DA4"/>
    <w:rsid w:val="00224ED3"/>
    <w:rsid w:val="00225041"/>
    <w:rsid w:val="00225071"/>
    <w:rsid w:val="002250C4"/>
    <w:rsid w:val="002252AD"/>
    <w:rsid w:val="00225370"/>
    <w:rsid w:val="00225692"/>
    <w:rsid w:val="00225F85"/>
    <w:rsid w:val="00225F8A"/>
    <w:rsid w:val="00225F95"/>
    <w:rsid w:val="00226014"/>
    <w:rsid w:val="0022602A"/>
    <w:rsid w:val="0022605A"/>
    <w:rsid w:val="002261F0"/>
    <w:rsid w:val="00226309"/>
    <w:rsid w:val="002264CC"/>
    <w:rsid w:val="00226857"/>
    <w:rsid w:val="00226918"/>
    <w:rsid w:val="002269F3"/>
    <w:rsid w:val="00226A09"/>
    <w:rsid w:val="00226B51"/>
    <w:rsid w:val="00226DDA"/>
    <w:rsid w:val="0022708E"/>
    <w:rsid w:val="0022715E"/>
    <w:rsid w:val="00227239"/>
    <w:rsid w:val="00227533"/>
    <w:rsid w:val="00227543"/>
    <w:rsid w:val="00227658"/>
    <w:rsid w:val="00227BAC"/>
    <w:rsid w:val="00230025"/>
    <w:rsid w:val="00230219"/>
    <w:rsid w:val="002306F2"/>
    <w:rsid w:val="00230937"/>
    <w:rsid w:val="00230E9D"/>
    <w:rsid w:val="00231049"/>
    <w:rsid w:val="00231080"/>
    <w:rsid w:val="002311D5"/>
    <w:rsid w:val="002312DF"/>
    <w:rsid w:val="002313C6"/>
    <w:rsid w:val="002316CB"/>
    <w:rsid w:val="00231CAD"/>
    <w:rsid w:val="00231EF9"/>
    <w:rsid w:val="00231F10"/>
    <w:rsid w:val="002320E7"/>
    <w:rsid w:val="0023230B"/>
    <w:rsid w:val="00232581"/>
    <w:rsid w:val="00232CF1"/>
    <w:rsid w:val="00232D3C"/>
    <w:rsid w:val="00232E08"/>
    <w:rsid w:val="0023324E"/>
    <w:rsid w:val="00233295"/>
    <w:rsid w:val="00233340"/>
    <w:rsid w:val="0023357A"/>
    <w:rsid w:val="00233E34"/>
    <w:rsid w:val="00233EEE"/>
    <w:rsid w:val="002340C6"/>
    <w:rsid w:val="002341D4"/>
    <w:rsid w:val="00234254"/>
    <w:rsid w:val="00234437"/>
    <w:rsid w:val="002344F2"/>
    <w:rsid w:val="00234558"/>
    <w:rsid w:val="002347B0"/>
    <w:rsid w:val="002347F0"/>
    <w:rsid w:val="00234838"/>
    <w:rsid w:val="002349E0"/>
    <w:rsid w:val="00234AAE"/>
    <w:rsid w:val="00234F10"/>
    <w:rsid w:val="0023505B"/>
    <w:rsid w:val="00235183"/>
    <w:rsid w:val="002354ED"/>
    <w:rsid w:val="00235A51"/>
    <w:rsid w:val="00235C99"/>
    <w:rsid w:val="002362C5"/>
    <w:rsid w:val="00236314"/>
    <w:rsid w:val="0023635A"/>
    <w:rsid w:val="002368CF"/>
    <w:rsid w:val="002368EC"/>
    <w:rsid w:val="00236AF4"/>
    <w:rsid w:val="00236C21"/>
    <w:rsid w:val="00236FCC"/>
    <w:rsid w:val="002371C7"/>
    <w:rsid w:val="00237293"/>
    <w:rsid w:val="002373B1"/>
    <w:rsid w:val="002374D1"/>
    <w:rsid w:val="0023763F"/>
    <w:rsid w:val="002376E3"/>
    <w:rsid w:val="002379A7"/>
    <w:rsid w:val="00237A40"/>
    <w:rsid w:val="00237A78"/>
    <w:rsid w:val="00237FBB"/>
    <w:rsid w:val="00240159"/>
    <w:rsid w:val="002401E7"/>
    <w:rsid w:val="0024040C"/>
    <w:rsid w:val="00240432"/>
    <w:rsid w:val="00240537"/>
    <w:rsid w:val="0024092E"/>
    <w:rsid w:val="00240AB4"/>
    <w:rsid w:val="00240C57"/>
    <w:rsid w:val="00240FC3"/>
    <w:rsid w:val="002410AB"/>
    <w:rsid w:val="002410B9"/>
    <w:rsid w:val="00241630"/>
    <w:rsid w:val="00241747"/>
    <w:rsid w:val="002417C4"/>
    <w:rsid w:val="002417F4"/>
    <w:rsid w:val="002417F9"/>
    <w:rsid w:val="00241CA7"/>
    <w:rsid w:val="00241DBF"/>
    <w:rsid w:val="002421F8"/>
    <w:rsid w:val="002421FB"/>
    <w:rsid w:val="002423E0"/>
    <w:rsid w:val="0024278D"/>
    <w:rsid w:val="00242A50"/>
    <w:rsid w:val="00242B0A"/>
    <w:rsid w:val="00242D91"/>
    <w:rsid w:val="002432C5"/>
    <w:rsid w:val="002435DA"/>
    <w:rsid w:val="00243C20"/>
    <w:rsid w:val="00243D02"/>
    <w:rsid w:val="00243FB6"/>
    <w:rsid w:val="00244037"/>
    <w:rsid w:val="00244A6A"/>
    <w:rsid w:val="00244EF9"/>
    <w:rsid w:val="002451D1"/>
    <w:rsid w:val="00245C56"/>
    <w:rsid w:val="00245F7F"/>
    <w:rsid w:val="002462BB"/>
    <w:rsid w:val="00246ADF"/>
    <w:rsid w:val="00246B73"/>
    <w:rsid w:val="00247009"/>
    <w:rsid w:val="0024740B"/>
    <w:rsid w:val="00247481"/>
    <w:rsid w:val="002475CA"/>
    <w:rsid w:val="00247D8B"/>
    <w:rsid w:val="00247DFF"/>
    <w:rsid w:val="0025033F"/>
    <w:rsid w:val="00250C6F"/>
    <w:rsid w:val="00250DC7"/>
    <w:rsid w:val="00250EEA"/>
    <w:rsid w:val="00250F75"/>
    <w:rsid w:val="00251143"/>
    <w:rsid w:val="00251145"/>
    <w:rsid w:val="002512F2"/>
    <w:rsid w:val="00251816"/>
    <w:rsid w:val="00251F21"/>
    <w:rsid w:val="00251F28"/>
    <w:rsid w:val="002521B7"/>
    <w:rsid w:val="00252207"/>
    <w:rsid w:val="00252278"/>
    <w:rsid w:val="00252584"/>
    <w:rsid w:val="002525EB"/>
    <w:rsid w:val="0025289B"/>
    <w:rsid w:val="00252A58"/>
    <w:rsid w:val="00252DDC"/>
    <w:rsid w:val="00252E7E"/>
    <w:rsid w:val="00252EA2"/>
    <w:rsid w:val="00253531"/>
    <w:rsid w:val="002535AA"/>
    <w:rsid w:val="00253828"/>
    <w:rsid w:val="0025387B"/>
    <w:rsid w:val="00253B3F"/>
    <w:rsid w:val="00253FFF"/>
    <w:rsid w:val="00254BF2"/>
    <w:rsid w:val="00254D3B"/>
    <w:rsid w:val="00255204"/>
    <w:rsid w:val="002556A5"/>
    <w:rsid w:val="00255819"/>
    <w:rsid w:val="00255B22"/>
    <w:rsid w:val="00255C67"/>
    <w:rsid w:val="00255CF3"/>
    <w:rsid w:val="00255D71"/>
    <w:rsid w:val="00255FD6"/>
    <w:rsid w:val="00256708"/>
    <w:rsid w:val="00256834"/>
    <w:rsid w:val="00256B2B"/>
    <w:rsid w:val="00256FEF"/>
    <w:rsid w:val="002572EE"/>
    <w:rsid w:val="00257369"/>
    <w:rsid w:val="00257514"/>
    <w:rsid w:val="002575AC"/>
    <w:rsid w:val="0025767B"/>
    <w:rsid w:val="00257A10"/>
    <w:rsid w:val="00257EFE"/>
    <w:rsid w:val="002600A5"/>
    <w:rsid w:val="00260D3E"/>
    <w:rsid w:val="00261009"/>
    <w:rsid w:val="002610BB"/>
    <w:rsid w:val="002613D9"/>
    <w:rsid w:val="002613EF"/>
    <w:rsid w:val="00261463"/>
    <w:rsid w:val="0026150A"/>
    <w:rsid w:val="0026151B"/>
    <w:rsid w:val="0026170F"/>
    <w:rsid w:val="002617C2"/>
    <w:rsid w:val="0026182F"/>
    <w:rsid w:val="00261888"/>
    <w:rsid w:val="00261980"/>
    <w:rsid w:val="00261984"/>
    <w:rsid w:val="00262406"/>
    <w:rsid w:val="00262546"/>
    <w:rsid w:val="00262712"/>
    <w:rsid w:val="00262B4D"/>
    <w:rsid w:val="002634F5"/>
    <w:rsid w:val="0026353B"/>
    <w:rsid w:val="002635D5"/>
    <w:rsid w:val="00263AEA"/>
    <w:rsid w:val="00263F01"/>
    <w:rsid w:val="00263F0E"/>
    <w:rsid w:val="002640E9"/>
    <w:rsid w:val="00264207"/>
    <w:rsid w:val="00264213"/>
    <w:rsid w:val="0026459D"/>
    <w:rsid w:val="002646A7"/>
    <w:rsid w:val="0026488F"/>
    <w:rsid w:val="00264AF4"/>
    <w:rsid w:val="00264B8F"/>
    <w:rsid w:val="00264CAA"/>
    <w:rsid w:val="0026500A"/>
    <w:rsid w:val="0026552A"/>
    <w:rsid w:val="00265856"/>
    <w:rsid w:val="00265A66"/>
    <w:rsid w:val="00265A67"/>
    <w:rsid w:val="00265D3B"/>
    <w:rsid w:val="00265EA5"/>
    <w:rsid w:val="00265F0D"/>
    <w:rsid w:val="00266043"/>
    <w:rsid w:val="00266224"/>
    <w:rsid w:val="00266810"/>
    <w:rsid w:val="00266899"/>
    <w:rsid w:val="0026690A"/>
    <w:rsid w:val="0026695E"/>
    <w:rsid w:val="00267228"/>
    <w:rsid w:val="00267827"/>
    <w:rsid w:val="00267840"/>
    <w:rsid w:val="00267A9B"/>
    <w:rsid w:val="00267E5B"/>
    <w:rsid w:val="00267EB0"/>
    <w:rsid w:val="00270103"/>
    <w:rsid w:val="002702C2"/>
    <w:rsid w:val="00270338"/>
    <w:rsid w:val="002705ED"/>
    <w:rsid w:val="002709AB"/>
    <w:rsid w:val="00270A70"/>
    <w:rsid w:val="00270D1F"/>
    <w:rsid w:val="00270F3B"/>
    <w:rsid w:val="0027103D"/>
    <w:rsid w:val="002711AF"/>
    <w:rsid w:val="00271247"/>
    <w:rsid w:val="0027136F"/>
    <w:rsid w:val="00271775"/>
    <w:rsid w:val="00271BF0"/>
    <w:rsid w:val="00271E23"/>
    <w:rsid w:val="00271EB7"/>
    <w:rsid w:val="00271EF9"/>
    <w:rsid w:val="0027203A"/>
    <w:rsid w:val="00272247"/>
    <w:rsid w:val="00272483"/>
    <w:rsid w:val="0027255F"/>
    <w:rsid w:val="002725B7"/>
    <w:rsid w:val="002725F0"/>
    <w:rsid w:val="0027260E"/>
    <w:rsid w:val="00272828"/>
    <w:rsid w:val="002729E5"/>
    <w:rsid w:val="002729FA"/>
    <w:rsid w:val="00272BD9"/>
    <w:rsid w:val="00272ED6"/>
    <w:rsid w:val="00272F6A"/>
    <w:rsid w:val="00273260"/>
    <w:rsid w:val="00273362"/>
    <w:rsid w:val="002735E0"/>
    <w:rsid w:val="0027371F"/>
    <w:rsid w:val="00273B98"/>
    <w:rsid w:val="00273BCC"/>
    <w:rsid w:val="00273C17"/>
    <w:rsid w:val="0027412C"/>
    <w:rsid w:val="00274230"/>
    <w:rsid w:val="00274843"/>
    <w:rsid w:val="00274876"/>
    <w:rsid w:val="00274E48"/>
    <w:rsid w:val="002750A1"/>
    <w:rsid w:val="002750C4"/>
    <w:rsid w:val="002751E5"/>
    <w:rsid w:val="00275215"/>
    <w:rsid w:val="00275252"/>
    <w:rsid w:val="00275C55"/>
    <w:rsid w:val="00275E64"/>
    <w:rsid w:val="0027661B"/>
    <w:rsid w:val="0027686F"/>
    <w:rsid w:val="002769C2"/>
    <w:rsid w:val="00276A31"/>
    <w:rsid w:val="00276DE3"/>
    <w:rsid w:val="00276FC0"/>
    <w:rsid w:val="00277175"/>
    <w:rsid w:val="0027717F"/>
    <w:rsid w:val="00277462"/>
    <w:rsid w:val="002774EC"/>
    <w:rsid w:val="00277B0B"/>
    <w:rsid w:val="00280117"/>
    <w:rsid w:val="00280255"/>
    <w:rsid w:val="002807F2"/>
    <w:rsid w:val="002809BF"/>
    <w:rsid w:val="00280BBC"/>
    <w:rsid w:val="00280E90"/>
    <w:rsid w:val="0028101A"/>
    <w:rsid w:val="002811AF"/>
    <w:rsid w:val="00281293"/>
    <w:rsid w:val="0028149E"/>
    <w:rsid w:val="002814A7"/>
    <w:rsid w:val="002815BB"/>
    <w:rsid w:val="00281646"/>
    <w:rsid w:val="00281717"/>
    <w:rsid w:val="0028189A"/>
    <w:rsid w:val="00281A18"/>
    <w:rsid w:val="00281AD6"/>
    <w:rsid w:val="00281E23"/>
    <w:rsid w:val="00281F31"/>
    <w:rsid w:val="00281F6E"/>
    <w:rsid w:val="00282561"/>
    <w:rsid w:val="0028261C"/>
    <w:rsid w:val="00282B72"/>
    <w:rsid w:val="00282DE6"/>
    <w:rsid w:val="00282E85"/>
    <w:rsid w:val="00282FD2"/>
    <w:rsid w:val="00282FFE"/>
    <w:rsid w:val="002830E7"/>
    <w:rsid w:val="002832FF"/>
    <w:rsid w:val="0028340B"/>
    <w:rsid w:val="00283526"/>
    <w:rsid w:val="0028367E"/>
    <w:rsid w:val="002836AF"/>
    <w:rsid w:val="00283B67"/>
    <w:rsid w:val="00283F75"/>
    <w:rsid w:val="00284012"/>
    <w:rsid w:val="002840DC"/>
    <w:rsid w:val="002846BD"/>
    <w:rsid w:val="002849E0"/>
    <w:rsid w:val="00284A6F"/>
    <w:rsid w:val="00284ACB"/>
    <w:rsid w:val="00284C2B"/>
    <w:rsid w:val="00284C4D"/>
    <w:rsid w:val="002853F1"/>
    <w:rsid w:val="002855F9"/>
    <w:rsid w:val="00285F00"/>
    <w:rsid w:val="00286126"/>
    <w:rsid w:val="002865A3"/>
    <w:rsid w:val="002865C6"/>
    <w:rsid w:val="00286729"/>
    <w:rsid w:val="00286782"/>
    <w:rsid w:val="00286BDB"/>
    <w:rsid w:val="00286E90"/>
    <w:rsid w:val="002876A1"/>
    <w:rsid w:val="0028793A"/>
    <w:rsid w:val="00287C8F"/>
    <w:rsid w:val="00287D09"/>
    <w:rsid w:val="00287E5C"/>
    <w:rsid w:val="00290028"/>
    <w:rsid w:val="00290088"/>
    <w:rsid w:val="002900EF"/>
    <w:rsid w:val="0029016F"/>
    <w:rsid w:val="002901E9"/>
    <w:rsid w:val="00290207"/>
    <w:rsid w:val="0029029B"/>
    <w:rsid w:val="0029047E"/>
    <w:rsid w:val="00290485"/>
    <w:rsid w:val="0029067F"/>
    <w:rsid w:val="00290C81"/>
    <w:rsid w:val="00290CC9"/>
    <w:rsid w:val="00290EB3"/>
    <w:rsid w:val="00290EDD"/>
    <w:rsid w:val="0029121C"/>
    <w:rsid w:val="002915BC"/>
    <w:rsid w:val="0029177E"/>
    <w:rsid w:val="002917A5"/>
    <w:rsid w:val="00291CBD"/>
    <w:rsid w:val="00291F2F"/>
    <w:rsid w:val="00291FC8"/>
    <w:rsid w:val="00291FD0"/>
    <w:rsid w:val="00292500"/>
    <w:rsid w:val="00292716"/>
    <w:rsid w:val="0029275C"/>
    <w:rsid w:val="0029281A"/>
    <w:rsid w:val="00292B92"/>
    <w:rsid w:val="00292E4D"/>
    <w:rsid w:val="002930D5"/>
    <w:rsid w:val="002934F1"/>
    <w:rsid w:val="0029352F"/>
    <w:rsid w:val="00293C4A"/>
    <w:rsid w:val="00293E73"/>
    <w:rsid w:val="00293EF1"/>
    <w:rsid w:val="0029405C"/>
    <w:rsid w:val="0029435B"/>
    <w:rsid w:val="002943B7"/>
    <w:rsid w:val="0029489C"/>
    <w:rsid w:val="00294C0E"/>
    <w:rsid w:val="00294E10"/>
    <w:rsid w:val="00294F31"/>
    <w:rsid w:val="00295057"/>
    <w:rsid w:val="00295148"/>
    <w:rsid w:val="00295400"/>
    <w:rsid w:val="00295530"/>
    <w:rsid w:val="002958E0"/>
    <w:rsid w:val="002959A5"/>
    <w:rsid w:val="00295D00"/>
    <w:rsid w:val="00295DE7"/>
    <w:rsid w:val="00295EE2"/>
    <w:rsid w:val="00296346"/>
    <w:rsid w:val="002963B4"/>
    <w:rsid w:val="002963DA"/>
    <w:rsid w:val="002966CE"/>
    <w:rsid w:val="00296A4E"/>
    <w:rsid w:val="00296BD5"/>
    <w:rsid w:val="00296BE8"/>
    <w:rsid w:val="00296CD5"/>
    <w:rsid w:val="00296F62"/>
    <w:rsid w:val="0029753C"/>
    <w:rsid w:val="00297803"/>
    <w:rsid w:val="00297CA6"/>
    <w:rsid w:val="00297CD4"/>
    <w:rsid w:val="00297DF7"/>
    <w:rsid w:val="00297E09"/>
    <w:rsid w:val="00297E9A"/>
    <w:rsid w:val="00297EA0"/>
    <w:rsid w:val="002A02BC"/>
    <w:rsid w:val="002A03FD"/>
    <w:rsid w:val="002A04C2"/>
    <w:rsid w:val="002A0532"/>
    <w:rsid w:val="002A0570"/>
    <w:rsid w:val="002A059D"/>
    <w:rsid w:val="002A07C3"/>
    <w:rsid w:val="002A0857"/>
    <w:rsid w:val="002A094D"/>
    <w:rsid w:val="002A0950"/>
    <w:rsid w:val="002A0BBC"/>
    <w:rsid w:val="002A1013"/>
    <w:rsid w:val="002A12EB"/>
    <w:rsid w:val="002A15D4"/>
    <w:rsid w:val="002A1800"/>
    <w:rsid w:val="002A18FA"/>
    <w:rsid w:val="002A194E"/>
    <w:rsid w:val="002A19A2"/>
    <w:rsid w:val="002A1B46"/>
    <w:rsid w:val="002A1E79"/>
    <w:rsid w:val="002A1F85"/>
    <w:rsid w:val="002A2475"/>
    <w:rsid w:val="002A2487"/>
    <w:rsid w:val="002A25CF"/>
    <w:rsid w:val="002A2614"/>
    <w:rsid w:val="002A2620"/>
    <w:rsid w:val="002A268E"/>
    <w:rsid w:val="002A2E67"/>
    <w:rsid w:val="002A2FC6"/>
    <w:rsid w:val="002A3486"/>
    <w:rsid w:val="002A3828"/>
    <w:rsid w:val="002A388E"/>
    <w:rsid w:val="002A3A43"/>
    <w:rsid w:val="002A3B90"/>
    <w:rsid w:val="002A3BB4"/>
    <w:rsid w:val="002A3BDF"/>
    <w:rsid w:val="002A3C26"/>
    <w:rsid w:val="002A3E20"/>
    <w:rsid w:val="002A3F91"/>
    <w:rsid w:val="002A40BB"/>
    <w:rsid w:val="002A41B2"/>
    <w:rsid w:val="002A41FA"/>
    <w:rsid w:val="002A43C9"/>
    <w:rsid w:val="002A4403"/>
    <w:rsid w:val="002A48E6"/>
    <w:rsid w:val="002A4989"/>
    <w:rsid w:val="002A4E30"/>
    <w:rsid w:val="002A4EFA"/>
    <w:rsid w:val="002A522F"/>
    <w:rsid w:val="002A5265"/>
    <w:rsid w:val="002A54D5"/>
    <w:rsid w:val="002A54DC"/>
    <w:rsid w:val="002A5658"/>
    <w:rsid w:val="002A56A3"/>
    <w:rsid w:val="002A5AD9"/>
    <w:rsid w:val="002A5AE9"/>
    <w:rsid w:val="002A60AF"/>
    <w:rsid w:val="002A67B6"/>
    <w:rsid w:val="002A68C1"/>
    <w:rsid w:val="002A690D"/>
    <w:rsid w:val="002A69BC"/>
    <w:rsid w:val="002A6A9B"/>
    <w:rsid w:val="002A6ACC"/>
    <w:rsid w:val="002A6C55"/>
    <w:rsid w:val="002A6DF3"/>
    <w:rsid w:val="002A73AB"/>
    <w:rsid w:val="002A742A"/>
    <w:rsid w:val="002A747F"/>
    <w:rsid w:val="002A74AA"/>
    <w:rsid w:val="002A764B"/>
    <w:rsid w:val="002A76B9"/>
    <w:rsid w:val="002A78A0"/>
    <w:rsid w:val="002A7B2A"/>
    <w:rsid w:val="002A7B6E"/>
    <w:rsid w:val="002A7C2E"/>
    <w:rsid w:val="002A7C43"/>
    <w:rsid w:val="002B0111"/>
    <w:rsid w:val="002B02CF"/>
    <w:rsid w:val="002B047C"/>
    <w:rsid w:val="002B05C1"/>
    <w:rsid w:val="002B14A8"/>
    <w:rsid w:val="002B14F1"/>
    <w:rsid w:val="002B164A"/>
    <w:rsid w:val="002B18D8"/>
    <w:rsid w:val="002B19C6"/>
    <w:rsid w:val="002B1A59"/>
    <w:rsid w:val="002B1B1B"/>
    <w:rsid w:val="002B2110"/>
    <w:rsid w:val="002B2690"/>
    <w:rsid w:val="002B28BB"/>
    <w:rsid w:val="002B2928"/>
    <w:rsid w:val="002B2B9C"/>
    <w:rsid w:val="002B3155"/>
    <w:rsid w:val="002B37D0"/>
    <w:rsid w:val="002B37E2"/>
    <w:rsid w:val="002B3CBD"/>
    <w:rsid w:val="002B3F51"/>
    <w:rsid w:val="002B3FB5"/>
    <w:rsid w:val="002B4184"/>
    <w:rsid w:val="002B41D1"/>
    <w:rsid w:val="002B487F"/>
    <w:rsid w:val="002B499B"/>
    <w:rsid w:val="002B4A20"/>
    <w:rsid w:val="002B4B7C"/>
    <w:rsid w:val="002B4FF2"/>
    <w:rsid w:val="002B5087"/>
    <w:rsid w:val="002B50AD"/>
    <w:rsid w:val="002B5354"/>
    <w:rsid w:val="002B539D"/>
    <w:rsid w:val="002B541D"/>
    <w:rsid w:val="002B5D45"/>
    <w:rsid w:val="002B6452"/>
    <w:rsid w:val="002B64C1"/>
    <w:rsid w:val="002B66D1"/>
    <w:rsid w:val="002B67EF"/>
    <w:rsid w:val="002B6BEF"/>
    <w:rsid w:val="002B6BF8"/>
    <w:rsid w:val="002B6CAD"/>
    <w:rsid w:val="002B6D8B"/>
    <w:rsid w:val="002B6D9F"/>
    <w:rsid w:val="002B6FA0"/>
    <w:rsid w:val="002B7079"/>
    <w:rsid w:val="002B71A0"/>
    <w:rsid w:val="002B74F6"/>
    <w:rsid w:val="002B7B06"/>
    <w:rsid w:val="002B7CF8"/>
    <w:rsid w:val="002B7D8D"/>
    <w:rsid w:val="002B7E2F"/>
    <w:rsid w:val="002C0094"/>
    <w:rsid w:val="002C0348"/>
    <w:rsid w:val="002C067C"/>
    <w:rsid w:val="002C084E"/>
    <w:rsid w:val="002C0D6A"/>
    <w:rsid w:val="002C0E0C"/>
    <w:rsid w:val="002C0E1A"/>
    <w:rsid w:val="002C0FCF"/>
    <w:rsid w:val="002C10FD"/>
    <w:rsid w:val="002C14BA"/>
    <w:rsid w:val="002C1758"/>
    <w:rsid w:val="002C19BF"/>
    <w:rsid w:val="002C1BE8"/>
    <w:rsid w:val="002C1CAB"/>
    <w:rsid w:val="002C1D41"/>
    <w:rsid w:val="002C1E70"/>
    <w:rsid w:val="002C2156"/>
    <w:rsid w:val="002C24AF"/>
    <w:rsid w:val="002C25D2"/>
    <w:rsid w:val="002C261B"/>
    <w:rsid w:val="002C2AA7"/>
    <w:rsid w:val="002C2ADF"/>
    <w:rsid w:val="002C2CA9"/>
    <w:rsid w:val="002C2EA6"/>
    <w:rsid w:val="002C2F58"/>
    <w:rsid w:val="002C30D7"/>
    <w:rsid w:val="002C3499"/>
    <w:rsid w:val="002C4110"/>
    <w:rsid w:val="002C4148"/>
    <w:rsid w:val="002C4177"/>
    <w:rsid w:val="002C431A"/>
    <w:rsid w:val="002C4601"/>
    <w:rsid w:val="002C46A9"/>
    <w:rsid w:val="002C497B"/>
    <w:rsid w:val="002C4F35"/>
    <w:rsid w:val="002C5050"/>
    <w:rsid w:val="002C5233"/>
    <w:rsid w:val="002C53AA"/>
    <w:rsid w:val="002C5402"/>
    <w:rsid w:val="002C545A"/>
    <w:rsid w:val="002C5627"/>
    <w:rsid w:val="002C61AB"/>
    <w:rsid w:val="002C640D"/>
    <w:rsid w:val="002C69C0"/>
    <w:rsid w:val="002C69CF"/>
    <w:rsid w:val="002C6A30"/>
    <w:rsid w:val="002C6AB6"/>
    <w:rsid w:val="002C6AD4"/>
    <w:rsid w:val="002C6E06"/>
    <w:rsid w:val="002C6EB7"/>
    <w:rsid w:val="002C6F0E"/>
    <w:rsid w:val="002C7256"/>
    <w:rsid w:val="002C78CB"/>
    <w:rsid w:val="002C7901"/>
    <w:rsid w:val="002C794E"/>
    <w:rsid w:val="002C7A0B"/>
    <w:rsid w:val="002C7BBE"/>
    <w:rsid w:val="002C7E84"/>
    <w:rsid w:val="002C7F37"/>
    <w:rsid w:val="002D0025"/>
    <w:rsid w:val="002D06EB"/>
    <w:rsid w:val="002D0A94"/>
    <w:rsid w:val="002D0B50"/>
    <w:rsid w:val="002D0BF7"/>
    <w:rsid w:val="002D1043"/>
    <w:rsid w:val="002D1063"/>
    <w:rsid w:val="002D11F3"/>
    <w:rsid w:val="002D161B"/>
    <w:rsid w:val="002D1715"/>
    <w:rsid w:val="002D1FDB"/>
    <w:rsid w:val="002D2B25"/>
    <w:rsid w:val="002D2D17"/>
    <w:rsid w:val="002D2D40"/>
    <w:rsid w:val="002D3429"/>
    <w:rsid w:val="002D34CD"/>
    <w:rsid w:val="002D3830"/>
    <w:rsid w:val="002D390E"/>
    <w:rsid w:val="002D3B02"/>
    <w:rsid w:val="002D407D"/>
    <w:rsid w:val="002D4201"/>
    <w:rsid w:val="002D45B7"/>
    <w:rsid w:val="002D481D"/>
    <w:rsid w:val="002D484E"/>
    <w:rsid w:val="002D4CFC"/>
    <w:rsid w:val="002D4D25"/>
    <w:rsid w:val="002D4E57"/>
    <w:rsid w:val="002D5123"/>
    <w:rsid w:val="002D5340"/>
    <w:rsid w:val="002D5435"/>
    <w:rsid w:val="002D5756"/>
    <w:rsid w:val="002D5C38"/>
    <w:rsid w:val="002D5D9C"/>
    <w:rsid w:val="002D5E7E"/>
    <w:rsid w:val="002D602B"/>
    <w:rsid w:val="002D65AE"/>
    <w:rsid w:val="002D6751"/>
    <w:rsid w:val="002D6765"/>
    <w:rsid w:val="002D682B"/>
    <w:rsid w:val="002D69AD"/>
    <w:rsid w:val="002D6A85"/>
    <w:rsid w:val="002D7356"/>
    <w:rsid w:val="002D74C0"/>
    <w:rsid w:val="002D77EC"/>
    <w:rsid w:val="002D78BA"/>
    <w:rsid w:val="002D79B6"/>
    <w:rsid w:val="002D7AEC"/>
    <w:rsid w:val="002D7DE5"/>
    <w:rsid w:val="002E01DB"/>
    <w:rsid w:val="002E0208"/>
    <w:rsid w:val="002E02DF"/>
    <w:rsid w:val="002E0300"/>
    <w:rsid w:val="002E03AA"/>
    <w:rsid w:val="002E0777"/>
    <w:rsid w:val="002E07AE"/>
    <w:rsid w:val="002E0955"/>
    <w:rsid w:val="002E0D2E"/>
    <w:rsid w:val="002E0EE8"/>
    <w:rsid w:val="002E0F62"/>
    <w:rsid w:val="002E1375"/>
    <w:rsid w:val="002E14A5"/>
    <w:rsid w:val="002E1504"/>
    <w:rsid w:val="002E1A3D"/>
    <w:rsid w:val="002E1AD0"/>
    <w:rsid w:val="002E1D1A"/>
    <w:rsid w:val="002E1D57"/>
    <w:rsid w:val="002E2219"/>
    <w:rsid w:val="002E2488"/>
    <w:rsid w:val="002E2530"/>
    <w:rsid w:val="002E25A6"/>
    <w:rsid w:val="002E2A3A"/>
    <w:rsid w:val="002E2CAF"/>
    <w:rsid w:val="002E2D7D"/>
    <w:rsid w:val="002E31A4"/>
    <w:rsid w:val="002E334A"/>
    <w:rsid w:val="002E33CA"/>
    <w:rsid w:val="002E3502"/>
    <w:rsid w:val="002E3546"/>
    <w:rsid w:val="002E3B41"/>
    <w:rsid w:val="002E3CA0"/>
    <w:rsid w:val="002E3CD9"/>
    <w:rsid w:val="002E3CE0"/>
    <w:rsid w:val="002E465F"/>
    <w:rsid w:val="002E48AC"/>
    <w:rsid w:val="002E49A2"/>
    <w:rsid w:val="002E4E74"/>
    <w:rsid w:val="002E4FF7"/>
    <w:rsid w:val="002E564D"/>
    <w:rsid w:val="002E572F"/>
    <w:rsid w:val="002E6024"/>
    <w:rsid w:val="002E638C"/>
    <w:rsid w:val="002E64CF"/>
    <w:rsid w:val="002E6967"/>
    <w:rsid w:val="002E6C15"/>
    <w:rsid w:val="002E6C57"/>
    <w:rsid w:val="002E6C70"/>
    <w:rsid w:val="002E702A"/>
    <w:rsid w:val="002E70B1"/>
    <w:rsid w:val="002E711A"/>
    <w:rsid w:val="002E7385"/>
    <w:rsid w:val="002E75F2"/>
    <w:rsid w:val="002E7684"/>
    <w:rsid w:val="002F005F"/>
    <w:rsid w:val="002F05BC"/>
    <w:rsid w:val="002F099B"/>
    <w:rsid w:val="002F09AA"/>
    <w:rsid w:val="002F163C"/>
    <w:rsid w:val="002F18C5"/>
    <w:rsid w:val="002F2112"/>
    <w:rsid w:val="002F2171"/>
    <w:rsid w:val="002F23D3"/>
    <w:rsid w:val="002F2474"/>
    <w:rsid w:val="002F2749"/>
    <w:rsid w:val="002F27AE"/>
    <w:rsid w:val="002F2956"/>
    <w:rsid w:val="002F2A51"/>
    <w:rsid w:val="002F2E4B"/>
    <w:rsid w:val="002F2EA5"/>
    <w:rsid w:val="002F2FEC"/>
    <w:rsid w:val="002F318F"/>
    <w:rsid w:val="002F3354"/>
    <w:rsid w:val="002F34C6"/>
    <w:rsid w:val="002F374F"/>
    <w:rsid w:val="002F377C"/>
    <w:rsid w:val="002F3819"/>
    <w:rsid w:val="002F3DBA"/>
    <w:rsid w:val="002F3F58"/>
    <w:rsid w:val="002F3FF5"/>
    <w:rsid w:val="002F402A"/>
    <w:rsid w:val="002F40D0"/>
    <w:rsid w:val="002F453D"/>
    <w:rsid w:val="002F49DB"/>
    <w:rsid w:val="002F49E2"/>
    <w:rsid w:val="002F4C7F"/>
    <w:rsid w:val="002F4CDF"/>
    <w:rsid w:val="002F4DDB"/>
    <w:rsid w:val="002F4E64"/>
    <w:rsid w:val="002F513E"/>
    <w:rsid w:val="002F5695"/>
    <w:rsid w:val="002F572B"/>
    <w:rsid w:val="002F596A"/>
    <w:rsid w:val="002F5E74"/>
    <w:rsid w:val="002F6050"/>
    <w:rsid w:val="002F6544"/>
    <w:rsid w:val="002F68DC"/>
    <w:rsid w:val="002F698F"/>
    <w:rsid w:val="002F6A54"/>
    <w:rsid w:val="002F6B58"/>
    <w:rsid w:val="002F6BA2"/>
    <w:rsid w:val="002F6D1A"/>
    <w:rsid w:val="002F6DA0"/>
    <w:rsid w:val="002F6F9C"/>
    <w:rsid w:val="002F714B"/>
    <w:rsid w:val="002F7169"/>
    <w:rsid w:val="002F716F"/>
    <w:rsid w:val="002F7186"/>
    <w:rsid w:val="002F74F4"/>
    <w:rsid w:val="002F7EF5"/>
    <w:rsid w:val="003000B2"/>
    <w:rsid w:val="00300119"/>
    <w:rsid w:val="00300198"/>
    <w:rsid w:val="003002AE"/>
    <w:rsid w:val="0030032F"/>
    <w:rsid w:val="00300387"/>
    <w:rsid w:val="00300746"/>
    <w:rsid w:val="00300829"/>
    <w:rsid w:val="00300B69"/>
    <w:rsid w:val="00301351"/>
    <w:rsid w:val="00301373"/>
    <w:rsid w:val="003018A1"/>
    <w:rsid w:val="003019BD"/>
    <w:rsid w:val="00301AA8"/>
    <w:rsid w:val="00301C9B"/>
    <w:rsid w:val="00301CC5"/>
    <w:rsid w:val="00301F10"/>
    <w:rsid w:val="0030218A"/>
    <w:rsid w:val="003021BD"/>
    <w:rsid w:val="00302755"/>
    <w:rsid w:val="003028D4"/>
    <w:rsid w:val="00302AFE"/>
    <w:rsid w:val="00302EB0"/>
    <w:rsid w:val="00303074"/>
    <w:rsid w:val="003031EB"/>
    <w:rsid w:val="003034F8"/>
    <w:rsid w:val="003036EC"/>
    <w:rsid w:val="0030370B"/>
    <w:rsid w:val="0030376C"/>
    <w:rsid w:val="0030380A"/>
    <w:rsid w:val="00303A9A"/>
    <w:rsid w:val="00303DFD"/>
    <w:rsid w:val="00303E7B"/>
    <w:rsid w:val="003041F4"/>
    <w:rsid w:val="0030435C"/>
    <w:rsid w:val="00304675"/>
    <w:rsid w:val="003049C1"/>
    <w:rsid w:val="00304A82"/>
    <w:rsid w:val="00304B9E"/>
    <w:rsid w:val="00304FD9"/>
    <w:rsid w:val="0030503C"/>
    <w:rsid w:val="00305049"/>
    <w:rsid w:val="0030576E"/>
    <w:rsid w:val="003057CF"/>
    <w:rsid w:val="00305846"/>
    <w:rsid w:val="003058C7"/>
    <w:rsid w:val="00305E14"/>
    <w:rsid w:val="00305E8B"/>
    <w:rsid w:val="003069AB"/>
    <w:rsid w:val="00306B23"/>
    <w:rsid w:val="00306C70"/>
    <w:rsid w:val="00306D98"/>
    <w:rsid w:val="00306E4A"/>
    <w:rsid w:val="0030722E"/>
    <w:rsid w:val="003073EF"/>
    <w:rsid w:val="00307731"/>
    <w:rsid w:val="00307AF9"/>
    <w:rsid w:val="00307B31"/>
    <w:rsid w:val="00307D3E"/>
    <w:rsid w:val="00307F45"/>
    <w:rsid w:val="003101F7"/>
    <w:rsid w:val="00310326"/>
    <w:rsid w:val="0031053A"/>
    <w:rsid w:val="0031078B"/>
    <w:rsid w:val="00310858"/>
    <w:rsid w:val="00310B67"/>
    <w:rsid w:val="00310BE9"/>
    <w:rsid w:val="003111A0"/>
    <w:rsid w:val="003114EB"/>
    <w:rsid w:val="00311FFF"/>
    <w:rsid w:val="00312100"/>
    <w:rsid w:val="003122B3"/>
    <w:rsid w:val="0031259C"/>
    <w:rsid w:val="00312962"/>
    <w:rsid w:val="003129A9"/>
    <w:rsid w:val="00312CB9"/>
    <w:rsid w:val="00312EB8"/>
    <w:rsid w:val="003130CF"/>
    <w:rsid w:val="003135E4"/>
    <w:rsid w:val="003139A2"/>
    <w:rsid w:val="00313B4D"/>
    <w:rsid w:val="00313DF7"/>
    <w:rsid w:val="00314120"/>
    <w:rsid w:val="00314402"/>
    <w:rsid w:val="00314425"/>
    <w:rsid w:val="003146E5"/>
    <w:rsid w:val="0031477B"/>
    <w:rsid w:val="003148EC"/>
    <w:rsid w:val="003149F6"/>
    <w:rsid w:val="00314A4A"/>
    <w:rsid w:val="00314A7A"/>
    <w:rsid w:val="00314CE8"/>
    <w:rsid w:val="00314D2E"/>
    <w:rsid w:val="00315156"/>
    <w:rsid w:val="00315290"/>
    <w:rsid w:val="00315406"/>
    <w:rsid w:val="00315682"/>
    <w:rsid w:val="00315716"/>
    <w:rsid w:val="003158FE"/>
    <w:rsid w:val="0031647C"/>
    <w:rsid w:val="00316E84"/>
    <w:rsid w:val="0031707D"/>
    <w:rsid w:val="0031728B"/>
    <w:rsid w:val="003177C4"/>
    <w:rsid w:val="00317856"/>
    <w:rsid w:val="00317930"/>
    <w:rsid w:val="00317C67"/>
    <w:rsid w:val="0032008D"/>
    <w:rsid w:val="003202D2"/>
    <w:rsid w:val="003205EB"/>
    <w:rsid w:val="0032080A"/>
    <w:rsid w:val="003208AC"/>
    <w:rsid w:val="003209B4"/>
    <w:rsid w:val="00320B65"/>
    <w:rsid w:val="00320DDA"/>
    <w:rsid w:val="00321477"/>
    <w:rsid w:val="00321534"/>
    <w:rsid w:val="00321922"/>
    <w:rsid w:val="00321A77"/>
    <w:rsid w:val="00321B0B"/>
    <w:rsid w:val="00321E2A"/>
    <w:rsid w:val="003224E1"/>
    <w:rsid w:val="003227EA"/>
    <w:rsid w:val="003231C3"/>
    <w:rsid w:val="00323234"/>
    <w:rsid w:val="003232A0"/>
    <w:rsid w:val="003232D6"/>
    <w:rsid w:val="00323566"/>
    <w:rsid w:val="00323910"/>
    <w:rsid w:val="00323BE8"/>
    <w:rsid w:val="00323F4C"/>
    <w:rsid w:val="0032419D"/>
    <w:rsid w:val="00324413"/>
    <w:rsid w:val="003247BC"/>
    <w:rsid w:val="00324EFE"/>
    <w:rsid w:val="00325A3C"/>
    <w:rsid w:val="00325E68"/>
    <w:rsid w:val="0032606C"/>
    <w:rsid w:val="003262E3"/>
    <w:rsid w:val="003263DF"/>
    <w:rsid w:val="003266BA"/>
    <w:rsid w:val="0032696F"/>
    <w:rsid w:val="00326D8F"/>
    <w:rsid w:val="00326EBE"/>
    <w:rsid w:val="0032705C"/>
    <w:rsid w:val="003270B3"/>
    <w:rsid w:val="00327357"/>
    <w:rsid w:val="003274AB"/>
    <w:rsid w:val="00327784"/>
    <w:rsid w:val="00327C3A"/>
    <w:rsid w:val="00327CB1"/>
    <w:rsid w:val="00327D21"/>
    <w:rsid w:val="00327DCA"/>
    <w:rsid w:val="00330354"/>
    <w:rsid w:val="003308E6"/>
    <w:rsid w:val="00330B99"/>
    <w:rsid w:val="00330C19"/>
    <w:rsid w:val="00330D95"/>
    <w:rsid w:val="00330E32"/>
    <w:rsid w:val="003310D2"/>
    <w:rsid w:val="0033111D"/>
    <w:rsid w:val="0033188C"/>
    <w:rsid w:val="003318A9"/>
    <w:rsid w:val="00331BE2"/>
    <w:rsid w:val="00331CF7"/>
    <w:rsid w:val="00331FB6"/>
    <w:rsid w:val="0033211C"/>
    <w:rsid w:val="00332142"/>
    <w:rsid w:val="003321F0"/>
    <w:rsid w:val="003321F3"/>
    <w:rsid w:val="003327B5"/>
    <w:rsid w:val="0033283B"/>
    <w:rsid w:val="0033287C"/>
    <w:rsid w:val="003329D4"/>
    <w:rsid w:val="00332CBE"/>
    <w:rsid w:val="00332CFC"/>
    <w:rsid w:val="00332E83"/>
    <w:rsid w:val="003332AA"/>
    <w:rsid w:val="003334D8"/>
    <w:rsid w:val="00333568"/>
    <w:rsid w:val="00333863"/>
    <w:rsid w:val="00333CF6"/>
    <w:rsid w:val="0033460C"/>
    <w:rsid w:val="00334CDB"/>
    <w:rsid w:val="003352B5"/>
    <w:rsid w:val="00335442"/>
    <w:rsid w:val="00335603"/>
    <w:rsid w:val="0033597E"/>
    <w:rsid w:val="00335BB4"/>
    <w:rsid w:val="00335C78"/>
    <w:rsid w:val="00336172"/>
    <w:rsid w:val="0033644C"/>
    <w:rsid w:val="0033666B"/>
    <w:rsid w:val="003369B8"/>
    <w:rsid w:val="00336DEA"/>
    <w:rsid w:val="00336F4A"/>
    <w:rsid w:val="003371A6"/>
    <w:rsid w:val="00337387"/>
    <w:rsid w:val="0033752C"/>
    <w:rsid w:val="00337554"/>
    <w:rsid w:val="003376A5"/>
    <w:rsid w:val="00337BC4"/>
    <w:rsid w:val="00337F52"/>
    <w:rsid w:val="00340268"/>
    <w:rsid w:val="0034044D"/>
    <w:rsid w:val="003405F9"/>
    <w:rsid w:val="003409FE"/>
    <w:rsid w:val="00340BB1"/>
    <w:rsid w:val="00340D0B"/>
    <w:rsid w:val="00340F4D"/>
    <w:rsid w:val="00341172"/>
    <w:rsid w:val="0034123E"/>
    <w:rsid w:val="0034140B"/>
    <w:rsid w:val="003417FA"/>
    <w:rsid w:val="00341855"/>
    <w:rsid w:val="003421EE"/>
    <w:rsid w:val="0034229D"/>
    <w:rsid w:val="0034231E"/>
    <w:rsid w:val="00342512"/>
    <w:rsid w:val="00342660"/>
    <w:rsid w:val="003427BE"/>
    <w:rsid w:val="00342A87"/>
    <w:rsid w:val="00342CDA"/>
    <w:rsid w:val="00342DD2"/>
    <w:rsid w:val="00342F6B"/>
    <w:rsid w:val="00343456"/>
    <w:rsid w:val="0034345D"/>
    <w:rsid w:val="003435B8"/>
    <w:rsid w:val="00343638"/>
    <w:rsid w:val="003439C3"/>
    <w:rsid w:val="00343A11"/>
    <w:rsid w:val="00343C40"/>
    <w:rsid w:val="00343D31"/>
    <w:rsid w:val="00343D3B"/>
    <w:rsid w:val="00343EEA"/>
    <w:rsid w:val="00343F4B"/>
    <w:rsid w:val="00343F5F"/>
    <w:rsid w:val="0034473C"/>
    <w:rsid w:val="00344C0F"/>
    <w:rsid w:val="00344D56"/>
    <w:rsid w:val="00344ECD"/>
    <w:rsid w:val="003451C1"/>
    <w:rsid w:val="0034530B"/>
    <w:rsid w:val="00345721"/>
    <w:rsid w:val="0034598A"/>
    <w:rsid w:val="00345B0F"/>
    <w:rsid w:val="00345D6F"/>
    <w:rsid w:val="00345F73"/>
    <w:rsid w:val="00346403"/>
    <w:rsid w:val="00346572"/>
    <w:rsid w:val="00346616"/>
    <w:rsid w:val="003467F7"/>
    <w:rsid w:val="003468FC"/>
    <w:rsid w:val="0034694F"/>
    <w:rsid w:val="0034696B"/>
    <w:rsid w:val="00346A08"/>
    <w:rsid w:val="00346A43"/>
    <w:rsid w:val="00346ADA"/>
    <w:rsid w:val="00346E10"/>
    <w:rsid w:val="00347639"/>
    <w:rsid w:val="00347AB3"/>
    <w:rsid w:val="00347CC0"/>
    <w:rsid w:val="00347CFA"/>
    <w:rsid w:val="00347E60"/>
    <w:rsid w:val="00347EE5"/>
    <w:rsid w:val="003500BC"/>
    <w:rsid w:val="0035012D"/>
    <w:rsid w:val="00350258"/>
    <w:rsid w:val="00350843"/>
    <w:rsid w:val="003509E0"/>
    <w:rsid w:val="00350A5F"/>
    <w:rsid w:val="00350B2F"/>
    <w:rsid w:val="00350E84"/>
    <w:rsid w:val="00350FBE"/>
    <w:rsid w:val="00350FD4"/>
    <w:rsid w:val="003512B4"/>
    <w:rsid w:val="003513D1"/>
    <w:rsid w:val="0035167E"/>
    <w:rsid w:val="0035184D"/>
    <w:rsid w:val="003518E6"/>
    <w:rsid w:val="00351B24"/>
    <w:rsid w:val="00351D64"/>
    <w:rsid w:val="00352275"/>
    <w:rsid w:val="0035273D"/>
    <w:rsid w:val="0035290B"/>
    <w:rsid w:val="00352F75"/>
    <w:rsid w:val="003530CA"/>
    <w:rsid w:val="003532A5"/>
    <w:rsid w:val="0035348F"/>
    <w:rsid w:val="00353663"/>
    <w:rsid w:val="003539BB"/>
    <w:rsid w:val="00353EC2"/>
    <w:rsid w:val="00354152"/>
    <w:rsid w:val="003542CF"/>
    <w:rsid w:val="00354864"/>
    <w:rsid w:val="00354A29"/>
    <w:rsid w:val="00354D1F"/>
    <w:rsid w:val="00354E0C"/>
    <w:rsid w:val="003550BE"/>
    <w:rsid w:val="003552C0"/>
    <w:rsid w:val="003558C5"/>
    <w:rsid w:val="00355BC7"/>
    <w:rsid w:val="00355C11"/>
    <w:rsid w:val="00355D67"/>
    <w:rsid w:val="00355E5D"/>
    <w:rsid w:val="00355E9C"/>
    <w:rsid w:val="003561FE"/>
    <w:rsid w:val="0035667C"/>
    <w:rsid w:val="003566D1"/>
    <w:rsid w:val="00356A0D"/>
    <w:rsid w:val="003571F9"/>
    <w:rsid w:val="00357587"/>
    <w:rsid w:val="00357762"/>
    <w:rsid w:val="003578B1"/>
    <w:rsid w:val="00357A55"/>
    <w:rsid w:val="00357B85"/>
    <w:rsid w:val="00357BF3"/>
    <w:rsid w:val="003600C3"/>
    <w:rsid w:val="0036010C"/>
    <w:rsid w:val="00360420"/>
    <w:rsid w:val="0036067F"/>
    <w:rsid w:val="00360763"/>
    <w:rsid w:val="00360849"/>
    <w:rsid w:val="003608D4"/>
    <w:rsid w:val="003608E5"/>
    <w:rsid w:val="00360A08"/>
    <w:rsid w:val="00360B78"/>
    <w:rsid w:val="00360F69"/>
    <w:rsid w:val="0036100E"/>
    <w:rsid w:val="00361167"/>
    <w:rsid w:val="003612DC"/>
    <w:rsid w:val="00361500"/>
    <w:rsid w:val="00361649"/>
    <w:rsid w:val="003618AD"/>
    <w:rsid w:val="00361964"/>
    <w:rsid w:val="00361A8D"/>
    <w:rsid w:val="00361B8C"/>
    <w:rsid w:val="00361CEC"/>
    <w:rsid w:val="00361E15"/>
    <w:rsid w:val="00361E69"/>
    <w:rsid w:val="003627C2"/>
    <w:rsid w:val="00362A8C"/>
    <w:rsid w:val="00362BD5"/>
    <w:rsid w:val="00363295"/>
    <w:rsid w:val="00363359"/>
    <w:rsid w:val="00363520"/>
    <w:rsid w:val="0036355B"/>
    <w:rsid w:val="003637DF"/>
    <w:rsid w:val="003639AA"/>
    <w:rsid w:val="00363AAD"/>
    <w:rsid w:val="003640F6"/>
    <w:rsid w:val="003644A7"/>
    <w:rsid w:val="003648D8"/>
    <w:rsid w:val="00364978"/>
    <w:rsid w:val="00364987"/>
    <w:rsid w:val="00364B33"/>
    <w:rsid w:val="00364B7F"/>
    <w:rsid w:val="00364BC4"/>
    <w:rsid w:val="00364BFC"/>
    <w:rsid w:val="00364C8D"/>
    <w:rsid w:val="00364D4A"/>
    <w:rsid w:val="00364E4A"/>
    <w:rsid w:val="00364E8D"/>
    <w:rsid w:val="00364FC9"/>
    <w:rsid w:val="003652A0"/>
    <w:rsid w:val="0036545C"/>
    <w:rsid w:val="0036571F"/>
    <w:rsid w:val="003658CE"/>
    <w:rsid w:val="00365A27"/>
    <w:rsid w:val="00365C21"/>
    <w:rsid w:val="00365D7E"/>
    <w:rsid w:val="00366062"/>
    <w:rsid w:val="0036612B"/>
    <w:rsid w:val="00366198"/>
    <w:rsid w:val="00366360"/>
    <w:rsid w:val="00366367"/>
    <w:rsid w:val="003663A9"/>
    <w:rsid w:val="003666F3"/>
    <w:rsid w:val="0036692E"/>
    <w:rsid w:val="003669D3"/>
    <w:rsid w:val="00366D54"/>
    <w:rsid w:val="00366DC7"/>
    <w:rsid w:val="00366E76"/>
    <w:rsid w:val="00367203"/>
    <w:rsid w:val="003673D8"/>
    <w:rsid w:val="00367428"/>
    <w:rsid w:val="00367515"/>
    <w:rsid w:val="00367639"/>
    <w:rsid w:val="00367994"/>
    <w:rsid w:val="00367BBC"/>
    <w:rsid w:val="00367CB8"/>
    <w:rsid w:val="003700F1"/>
    <w:rsid w:val="00370475"/>
    <w:rsid w:val="00370644"/>
    <w:rsid w:val="00370718"/>
    <w:rsid w:val="003707C5"/>
    <w:rsid w:val="00370873"/>
    <w:rsid w:val="0037090A"/>
    <w:rsid w:val="00370A00"/>
    <w:rsid w:val="00370A02"/>
    <w:rsid w:val="00370D95"/>
    <w:rsid w:val="00370DA0"/>
    <w:rsid w:val="00370DC2"/>
    <w:rsid w:val="00370F2D"/>
    <w:rsid w:val="00370F76"/>
    <w:rsid w:val="0037159C"/>
    <w:rsid w:val="003717BB"/>
    <w:rsid w:val="0037199A"/>
    <w:rsid w:val="00371B09"/>
    <w:rsid w:val="00372316"/>
    <w:rsid w:val="00372CC2"/>
    <w:rsid w:val="00372FF9"/>
    <w:rsid w:val="00373357"/>
    <w:rsid w:val="00373C2E"/>
    <w:rsid w:val="00373D36"/>
    <w:rsid w:val="003745A1"/>
    <w:rsid w:val="003747E5"/>
    <w:rsid w:val="00374983"/>
    <w:rsid w:val="00374A2D"/>
    <w:rsid w:val="00374C66"/>
    <w:rsid w:val="00374CE9"/>
    <w:rsid w:val="00374D2C"/>
    <w:rsid w:val="00374DB9"/>
    <w:rsid w:val="00374E74"/>
    <w:rsid w:val="00374E9B"/>
    <w:rsid w:val="00375CBF"/>
    <w:rsid w:val="00375EFC"/>
    <w:rsid w:val="00375FAC"/>
    <w:rsid w:val="003763D1"/>
    <w:rsid w:val="003765E0"/>
    <w:rsid w:val="003766ED"/>
    <w:rsid w:val="00376701"/>
    <w:rsid w:val="00376A30"/>
    <w:rsid w:val="00376AC8"/>
    <w:rsid w:val="00376B30"/>
    <w:rsid w:val="00376E78"/>
    <w:rsid w:val="00376E8F"/>
    <w:rsid w:val="003772AA"/>
    <w:rsid w:val="003773A0"/>
    <w:rsid w:val="00377453"/>
    <w:rsid w:val="0037745E"/>
    <w:rsid w:val="00377817"/>
    <w:rsid w:val="00377A68"/>
    <w:rsid w:val="00377AAB"/>
    <w:rsid w:val="00377AB4"/>
    <w:rsid w:val="00377B63"/>
    <w:rsid w:val="00377BCC"/>
    <w:rsid w:val="00377DB9"/>
    <w:rsid w:val="003804D1"/>
    <w:rsid w:val="003807D5"/>
    <w:rsid w:val="0038088A"/>
    <w:rsid w:val="00380C40"/>
    <w:rsid w:val="00380DB9"/>
    <w:rsid w:val="00380EA8"/>
    <w:rsid w:val="00381167"/>
    <w:rsid w:val="0038122B"/>
    <w:rsid w:val="00381316"/>
    <w:rsid w:val="00381445"/>
    <w:rsid w:val="003814D3"/>
    <w:rsid w:val="00381F8D"/>
    <w:rsid w:val="003825B7"/>
    <w:rsid w:val="003827D2"/>
    <w:rsid w:val="0038285B"/>
    <w:rsid w:val="00382AD1"/>
    <w:rsid w:val="00382BE6"/>
    <w:rsid w:val="00382E00"/>
    <w:rsid w:val="00382F1F"/>
    <w:rsid w:val="00383386"/>
    <w:rsid w:val="0038344A"/>
    <w:rsid w:val="003834FA"/>
    <w:rsid w:val="003835EF"/>
    <w:rsid w:val="003837B0"/>
    <w:rsid w:val="003837CC"/>
    <w:rsid w:val="003838B8"/>
    <w:rsid w:val="00383968"/>
    <w:rsid w:val="00383AC6"/>
    <w:rsid w:val="00383BA0"/>
    <w:rsid w:val="00383BF1"/>
    <w:rsid w:val="00383D59"/>
    <w:rsid w:val="00383F08"/>
    <w:rsid w:val="00384641"/>
    <w:rsid w:val="00384AD9"/>
    <w:rsid w:val="00384C34"/>
    <w:rsid w:val="00384D86"/>
    <w:rsid w:val="00384FF1"/>
    <w:rsid w:val="00385CC3"/>
    <w:rsid w:val="00385D80"/>
    <w:rsid w:val="00386D4C"/>
    <w:rsid w:val="00386FCD"/>
    <w:rsid w:val="00387001"/>
    <w:rsid w:val="00387046"/>
    <w:rsid w:val="00387320"/>
    <w:rsid w:val="00387426"/>
    <w:rsid w:val="00387A83"/>
    <w:rsid w:val="00387B39"/>
    <w:rsid w:val="00387DF2"/>
    <w:rsid w:val="00390068"/>
    <w:rsid w:val="00390332"/>
    <w:rsid w:val="003904B9"/>
    <w:rsid w:val="00390604"/>
    <w:rsid w:val="00390807"/>
    <w:rsid w:val="003909E8"/>
    <w:rsid w:val="00390A42"/>
    <w:rsid w:val="00390BE0"/>
    <w:rsid w:val="00390E59"/>
    <w:rsid w:val="003913FF"/>
    <w:rsid w:val="003914FB"/>
    <w:rsid w:val="00391561"/>
    <w:rsid w:val="00391611"/>
    <w:rsid w:val="003919A3"/>
    <w:rsid w:val="00391B98"/>
    <w:rsid w:val="00391C8F"/>
    <w:rsid w:val="00391CAC"/>
    <w:rsid w:val="00391EBB"/>
    <w:rsid w:val="0039233C"/>
    <w:rsid w:val="003928DF"/>
    <w:rsid w:val="00392C6B"/>
    <w:rsid w:val="00392D10"/>
    <w:rsid w:val="00392E33"/>
    <w:rsid w:val="00392EB9"/>
    <w:rsid w:val="00392EE9"/>
    <w:rsid w:val="00393475"/>
    <w:rsid w:val="00393697"/>
    <w:rsid w:val="00393874"/>
    <w:rsid w:val="00393883"/>
    <w:rsid w:val="00393900"/>
    <w:rsid w:val="00393D27"/>
    <w:rsid w:val="00394086"/>
    <w:rsid w:val="00394150"/>
    <w:rsid w:val="00394187"/>
    <w:rsid w:val="003944A4"/>
    <w:rsid w:val="00394529"/>
    <w:rsid w:val="003946CE"/>
    <w:rsid w:val="003948F9"/>
    <w:rsid w:val="00394C10"/>
    <w:rsid w:val="00394FC5"/>
    <w:rsid w:val="003952C4"/>
    <w:rsid w:val="00395584"/>
    <w:rsid w:val="00395586"/>
    <w:rsid w:val="00395CD7"/>
    <w:rsid w:val="00395CFE"/>
    <w:rsid w:val="003960B1"/>
    <w:rsid w:val="00396163"/>
    <w:rsid w:val="003969BD"/>
    <w:rsid w:val="00396B42"/>
    <w:rsid w:val="00396CF0"/>
    <w:rsid w:val="00396D82"/>
    <w:rsid w:val="00397126"/>
    <w:rsid w:val="0039723A"/>
    <w:rsid w:val="0039757E"/>
    <w:rsid w:val="0039759F"/>
    <w:rsid w:val="003976F4"/>
    <w:rsid w:val="0039785F"/>
    <w:rsid w:val="00397A37"/>
    <w:rsid w:val="00397E96"/>
    <w:rsid w:val="003A0106"/>
    <w:rsid w:val="003A0251"/>
    <w:rsid w:val="003A02DD"/>
    <w:rsid w:val="003A0367"/>
    <w:rsid w:val="003A041E"/>
    <w:rsid w:val="003A05C9"/>
    <w:rsid w:val="003A0927"/>
    <w:rsid w:val="003A0E40"/>
    <w:rsid w:val="003A104E"/>
    <w:rsid w:val="003A1345"/>
    <w:rsid w:val="003A1450"/>
    <w:rsid w:val="003A1511"/>
    <w:rsid w:val="003A1677"/>
    <w:rsid w:val="003A16E1"/>
    <w:rsid w:val="003A1A03"/>
    <w:rsid w:val="003A1A14"/>
    <w:rsid w:val="003A206B"/>
    <w:rsid w:val="003A2711"/>
    <w:rsid w:val="003A2729"/>
    <w:rsid w:val="003A2748"/>
    <w:rsid w:val="003A2968"/>
    <w:rsid w:val="003A2AA3"/>
    <w:rsid w:val="003A2BEF"/>
    <w:rsid w:val="003A2DC2"/>
    <w:rsid w:val="003A2E2A"/>
    <w:rsid w:val="003A2F2A"/>
    <w:rsid w:val="003A30F3"/>
    <w:rsid w:val="003A3284"/>
    <w:rsid w:val="003A368A"/>
    <w:rsid w:val="003A3722"/>
    <w:rsid w:val="003A395E"/>
    <w:rsid w:val="003A3A93"/>
    <w:rsid w:val="003A3C18"/>
    <w:rsid w:val="003A3CC1"/>
    <w:rsid w:val="003A3EE4"/>
    <w:rsid w:val="003A417C"/>
    <w:rsid w:val="003A4210"/>
    <w:rsid w:val="003A4638"/>
    <w:rsid w:val="003A46F1"/>
    <w:rsid w:val="003A48B2"/>
    <w:rsid w:val="003A4D30"/>
    <w:rsid w:val="003A4F58"/>
    <w:rsid w:val="003A5115"/>
    <w:rsid w:val="003A557E"/>
    <w:rsid w:val="003A5BF3"/>
    <w:rsid w:val="003A60FE"/>
    <w:rsid w:val="003A61BE"/>
    <w:rsid w:val="003A6741"/>
    <w:rsid w:val="003A6763"/>
    <w:rsid w:val="003A6942"/>
    <w:rsid w:val="003A6FE2"/>
    <w:rsid w:val="003A721D"/>
    <w:rsid w:val="003A76D2"/>
    <w:rsid w:val="003A7951"/>
    <w:rsid w:val="003A7ACE"/>
    <w:rsid w:val="003A7B49"/>
    <w:rsid w:val="003A7EE1"/>
    <w:rsid w:val="003A7F4B"/>
    <w:rsid w:val="003B004C"/>
    <w:rsid w:val="003B0075"/>
    <w:rsid w:val="003B00C4"/>
    <w:rsid w:val="003B013B"/>
    <w:rsid w:val="003B05D0"/>
    <w:rsid w:val="003B0953"/>
    <w:rsid w:val="003B0A15"/>
    <w:rsid w:val="003B0A33"/>
    <w:rsid w:val="003B0AE2"/>
    <w:rsid w:val="003B0E0A"/>
    <w:rsid w:val="003B0E9D"/>
    <w:rsid w:val="003B0EC1"/>
    <w:rsid w:val="003B1712"/>
    <w:rsid w:val="003B1A70"/>
    <w:rsid w:val="003B1AD6"/>
    <w:rsid w:val="003B1D6E"/>
    <w:rsid w:val="003B1E18"/>
    <w:rsid w:val="003B214E"/>
    <w:rsid w:val="003B2703"/>
    <w:rsid w:val="003B271B"/>
    <w:rsid w:val="003B2D5F"/>
    <w:rsid w:val="003B2F0A"/>
    <w:rsid w:val="003B2FEB"/>
    <w:rsid w:val="003B327F"/>
    <w:rsid w:val="003B3A3A"/>
    <w:rsid w:val="003B3D33"/>
    <w:rsid w:val="003B3F0F"/>
    <w:rsid w:val="003B41D4"/>
    <w:rsid w:val="003B4430"/>
    <w:rsid w:val="003B4711"/>
    <w:rsid w:val="003B47EA"/>
    <w:rsid w:val="003B4BE1"/>
    <w:rsid w:val="003B4C16"/>
    <w:rsid w:val="003B51E8"/>
    <w:rsid w:val="003B5328"/>
    <w:rsid w:val="003B5549"/>
    <w:rsid w:val="003B55E3"/>
    <w:rsid w:val="003B56DF"/>
    <w:rsid w:val="003B5716"/>
    <w:rsid w:val="003B5768"/>
    <w:rsid w:val="003B5AB1"/>
    <w:rsid w:val="003B5D07"/>
    <w:rsid w:val="003B5D65"/>
    <w:rsid w:val="003B60ED"/>
    <w:rsid w:val="003B6384"/>
    <w:rsid w:val="003B63E6"/>
    <w:rsid w:val="003B6599"/>
    <w:rsid w:val="003B6F8F"/>
    <w:rsid w:val="003B71D4"/>
    <w:rsid w:val="003B7236"/>
    <w:rsid w:val="003B753C"/>
    <w:rsid w:val="003B7887"/>
    <w:rsid w:val="003B7A62"/>
    <w:rsid w:val="003B7C7D"/>
    <w:rsid w:val="003B7E33"/>
    <w:rsid w:val="003B7E56"/>
    <w:rsid w:val="003B7F0F"/>
    <w:rsid w:val="003C00D3"/>
    <w:rsid w:val="003C0157"/>
    <w:rsid w:val="003C03A7"/>
    <w:rsid w:val="003C0539"/>
    <w:rsid w:val="003C073D"/>
    <w:rsid w:val="003C0A1E"/>
    <w:rsid w:val="003C0BD1"/>
    <w:rsid w:val="003C1212"/>
    <w:rsid w:val="003C1237"/>
    <w:rsid w:val="003C1394"/>
    <w:rsid w:val="003C15C1"/>
    <w:rsid w:val="003C1627"/>
    <w:rsid w:val="003C1A74"/>
    <w:rsid w:val="003C1CCC"/>
    <w:rsid w:val="003C23F6"/>
    <w:rsid w:val="003C255D"/>
    <w:rsid w:val="003C26D1"/>
    <w:rsid w:val="003C2E46"/>
    <w:rsid w:val="003C30CF"/>
    <w:rsid w:val="003C31D0"/>
    <w:rsid w:val="003C353C"/>
    <w:rsid w:val="003C3568"/>
    <w:rsid w:val="003C377E"/>
    <w:rsid w:val="003C37A7"/>
    <w:rsid w:val="003C39F4"/>
    <w:rsid w:val="003C3B4C"/>
    <w:rsid w:val="003C3BC2"/>
    <w:rsid w:val="003C4282"/>
    <w:rsid w:val="003C4450"/>
    <w:rsid w:val="003C4633"/>
    <w:rsid w:val="003C471D"/>
    <w:rsid w:val="003C48B3"/>
    <w:rsid w:val="003C49EB"/>
    <w:rsid w:val="003C4B3C"/>
    <w:rsid w:val="003C560C"/>
    <w:rsid w:val="003C5E41"/>
    <w:rsid w:val="003C5E62"/>
    <w:rsid w:val="003C608F"/>
    <w:rsid w:val="003C6264"/>
    <w:rsid w:val="003C63B1"/>
    <w:rsid w:val="003C6B43"/>
    <w:rsid w:val="003C6D20"/>
    <w:rsid w:val="003C6DFC"/>
    <w:rsid w:val="003C6FB8"/>
    <w:rsid w:val="003C7074"/>
    <w:rsid w:val="003C7180"/>
    <w:rsid w:val="003C71BB"/>
    <w:rsid w:val="003C721E"/>
    <w:rsid w:val="003C75DC"/>
    <w:rsid w:val="003C783C"/>
    <w:rsid w:val="003C7869"/>
    <w:rsid w:val="003C7A7E"/>
    <w:rsid w:val="003C7AE5"/>
    <w:rsid w:val="003C7C70"/>
    <w:rsid w:val="003C7CDD"/>
    <w:rsid w:val="003D0181"/>
    <w:rsid w:val="003D0376"/>
    <w:rsid w:val="003D0582"/>
    <w:rsid w:val="003D0A6C"/>
    <w:rsid w:val="003D0B63"/>
    <w:rsid w:val="003D0BD3"/>
    <w:rsid w:val="003D0D65"/>
    <w:rsid w:val="003D0E47"/>
    <w:rsid w:val="003D1177"/>
    <w:rsid w:val="003D1220"/>
    <w:rsid w:val="003D12B9"/>
    <w:rsid w:val="003D133A"/>
    <w:rsid w:val="003D14F6"/>
    <w:rsid w:val="003D1B62"/>
    <w:rsid w:val="003D1EAE"/>
    <w:rsid w:val="003D2007"/>
    <w:rsid w:val="003D200D"/>
    <w:rsid w:val="003D2374"/>
    <w:rsid w:val="003D281D"/>
    <w:rsid w:val="003D29E4"/>
    <w:rsid w:val="003D2B82"/>
    <w:rsid w:val="003D2E57"/>
    <w:rsid w:val="003D2E64"/>
    <w:rsid w:val="003D2EFD"/>
    <w:rsid w:val="003D3280"/>
    <w:rsid w:val="003D32D8"/>
    <w:rsid w:val="003D347E"/>
    <w:rsid w:val="003D3570"/>
    <w:rsid w:val="003D39C4"/>
    <w:rsid w:val="003D3D83"/>
    <w:rsid w:val="003D3E6C"/>
    <w:rsid w:val="003D41D4"/>
    <w:rsid w:val="003D4790"/>
    <w:rsid w:val="003D498F"/>
    <w:rsid w:val="003D50BE"/>
    <w:rsid w:val="003D52EC"/>
    <w:rsid w:val="003D5A3A"/>
    <w:rsid w:val="003D5CA8"/>
    <w:rsid w:val="003D5DE4"/>
    <w:rsid w:val="003D5EEC"/>
    <w:rsid w:val="003D63F7"/>
    <w:rsid w:val="003D6698"/>
    <w:rsid w:val="003D66F6"/>
    <w:rsid w:val="003D6C94"/>
    <w:rsid w:val="003D6CC3"/>
    <w:rsid w:val="003D6E65"/>
    <w:rsid w:val="003D727F"/>
    <w:rsid w:val="003D77A7"/>
    <w:rsid w:val="003D78B8"/>
    <w:rsid w:val="003D794F"/>
    <w:rsid w:val="003D7B3A"/>
    <w:rsid w:val="003D7BE1"/>
    <w:rsid w:val="003D7C77"/>
    <w:rsid w:val="003D7EFD"/>
    <w:rsid w:val="003D7F88"/>
    <w:rsid w:val="003D7FB5"/>
    <w:rsid w:val="003E0290"/>
    <w:rsid w:val="003E04E2"/>
    <w:rsid w:val="003E07A6"/>
    <w:rsid w:val="003E0871"/>
    <w:rsid w:val="003E1008"/>
    <w:rsid w:val="003E1140"/>
    <w:rsid w:val="003E1624"/>
    <w:rsid w:val="003E168C"/>
    <w:rsid w:val="003E1737"/>
    <w:rsid w:val="003E179C"/>
    <w:rsid w:val="003E1B2E"/>
    <w:rsid w:val="003E1F2D"/>
    <w:rsid w:val="003E1F46"/>
    <w:rsid w:val="003E27B1"/>
    <w:rsid w:val="003E2874"/>
    <w:rsid w:val="003E32B9"/>
    <w:rsid w:val="003E34CD"/>
    <w:rsid w:val="003E355A"/>
    <w:rsid w:val="003E3643"/>
    <w:rsid w:val="003E3BB8"/>
    <w:rsid w:val="003E3CBF"/>
    <w:rsid w:val="003E3CEC"/>
    <w:rsid w:val="003E3D73"/>
    <w:rsid w:val="003E46C6"/>
    <w:rsid w:val="003E4932"/>
    <w:rsid w:val="003E49EF"/>
    <w:rsid w:val="003E4A44"/>
    <w:rsid w:val="003E4AAC"/>
    <w:rsid w:val="003E4C8D"/>
    <w:rsid w:val="003E4D30"/>
    <w:rsid w:val="003E4F1A"/>
    <w:rsid w:val="003E529D"/>
    <w:rsid w:val="003E54DD"/>
    <w:rsid w:val="003E554E"/>
    <w:rsid w:val="003E571B"/>
    <w:rsid w:val="003E581B"/>
    <w:rsid w:val="003E5974"/>
    <w:rsid w:val="003E5AA8"/>
    <w:rsid w:val="003E5DB7"/>
    <w:rsid w:val="003E62D3"/>
    <w:rsid w:val="003E6319"/>
    <w:rsid w:val="003E65BC"/>
    <w:rsid w:val="003E6860"/>
    <w:rsid w:val="003E698E"/>
    <w:rsid w:val="003E69BB"/>
    <w:rsid w:val="003E6BDD"/>
    <w:rsid w:val="003E6C00"/>
    <w:rsid w:val="003E6F05"/>
    <w:rsid w:val="003E6F70"/>
    <w:rsid w:val="003E7445"/>
    <w:rsid w:val="003E757B"/>
    <w:rsid w:val="003E761C"/>
    <w:rsid w:val="003E7882"/>
    <w:rsid w:val="003E7A06"/>
    <w:rsid w:val="003E7B2B"/>
    <w:rsid w:val="003E7E90"/>
    <w:rsid w:val="003E7EB9"/>
    <w:rsid w:val="003F03F7"/>
    <w:rsid w:val="003F045D"/>
    <w:rsid w:val="003F0578"/>
    <w:rsid w:val="003F064C"/>
    <w:rsid w:val="003F0A7A"/>
    <w:rsid w:val="003F0A97"/>
    <w:rsid w:val="003F0E56"/>
    <w:rsid w:val="003F0E7C"/>
    <w:rsid w:val="003F0F91"/>
    <w:rsid w:val="003F10DE"/>
    <w:rsid w:val="003F148B"/>
    <w:rsid w:val="003F149D"/>
    <w:rsid w:val="003F189F"/>
    <w:rsid w:val="003F1961"/>
    <w:rsid w:val="003F1BE5"/>
    <w:rsid w:val="003F1E56"/>
    <w:rsid w:val="003F23D9"/>
    <w:rsid w:val="003F24F4"/>
    <w:rsid w:val="003F2524"/>
    <w:rsid w:val="003F2861"/>
    <w:rsid w:val="003F2DB9"/>
    <w:rsid w:val="003F3027"/>
    <w:rsid w:val="003F32D3"/>
    <w:rsid w:val="003F34FA"/>
    <w:rsid w:val="003F35E4"/>
    <w:rsid w:val="003F395B"/>
    <w:rsid w:val="003F3998"/>
    <w:rsid w:val="003F3CB2"/>
    <w:rsid w:val="003F3EED"/>
    <w:rsid w:val="003F42DF"/>
    <w:rsid w:val="003F473E"/>
    <w:rsid w:val="003F4C19"/>
    <w:rsid w:val="003F4C60"/>
    <w:rsid w:val="003F4DAC"/>
    <w:rsid w:val="003F4E8F"/>
    <w:rsid w:val="003F4F60"/>
    <w:rsid w:val="003F5917"/>
    <w:rsid w:val="003F5A2E"/>
    <w:rsid w:val="003F5AD5"/>
    <w:rsid w:val="003F5BD4"/>
    <w:rsid w:val="003F5C0A"/>
    <w:rsid w:val="003F5E9A"/>
    <w:rsid w:val="003F5EF4"/>
    <w:rsid w:val="003F662A"/>
    <w:rsid w:val="003F6722"/>
    <w:rsid w:val="003F69D2"/>
    <w:rsid w:val="003F6BD6"/>
    <w:rsid w:val="003F6C29"/>
    <w:rsid w:val="003F6C38"/>
    <w:rsid w:val="003F6FDB"/>
    <w:rsid w:val="003F72A8"/>
    <w:rsid w:val="003F78E9"/>
    <w:rsid w:val="0040014A"/>
    <w:rsid w:val="00400268"/>
    <w:rsid w:val="00400792"/>
    <w:rsid w:val="00400897"/>
    <w:rsid w:val="00400C7C"/>
    <w:rsid w:val="00401120"/>
    <w:rsid w:val="004017C0"/>
    <w:rsid w:val="00401BDB"/>
    <w:rsid w:val="00401C1D"/>
    <w:rsid w:val="00402749"/>
    <w:rsid w:val="00402C2B"/>
    <w:rsid w:val="004032C8"/>
    <w:rsid w:val="00403A30"/>
    <w:rsid w:val="00403A89"/>
    <w:rsid w:val="00403DAF"/>
    <w:rsid w:val="00403DED"/>
    <w:rsid w:val="004040D6"/>
    <w:rsid w:val="004040ED"/>
    <w:rsid w:val="004040EE"/>
    <w:rsid w:val="00404275"/>
    <w:rsid w:val="004042B8"/>
    <w:rsid w:val="004046E3"/>
    <w:rsid w:val="00404BED"/>
    <w:rsid w:val="00404C80"/>
    <w:rsid w:val="00404CEB"/>
    <w:rsid w:val="00405165"/>
    <w:rsid w:val="004053C6"/>
    <w:rsid w:val="00405498"/>
    <w:rsid w:val="0040564A"/>
    <w:rsid w:val="004057FE"/>
    <w:rsid w:val="004059C9"/>
    <w:rsid w:val="00405A39"/>
    <w:rsid w:val="00405C20"/>
    <w:rsid w:val="0040621D"/>
    <w:rsid w:val="00406247"/>
    <w:rsid w:val="004063AE"/>
    <w:rsid w:val="004064CD"/>
    <w:rsid w:val="00406A8E"/>
    <w:rsid w:val="00406B17"/>
    <w:rsid w:val="00406B36"/>
    <w:rsid w:val="00406CD7"/>
    <w:rsid w:val="00406F19"/>
    <w:rsid w:val="004071A7"/>
    <w:rsid w:val="00407387"/>
    <w:rsid w:val="004079B6"/>
    <w:rsid w:val="00407C95"/>
    <w:rsid w:val="00407D64"/>
    <w:rsid w:val="00410135"/>
    <w:rsid w:val="00410410"/>
    <w:rsid w:val="00410564"/>
    <w:rsid w:val="00410732"/>
    <w:rsid w:val="00410954"/>
    <w:rsid w:val="00410A8C"/>
    <w:rsid w:val="00410EF6"/>
    <w:rsid w:val="00411062"/>
    <w:rsid w:val="004114BE"/>
    <w:rsid w:val="00411588"/>
    <w:rsid w:val="0041159B"/>
    <w:rsid w:val="004116B9"/>
    <w:rsid w:val="0041195C"/>
    <w:rsid w:val="00411A05"/>
    <w:rsid w:val="00411DFA"/>
    <w:rsid w:val="00411F38"/>
    <w:rsid w:val="00412636"/>
    <w:rsid w:val="00412A2E"/>
    <w:rsid w:val="00412FC2"/>
    <w:rsid w:val="00413066"/>
    <w:rsid w:val="0041306B"/>
    <w:rsid w:val="00413ACA"/>
    <w:rsid w:val="00414537"/>
    <w:rsid w:val="00414AB9"/>
    <w:rsid w:val="00414AC9"/>
    <w:rsid w:val="00414EE5"/>
    <w:rsid w:val="00414F2F"/>
    <w:rsid w:val="004152CB"/>
    <w:rsid w:val="004153F2"/>
    <w:rsid w:val="004154D1"/>
    <w:rsid w:val="00415614"/>
    <w:rsid w:val="00415DE2"/>
    <w:rsid w:val="004163DC"/>
    <w:rsid w:val="00416497"/>
    <w:rsid w:val="00416679"/>
    <w:rsid w:val="004166B1"/>
    <w:rsid w:val="004167C6"/>
    <w:rsid w:val="00416836"/>
    <w:rsid w:val="00416C54"/>
    <w:rsid w:val="00416D4F"/>
    <w:rsid w:val="00416F23"/>
    <w:rsid w:val="004174D9"/>
    <w:rsid w:val="00417993"/>
    <w:rsid w:val="004179E4"/>
    <w:rsid w:val="00417E78"/>
    <w:rsid w:val="00420483"/>
    <w:rsid w:val="004206D6"/>
    <w:rsid w:val="0042072D"/>
    <w:rsid w:val="0042084D"/>
    <w:rsid w:val="004209A6"/>
    <w:rsid w:val="004209CB"/>
    <w:rsid w:val="00420B85"/>
    <w:rsid w:val="00420DB3"/>
    <w:rsid w:val="00420E6F"/>
    <w:rsid w:val="00420E76"/>
    <w:rsid w:val="00420E9A"/>
    <w:rsid w:val="00420F17"/>
    <w:rsid w:val="00421220"/>
    <w:rsid w:val="0042136F"/>
    <w:rsid w:val="004215B8"/>
    <w:rsid w:val="004218E6"/>
    <w:rsid w:val="00421AE3"/>
    <w:rsid w:val="00421AFD"/>
    <w:rsid w:val="00421BEE"/>
    <w:rsid w:val="00421BF8"/>
    <w:rsid w:val="00421D69"/>
    <w:rsid w:val="00421DB1"/>
    <w:rsid w:val="0042249E"/>
    <w:rsid w:val="00422A3B"/>
    <w:rsid w:val="00422BC8"/>
    <w:rsid w:val="00422C01"/>
    <w:rsid w:val="00422CD7"/>
    <w:rsid w:val="004231E0"/>
    <w:rsid w:val="0042327F"/>
    <w:rsid w:val="004235C3"/>
    <w:rsid w:val="004237D9"/>
    <w:rsid w:val="00423A47"/>
    <w:rsid w:val="00423B48"/>
    <w:rsid w:val="004241D8"/>
    <w:rsid w:val="004247EC"/>
    <w:rsid w:val="00424892"/>
    <w:rsid w:val="00424F84"/>
    <w:rsid w:val="00425800"/>
    <w:rsid w:val="00425B3E"/>
    <w:rsid w:val="00425BBF"/>
    <w:rsid w:val="00425D23"/>
    <w:rsid w:val="00425D26"/>
    <w:rsid w:val="00425DA7"/>
    <w:rsid w:val="00426166"/>
    <w:rsid w:val="004262B8"/>
    <w:rsid w:val="00426435"/>
    <w:rsid w:val="004264AB"/>
    <w:rsid w:val="004264D5"/>
    <w:rsid w:val="00426964"/>
    <w:rsid w:val="00426990"/>
    <w:rsid w:val="004269E4"/>
    <w:rsid w:val="00426AAC"/>
    <w:rsid w:val="00426B0C"/>
    <w:rsid w:val="004271B3"/>
    <w:rsid w:val="00427402"/>
    <w:rsid w:val="004276EF"/>
    <w:rsid w:val="00427893"/>
    <w:rsid w:val="00427C02"/>
    <w:rsid w:val="00427E3F"/>
    <w:rsid w:val="0043028B"/>
    <w:rsid w:val="0043038C"/>
    <w:rsid w:val="00430433"/>
    <w:rsid w:val="0043066B"/>
    <w:rsid w:val="004306A6"/>
    <w:rsid w:val="004308D4"/>
    <w:rsid w:val="004309BF"/>
    <w:rsid w:val="00430A6F"/>
    <w:rsid w:val="00430D2F"/>
    <w:rsid w:val="0043147D"/>
    <w:rsid w:val="00431CD4"/>
    <w:rsid w:val="00431F68"/>
    <w:rsid w:val="00431F98"/>
    <w:rsid w:val="0043208C"/>
    <w:rsid w:val="00432367"/>
    <w:rsid w:val="004323C9"/>
    <w:rsid w:val="00432431"/>
    <w:rsid w:val="00432453"/>
    <w:rsid w:val="00432472"/>
    <w:rsid w:val="0043288C"/>
    <w:rsid w:val="004328B2"/>
    <w:rsid w:val="004328F2"/>
    <w:rsid w:val="00432926"/>
    <w:rsid w:val="0043294A"/>
    <w:rsid w:val="00432A23"/>
    <w:rsid w:val="00432A4F"/>
    <w:rsid w:val="00432AA6"/>
    <w:rsid w:val="00433453"/>
    <w:rsid w:val="004335D1"/>
    <w:rsid w:val="00433787"/>
    <w:rsid w:val="00433819"/>
    <w:rsid w:val="00433A71"/>
    <w:rsid w:val="00433AC0"/>
    <w:rsid w:val="00433CF8"/>
    <w:rsid w:val="00433EA4"/>
    <w:rsid w:val="00433FFB"/>
    <w:rsid w:val="00434241"/>
    <w:rsid w:val="0043445A"/>
    <w:rsid w:val="004344B4"/>
    <w:rsid w:val="004344CF"/>
    <w:rsid w:val="00434715"/>
    <w:rsid w:val="00434B56"/>
    <w:rsid w:val="00434EFF"/>
    <w:rsid w:val="0043506E"/>
    <w:rsid w:val="00435152"/>
    <w:rsid w:val="00435175"/>
    <w:rsid w:val="00435213"/>
    <w:rsid w:val="0043546C"/>
    <w:rsid w:val="004358B8"/>
    <w:rsid w:val="00435C18"/>
    <w:rsid w:val="00435C28"/>
    <w:rsid w:val="00435C3A"/>
    <w:rsid w:val="004361BF"/>
    <w:rsid w:val="00436992"/>
    <w:rsid w:val="00436A9D"/>
    <w:rsid w:val="00436BD0"/>
    <w:rsid w:val="00436E82"/>
    <w:rsid w:val="00437044"/>
    <w:rsid w:val="0043739D"/>
    <w:rsid w:val="004373CB"/>
    <w:rsid w:val="0043746C"/>
    <w:rsid w:val="004375BF"/>
    <w:rsid w:val="004375C1"/>
    <w:rsid w:val="004379EA"/>
    <w:rsid w:val="00437ACC"/>
    <w:rsid w:val="00437C63"/>
    <w:rsid w:val="00437EA0"/>
    <w:rsid w:val="004408C1"/>
    <w:rsid w:val="00440913"/>
    <w:rsid w:val="00440ABD"/>
    <w:rsid w:val="00440C91"/>
    <w:rsid w:val="00440CA6"/>
    <w:rsid w:val="00440E72"/>
    <w:rsid w:val="00440EFA"/>
    <w:rsid w:val="00440F97"/>
    <w:rsid w:val="004412A2"/>
    <w:rsid w:val="004413F7"/>
    <w:rsid w:val="00441426"/>
    <w:rsid w:val="00441477"/>
    <w:rsid w:val="004414AA"/>
    <w:rsid w:val="00441553"/>
    <w:rsid w:val="00441590"/>
    <w:rsid w:val="00441657"/>
    <w:rsid w:val="004426E6"/>
    <w:rsid w:val="00442838"/>
    <w:rsid w:val="004429BB"/>
    <w:rsid w:val="00443297"/>
    <w:rsid w:val="00443373"/>
    <w:rsid w:val="00443506"/>
    <w:rsid w:val="00443818"/>
    <w:rsid w:val="00443869"/>
    <w:rsid w:val="00443A78"/>
    <w:rsid w:val="00443C6F"/>
    <w:rsid w:val="00443D0B"/>
    <w:rsid w:val="004441EC"/>
    <w:rsid w:val="004442A4"/>
    <w:rsid w:val="0044435D"/>
    <w:rsid w:val="00444374"/>
    <w:rsid w:val="004443DD"/>
    <w:rsid w:val="0044480A"/>
    <w:rsid w:val="00444A4C"/>
    <w:rsid w:val="00444DE1"/>
    <w:rsid w:val="00444ECD"/>
    <w:rsid w:val="0044505D"/>
    <w:rsid w:val="00445551"/>
    <w:rsid w:val="00445970"/>
    <w:rsid w:val="00445AA3"/>
    <w:rsid w:val="00445BF8"/>
    <w:rsid w:val="00445CDD"/>
    <w:rsid w:val="004462D2"/>
    <w:rsid w:val="00446628"/>
    <w:rsid w:val="004470E9"/>
    <w:rsid w:val="004472D5"/>
    <w:rsid w:val="0044749F"/>
    <w:rsid w:val="004477D6"/>
    <w:rsid w:val="00447F68"/>
    <w:rsid w:val="00447F7A"/>
    <w:rsid w:val="00450166"/>
    <w:rsid w:val="00450AFA"/>
    <w:rsid w:val="00450D6A"/>
    <w:rsid w:val="004512E6"/>
    <w:rsid w:val="0045130F"/>
    <w:rsid w:val="0045165D"/>
    <w:rsid w:val="00451962"/>
    <w:rsid w:val="0045275D"/>
    <w:rsid w:val="00453076"/>
    <w:rsid w:val="0045320B"/>
    <w:rsid w:val="004534F3"/>
    <w:rsid w:val="00453578"/>
    <w:rsid w:val="0045361D"/>
    <w:rsid w:val="00453734"/>
    <w:rsid w:val="00453777"/>
    <w:rsid w:val="004537E8"/>
    <w:rsid w:val="0045387C"/>
    <w:rsid w:val="00453B2B"/>
    <w:rsid w:val="00453B38"/>
    <w:rsid w:val="00453BBE"/>
    <w:rsid w:val="00453C36"/>
    <w:rsid w:val="00453D0B"/>
    <w:rsid w:val="00453EA3"/>
    <w:rsid w:val="0045420B"/>
    <w:rsid w:val="004542CC"/>
    <w:rsid w:val="004544CB"/>
    <w:rsid w:val="0045457B"/>
    <w:rsid w:val="0045485A"/>
    <w:rsid w:val="004548DB"/>
    <w:rsid w:val="00454AEB"/>
    <w:rsid w:val="00455215"/>
    <w:rsid w:val="00455239"/>
    <w:rsid w:val="004552C0"/>
    <w:rsid w:val="00455383"/>
    <w:rsid w:val="004553A1"/>
    <w:rsid w:val="0045573F"/>
    <w:rsid w:val="004557CB"/>
    <w:rsid w:val="004558CC"/>
    <w:rsid w:val="00455997"/>
    <w:rsid w:val="00455F0B"/>
    <w:rsid w:val="004561BC"/>
    <w:rsid w:val="0045626D"/>
    <w:rsid w:val="00456476"/>
    <w:rsid w:val="00456749"/>
    <w:rsid w:val="004567B7"/>
    <w:rsid w:val="00456D51"/>
    <w:rsid w:val="00456FD5"/>
    <w:rsid w:val="00457020"/>
    <w:rsid w:val="00457063"/>
    <w:rsid w:val="00457195"/>
    <w:rsid w:val="00457253"/>
    <w:rsid w:val="0045745F"/>
    <w:rsid w:val="00457508"/>
    <w:rsid w:val="00457823"/>
    <w:rsid w:val="004579FC"/>
    <w:rsid w:val="00457BE9"/>
    <w:rsid w:val="00457F12"/>
    <w:rsid w:val="004604F5"/>
    <w:rsid w:val="00460582"/>
    <w:rsid w:val="004605EE"/>
    <w:rsid w:val="0046062D"/>
    <w:rsid w:val="004606A6"/>
    <w:rsid w:val="00460782"/>
    <w:rsid w:val="004607D5"/>
    <w:rsid w:val="004609C5"/>
    <w:rsid w:val="00460E96"/>
    <w:rsid w:val="00460EAD"/>
    <w:rsid w:val="0046118F"/>
    <w:rsid w:val="00461417"/>
    <w:rsid w:val="00461A19"/>
    <w:rsid w:val="00461A34"/>
    <w:rsid w:val="00462496"/>
    <w:rsid w:val="004624A6"/>
    <w:rsid w:val="00462531"/>
    <w:rsid w:val="00462C81"/>
    <w:rsid w:val="00462CB4"/>
    <w:rsid w:val="00462D64"/>
    <w:rsid w:val="00462E10"/>
    <w:rsid w:val="004630E4"/>
    <w:rsid w:val="0046312A"/>
    <w:rsid w:val="00463295"/>
    <w:rsid w:val="00463A8F"/>
    <w:rsid w:val="00463B9F"/>
    <w:rsid w:val="00463D05"/>
    <w:rsid w:val="0046404C"/>
    <w:rsid w:val="004646D3"/>
    <w:rsid w:val="00464865"/>
    <w:rsid w:val="00464887"/>
    <w:rsid w:val="00464B65"/>
    <w:rsid w:val="00464BD7"/>
    <w:rsid w:val="00464DE4"/>
    <w:rsid w:val="00464EA5"/>
    <w:rsid w:val="00464EEA"/>
    <w:rsid w:val="00464F2E"/>
    <w:rsid w:val="00465070"/>
    <w:rsid w:val="00465262"/>
    <w:rsid w:val="004654A6"/>
    <w:rsid w:val="00465AAE"/>
    <w:rsid w:val="00465B89"/>
    <w:rsid w:val="00465D7E"/>
    <w:rsid w:val="00465EF4"/>
    <w:rsid w:val="004661CF"/>
    <w:rsid w:val="004664BD"/>
    <w:rsid w:val="00466F1B"/>
    <w:rsid w:val="00466FCA"/>
    <w:rsid w:val="00467326"/>
    <w:rsid w:val="00467350"/>
    <w:rsid w:val="004677D6"/>
    <w:rsid w:val="00467935"/>
    <w:rsid w:val="00467AE2"/>
    <w:rsid w:val="00467AFF"/>
    <w:rsid w:val="00467B98"/>
    <w:rsid w:val="00467CA3"/>
    <w:rsid w:val="00467D90"/>
    <w:rsid w:val="004702D9"/>
    <w:rsid w:val="004711B9"/>
    <w:rsid w:val="00471452"/>
    <w:rsid w:val="0047150C"/>
    <w:rsid w:val="00471548"/>
    <w:rsid w:val="004718CA"/>
    <w:rsid w:val="004718F0"/>
    <w:rsid w:val="00471FD7"/>
    <w:rsid w:val="0047207A"/>
    <w:rsid w:val="00472263"/>
    <w:rsid w:val="00472275"/>
    <w:rsid w:val="00472494"/>
    <w:rsid w:val="0047254A"/>
    <w:rsid w:val="0047267C"/>
    <w:rsid w:val="0047291D"/>
    <w:rsid w:val="00472D5E"/>
    <w:rsid w:val="00472DD3"/>
    <w:rsid w:val="00472E03"/>
    <w:rsid w:val="00472EF7"/>
    <w:rsid w:val="004732D8"/>
    <w:rsid w:val="0047340C"/>
    <w:rsid w:val="00473458"/>
    <w:rsid w:val="00473477"/>
    <w:rsid w:val="0047382F"/>
    <w:rsid w:val="00473FF3"/>
    <w:rsid w:val="0047438A"/>
    <w:rsid w:val="004743D1"/>
    <w:rsid w:val="00474670"/>
    <w:rsid w:val="0047489B"/>
    <w:rsid w:val="004748FB"/>
    <w:rsid w:val="004749A8"/>
    <w:rsid w:val="00474A16"/>
    <w:rsid w:val="00474BED"/>
    <w:rsid w:val="00474CCE"/>
    <w:rsid w:val="00474E67"/>
    <w:rsid w:val="00474F9E"/>
    <w:rsid w:val="004750F3"/>
    <w:rsid w:val="004753F2"/>
    <w:rsid w:val="004757D8"/>
    <w:rsid w:val="00475F6E"/>
    <w:rsid w:val="00476127"/>
    <w:rsid w:val="00476348"/>
    <w:rsid w:val="00476918"/>
    <w:rsid w:val="00476976"/>
    <w:rsid w:val="00476CF1"/>
    <w:rsid w:val="004771B9"/>
    <w:rsid w:val="004772A9"/>
    <w:rsid w:val="0047742E"/>
    <w:rsid w:val="00477689"/>
    <w:rsid w:val="0047779E"/>
    <w:rsid w:val="00477972"/>
    <w:rsid w:val="00477B33"/>
    <w:rsid w:val="00477E95"/>
    <w:rsid w:val="004800CC"/>
    <w:rsid w:val="004804DD"/>
    <w:rsid w:val="00480BB1"/>
    <w:rsid w:val="00480C55"/>
    <w:rsid w:val="004810C3"/>
    <w:rsid w:val="004810CC"/>
    <w:rsid w:val="00481173"/>
    <w:rsid w:val="004811F4"/>
    <w:rsid w:val="004813DB"/>
    <w:rsid w:val="004813E0"/>
    <w:rsid w:val="004814E7"/>
    <w:rsid w:val="00481500"/>
    <w:rsid w:val="00481665"/>
    <w:rsid w:val="00481A49"/>
    <w:rsid w:val="00481A63"/>
    <w:rsid w:val="00481C2C"/>
    <w:rsid w:val="00481E47"/>
    <w:rsid w:val="004822C4"/>
    <w:rsid w:val="004825BB"/>
    <w:rsid w:val="004826A1"/>
    <w:rsid w:val="00482C93"/>
    <w:rsid w:val="004831C4"/>
    <w:rsid w:val="00483221"/>
    <w:rsid w:val="0048333B"/>
    <w:rsid w:val="00483490"/>
    <w:rsid w:val="00483948"/>
    <w:rsid w:val="00483B2A"/>
    <w:rsid w:val="00483B66"/>
    <w:rsid w:val="00483F1C"/>
    <w:rsid w:val="004840AE"/>
    <w:rsid w:val="00484196"/>
    <w:rsid w:val="0048438E"/>
    <w:rsid w:val="00484491"/>
    <w:rsid w:val="004844AF"/>
    <w:rsid w:val="00484636"/>
    <w:rsid w:val="00484851"/>
    <w:rsid w:val="004848F6"/>
    <w:rsid w:val="00484A54"/>
    <w:rsid w:val="00484BFC"/>
    <w:rsid w:val="00484C7F"/>
    <w:rsid w:val="00484CAA"/>
    <w:rsid w:val="00484F27"/>
    <w:rsid w:val="00484F2D"/>
    <w:rsid w:val="00485315"/>
    <w:rsid w:val="00485325"/>
    <w:rsid w:val="0048541B"/>
    <w:rsid w:val="004855CE"/>
    <w:rsid w:val="004857A2"/>
    <w:rsid w:val="00485847"/>
    <w:rsid w:val="00485A01"/>
    <w:rsid w:val="00485C85"/>
    <w:rsid w:val="00485CEA"/>
    <w:rsid w:val="00485EE4"/>
    <w:rsid w:val="00485EF1"/>
    <w:rsid w:val="00485F12"/>
    <w:rsid w:val="00486489"/>
    <w:rsid w:val="0048655C"/>
    <w:rsid w:val="004869BE"/>
    <w:rsid w:val="00486BD4"/>
    <w:rsid w:val="00486DAA"/>
    <w:rsid w:val="00486EFF"/>
    <w:rsid w:val="00486F08"/>
    <w:rsid w:val="00487369"/>
    <w:rsid w:val="00487372"/>
    <w:rsid w:val="0048772C"/>
    <w:rsid w:val="00487B16"/>
    <w:rsid w:val="00487CF3"/>
    <w:rsid w:val="00487D3E"/>
    <w:rsid w:val="0049009D"/>
    <w:rsid w:val="004900B0"/>
    <w:rsid w:val="0049025F"/>
    <w:rsid w:val="00490583"/>
    <w:rsid w:val="0049097D"/>
    <w:rsid w:val="00490E47"/>
    <w:rsid w:val="00490EA2"/>
    <w:rsid w:val="00490FE9"/>
    <w:rsid w:val="0049103D"/>
    <w:rsid w:val="004915BB"/>
    <w:rsid w:val="0049167C"/>
    <w:rsid w:val="004916C3"/>
    <w:rsid w:val="00491717"/>
    <w:rsid w:val="00491A0C"/>
    <w:rsid w:val="00491A37"/>
    <w:rsid w:val="00491C6E"/>
    <w:rsid w:val="00492306"/>
    <w:rsid w:val="00492795"/>
    <w:rsid w:val="0049285A"/>
    <w:rsid w:val="0049292E"/>
    <w:rsid w:val="00492A59"/>
    <w:rsid w:val="00492E2A"/>
    <w:rsid w:val="00493065"/>
    <w:rsid w:val="00493125"/>
    <w:rsid w:val="004931EF"/>
    <w:rsid w:val="00493337"/>
    <w:rsid w:val="0049349E"/>
    <w:rsid w:val="0049352C"/>
    <w:rsid w:val="004937B2"/>
    <w:rsid w:val="00493843"/>
    <w:rsid w:val="00493C14"/>
    <w:rsid w:val="00493EA4"/>
    <w:rsid w:val="00493F12"/>
    <w:rsid w:val="0049444B"/>
    <w:rsid w:val="004946AA"/>
    <w:rsid w:val="00494885"/>
    <w:rsid w:val="00494BB2"/>
    <w:rsid w:val="00494D55"/>
    <w:rsid w:val="00494E89"/>
    <w:rsid w:val="004954BF"/>
    <w:rsid w:val="00495784"/>
    <w:rsid w:val="00495945"/>
    <w:rsid w:val="00495A99"/>
    <w:rsid w:val="00495B26"/>
    <w:rsid w:val="00495E2E"/>
    <w:rsid w:val="00496111"/>
    <w:rsid w:val="004961D4"/>
    <w:rsid w:val="00496730"/>
    <w:rsid w:val="0049688C"/>
    <w:rsid w:val="00496C91"/>
    <w:rsid w:val="00496CF9"/>
    <w:rsid w:val="00496F65"/>
    <w:rsid w:val="0049718E"/>
    <w:rsid w:val="0049719A"/>
    <w:rsid w:val="004977CF"/>
    <w:rsid w:val="00497C0B"/>
    <w:rsid w:val="00497E79"/>
    <w:rsid w:val="004A03AA"/>
    <w:rsid w:val="004A03EC"/>
    <w:rsid w:val="004A04FD"/>
    <w:rsid w:val="004A056F"/>
    <w:rsid w:val="004A06BF"/>
    <w:rsid w:val="004A0A53"/>
    <w:rsid w:val="004A0BCF"/>
    <w:rsid w:val="004A0CBA"/>
    <w:rsid w:val="004A0E48"/>
    <w:rsid w:val="004A0FA8"/>
    <w:rsid w:val="004A149D"/>
    <w:rsid w:val="004A179A"/>
    <w:rsid w:val="004A1C11"/>
    <w:rsid w:val="004A21CC"/>
    <w:rsid w:val="004A22B8"/>
    <w:rsid w:val="004A270C"/>
    <w:rsid w:val="004A2943"/>
    <w:rsid w:val="004A2A4F"/>
    <w:rsid w:val="004A2C48"/>
    <w:rsid w:val="004A2D2B"/>
    <w:rsid w:val="004A2F99"/>
    <w:rsid w:val="004A3BC9"/>
    <w:rsid w:val="004A3CCB"/>
    <w:rsid w:val="004A40E1"/>
    <w:rsid w:val="004A4575"/>
    <w:rsid w:val="004A474A"/>
    <w:rsid w:val="004A4832"/>
    <w:rsid w:val="004A4958"/>
    <w:rsid w:val="004A4E53"/>
    <w:rsid w:val="004A517A"/>
    <w:rsid w:val="004A52E5"/>
    <w:rsid w:val="004A535C"/>
    <w:rsid w:val="004A582A"/>
    <w:rsid w:val="004A58CA"/>
    <w:rsid w:val="004A59F8"/>
    <w:rsid w:val="004A5C0F"/>
    <w:rsid w:val="004A6085"/>
    <w:rsid w:val="004A6216"/>
    <w:rsid w:val="004A65B6"/>
    <w:rsid w:val="004A6610"/>
    <w:rsid w:val="004A6619"/>
    <w:rsid w:val="004A68A7"/>
    <w:rsid w:val="004A68C0"/>
    <w:rsid w:val="004A6A5A"/>
    <w:rsid w:val="004A6A8D"/>
    <w:rsid w:val="004A6BBF"/>
    <w:rsid w:val="004A6C35"/>
    <w:rsid w:val="004A7019"/>
    <w:rsid w:val="004A7364"/>
    <w:rsid w:val="004A73AA"/>
    <w:rsid w:val="004A7530"/>
    <w:rsid w:val="004A792D"/>
    <w:rsid w:val="004A79CC"/>
    <w:rsid w:val="004A7CE1"/>
    <w:rsid w:val="004A7D86"/>
    <w:rsid w:val="004A7E12"/>
    <w:rsid w:val="004A7FA0"/>
    <w:rsid w:val="004B0461"/>
    <w:rsid w:val="004B047B"/>
    <w:rsid w:val="004B0A6F"/>
    <w:rsid w:val="004B0AC7"/>
    <w:rsid w:val="004B0BFE"/>
    <w:rsid w:val="004B1797"/>
    <w:rsid w:val="004B1CE6"/>
    <w:rsid w:val="004B1FC4"/>
    <w:rsid w:val="004B2550"/>
    <w:rsid w:val="004B258E"/>
    <w:rsid w:val="004B25F8"/>
    <w:rsid w:val="004B28B2"/>
    <w:rsid w:val="004B2A10"/>
    <w:rsid w:val="004B2C7E"/>
    <w:rsid w:val="004B3184"/>
    <w:rsid w:val="004B3278"/>
    <w:rsid w:val="004B3356"/>
    <w:rsid w:val="004B38BD"/>
    <w:rsid w:val="004B3F32"/>
    <w:rsid w:val="004B4A09"/>
    <w:rsid w:val="004B4B29"/>
    <w:rsid w:val="004B4D45"/>
    <w:rsid w:val="004B4E8A"/>
    <w:rsid w:val="004B4FBC"/>
    <w:rsid w:val="004B5254"/>
    <w:rsid w:val="004B5718"/>
    <w:rsid w:val="004B578D"/>
    <w:rsid w:val="004B58E3"/>
    <w:rsid w:val="004B5927"/>
    <w:rsid w:val="004B5990"/>
    <w:rsid w:val="004B59A8"/>
    <w:rsid w:val="004B59FA"/>
    <w:rsid w:val="004B5C12"/>
    <w:rsid w:val="004B5D94"/>
    <w:rsid w:val="004B60BE"/>
    <w:rsid w:val="004B6244"/>
    <w:rsid w:val="004B63CF"/>
    <w:rsid w:val="004B65E8"/>
    <w:rsid w:val="004B6704"/>
    <w:rsid w:val="004B6823"/>
    <w:rsid w:val="004B6A27"/>
    <w:rsid w:val="004B6B17"/>
    <w:rsid w:val="004B703A"/>
    <w:rsid w:val="004B719E"/>
    <w:rsid w:val="004B71AC"/>
    <w:rsid w:val="004B738D"/>
    <w:rsid w:val="004B752F"/>
    <w:rsid w:val="004B7A2B"/>
    <w:rsid w:val="004B7B4A"/>
    <w:rsid w:val="004C002F"/>
    <w:rsid w:val="004C1069"/>
    <w:rsid w:val="004C1134"/>
    <w:rsid w:val="004C11DC"/>
    <w:rsid w:val="004C1B02"/>
    <w:rsid w:val="004C1C07"/>
    <w:rsid w:val="004C1C86"/>
    <w:rsid w:val="004C2120"/>
    <w:rsid w:val="004C2597"/>
    <w:rsid w:val="004C2642"/>
    <w:rsid w:val="004C28C2"/>
    <w:rsid w:val="004C2A24"/>
    <w:rsid w:val="004C2A98"/>
    <w:rsid w:val="004C2E77"/>
    <w:rsid w:val="004C2ED8"/>
    <w:rsid w:val="004C3241"/>
    <w:rsid w:val="004C34F2"/>
    <w:rsid w:val="004C3824"/>
    <w:rsid w:val="004C3C75"/>
    <w:rsid w:val="004C3CE6"/>
    <w:rsid w:val="004C4218"/>
    <w:rsid w:val="004C4290"/>
    <w:rsid w:val="004C45B0"/>
    <w:rsid w:val="004C471E"/>
    <w:rsid w:val="004C4886"/>
    <w:rsid w:val="004C4C15"/>
    <w:rsid w:val="004C4C76"/>
    <w:rsid w:val="004C4DE6"/>
    <w:rsid w:val="004C5252"/>
    <w:rsid w:val="004C528C"/>
    <w:rsid w:val="004C58AA"/>
    <w:rsid w:val="004C5B5F"/>
    <w:rsid w:val="004C5C55"/>
    <w:rsid w:val="004C5D2F"/>
    <w:rsid w:val="004C5D48"/>
    <w:rsid w:val="004C5F73"/>
    <w:rsid w:val="004C62B6"/>
    <w:rsid w:val="004C6CC3"/>
    <w:rsid w:val="004C6DAD"/>
    <w:rsid w:val="004C6DBF"/>
    <w:rsid w:val="004C6DEF"/>
    <w:rsid w:val="004C6F48"/>
    <w:rsid w:val="004C6FAF"/>
    <w:rsid w:val="004C700A"/>
    <w:rsid w:val="004C72CE"/>
    <w:rsid w:val="004C7598"/>
    <w:rsid w:val="004C7A5E"/>
    <w:rsid w:val="004C7F45"/>
    <w:rsid w:val="004D0174"/>
    <w:rsid w:val="004D0357"/>
    <w:rsid w:val="004D08D0"/>
    <w:rsid w:val="004D0A1B"/>
    <w:rsid w:val="004D0B40"/>
    <w:rsid w:val="004D0D1B"/>
    <w:rsid w:val="004D0D95"/>
    <w:rsid w:val="004D0DD5"/>
    <w:rsid w:val="004D0F0B"/>
    <w:rsid w:val="004D0F7B"/>
    <w:rsid w:val="004D13D0"/>
    <w:rsid w:val="004D16D2"/>
    <w:rsid w:val="004D1B44"/>
    <w:rsid w:val="004D1D9B"/>
    <w:rsid w:val="004D234E"/>
    <w:rsid w:val="004D2637"/>
    <w:rsid w:val="004D2638"/>
    <w:rsid w:val="004D26C8"/>
    <w:rsid w:val="004D27FB"/>
    <w:rsid w:val="004D288E"/>
    <w:rsid w:val="004D28D9"/>
    <w:rsid w:val="004D2965"/>
    <w:rsid w:val="004D2B34"/>
    <w:rsid w:val="004D2B9B"/>
    <w:rsid w:val="004D2BC6"/>
    <w:rsid w:val="004D2CD8"/>
    <w:rsid w:val="004D2F41"/>
    <w:rsid w:val="004D3198"/>
    <w:rsid w:val="004D3371"/>
    <w:rsid w:val="004D3387"/>
    <w:rsid w:val="004D4441"/>
    <w:rsid w:val="004D44D6"/>
    <w:rsid w:val="004D46A2"/>
    <w:rsid w:val="004D48B7"/>
    <w:rsid w:val="004D4A39"/>
    <w:rsid w:val="004D50C4"/>
    <w:rsid w:val="004D51A4"/>
    <w:rsid w:val="004D5267"/>
    <w:rsid w:val="004D5424"/>
    <w:rsid w:val="004D546F"/>
    <w:rsid w:val="004D5868"/>
    <w:rsid w:val="004D59CD"/>
    <w:rsid w:val="004D5CF7"/>
    <w:rsid w:val="004D5D57"/>
    <w:rsid w:val="004D6421"/>
    <w:rsid w:val="004D6F0A"/>
    <w:rsid w:val="004D7003"/>
    <w:rsid w:val="004D7444"/>
    <w:rsid w:val="004D7594"/>
    <w:rsid w:val="004D7AB0"/>
    <w:rsid w:val="004D7D46"/>
    <w:rsid w:val="004D7F6B"/>
    <w:rsid w:val="004E00D4"/>
    <w:rsid w:val="004E01E4"/>
    <w:rsid w:val="004E0302"/>
    <w:rsid w:val="004E0318"/>
    <w:rsid w:val="004E039A"/>
    <w:rsid w:val="004E059E"/>
    <w:rsid w:val="004E0621"/>
    <w:rsid w:val="004E0CA7"/>
    <w:rsid w:val="004E0FF2"/>
    <w:rsid w:val="004E13BA"/>
    <w:rsid w:val="004E1424"/>
    <w:rsid w:val="004E142A"/>
    <w:rsid w:val="004E154B"/>
    <w:rsid w:val="004E164B"/>
    <w:rsid w:val="004E1797"/>
    <w:rsid w:val="004E1C47"/>
    <w:rsid w:val="004E1DA2"/>
    <w:rsid w:val="004E1DC7"/>
    <w:rsid w:val="004E25B7"/>
    <w:rsid w:val="004E2631"/>
    <w:rsid w:val="004E2863"/>
    <w:rsid w:val="004E29CA"/>
    <w:rsid w:val="004E3177"/>
    <w:rsid w:val="004E33E2"/>
    <w:rsid w:val="004E383E"/>
    <w:rsid w:val="004E3B0F"/>
    <w:rsid w:val="004E3B5A"/>
    <w:rsid w:val="004E3CF9"/>
    <w:rsid w:val="004E3DDE"/>
    <w:rsid w:val="004E441B"/>
    <w:rsid w:val="004E465B"/>
    <w:rsid w:val="004E482D"/>
    <w:rsid w:val="004E4B37"/>
    <w:rsid w:val="004E4D97"/>
    <w:rsid w:val="004E4EBA"/>
    <w:rsid w:val="004E55C2"/>
    <w:rsid w:val="004E567F"/>
    <w:rsid w:val="004E5EF7"/>
    <w:rsid w:val="004E6134"/>
    <w:rsid w:val="004E635E"/>
    <w:rsid w:val="004E6F3B"/>
    <w:rsid w:val="004E6F57"/>
    <w:rsid w:val="004E7759"/>
    <w:rsid w:val="004E7AC6"/>
    <w:rsid w:val="004E7BC2"/>
    <w:rsid w:val="004E7E73"/>
    <w:rsid w:val="004F04DA"/>
    <w:rsid w:val="004F0548"/>
    <w:rsid w:val="004F05CA"/>
    <w:rsid w:val="004F0AC0"/>
    <w:rsid w:val="004F0B34"/>
    <w:rsid w:val="004F0BCB"/>
    <w:rsid w:val="004F0C3C"/>
    <w:rsid w:val="004F0C6D"/>
    <w:rsid w:val="004F1274"/>
    <w:rsid w:val="004F1E2D"/>
    <w:rsid w:val="004F1F7C"/>
    <w:rsid w:val="004F203F"/>
    <w:rsid w:val="004F2201"/>
    <w:rsid w:val="004F26EE"/>
    <w:rsid w:val="004F2CE5"/>
    <w:rsid w:val="004F2EFC"/>
    <w:rsid w:val="004F32C6"/>
    <w:rsid w:val="004F3619"/>
    <w:rsid w:val="004F3690"/>
    <w:rsid w:val="004F394A"/>
    <w:rsid w:val="004F3A34"/>
    <w:rsid w:val="004F41B6"/>
    <w:rsid w:val="004F421D"/>
    <w:rsid w:val="004F470E"/>
    <w:rsid w:val="004F4B47"/>
    <w:rsid w:val="004F4C87"/>
    <w:rsid w:val="004F4D50"/>
    <w:rsid w:val="004F4DD5"/>
    <w:rsid w:val="004F5042"/>
    <w:rsid w:val="004F50AF"/>
    <w:rsid w:val="004F5621"/>
    <w:rsid w:val="004F57DD"/>
    <w:rsid w:val="004F5B81"/>
    <w:rsid w:val="004F5F70"/>
    <w:rsid w:val="004F60E8"/>
    <w:rsid w:val="004F6309"/>
    <w:rsid w:val="004F6535"/>
    <w:rsid w:val="004F65E4"/>
    <w:rsid w:val="004F668D"/>
    <w:rsid w:val="004F68A0"/>
    <w:rsid w:val="004F6ADC"/>
    <w:rsid w:val="004F6AE7"/>
    <w:rsid w:val="004F6DA6"/>
    <w:rsid w:val="004F6F41"/>
    <w:rsid w:val="004F74E1"/>
    <w:rsid w:val="004F75DD"/>
    <w:rsid w:val="004F7B30"/>
    <w:rsid w:val="004F7B4B"/>
    <w:rsid w:val="004F7FCC"/>
    <w:rsid w:val="00500430"/>
    <w:rsid w:val="005005F2"/>
    <w:rsid w:val="0050064B"/>
    <w:rsid w:val="0050091B"/>
    <w:rsid w:val="00500A05"/>
    <w:rsid w:val="00500A0D"/>
    <w:rsid w:val="00500F5D"/>
    <w:rsid w:val="00500FB0"/>
    <w:rsid w:val="00501299"/>
    <w:rsid w:val="005014C6"/>
    <w:rsid w:val="00501584"/>
    <w:rsid w:val="00501675"/>
    <w:rsid w:val="00501965"/>
    <w:rsid w:val="00501B11"/>
    <w:rsid w:val="00501ED5"/>
    <w:rsid w:val="00502075"/>
    <w:rsid w:val="0050225D"/>
    <w:rsid w:val="00502758"/>
    <w:rsid w:val="005029C1"/>
    <w:rsid w:val="00502CFD"/>
    <w:rsid w:val="00502DA6"/>
    <w:rsid w:val="005031A0"/>
    <w:rsid w:val="00503218"/>
    <w:rsid w:val="005034C2"/>
    <w:rsid w:val="00503715"/>
    <w:rsid w:val="00503C18"/>
    <w:rsid w:val="00503DC4"/>
    <w:rsid w:val="00503E1E"/>
    <w:rsid w:val="0050443B"/>
    <w:rsid w:val="0050466C"/>
    <w:rsid w:val="00504879"/>
    <w:rsid w:val="00504CE7"/>
    <w:rsid w:val="00504E87"/>
    <w:rsid w:val="00504FA8"/>
    <w:rsid w:val="00505261"/>
    <w:rsid w:val="005060AC"/>
    <w:rsid w:val="005063ED"/>
    <w:rsid w:val="00506762"/>
    <w:rsid w:val="00506854"/>
    <w:rsid w:val="0050731C"/>
    <w:rsid w:val="005073D0"/>
    <w:rsid w:val="0050740B"/>
    <w:rsid w:val="0050746D"/>
    <w:rsid w:val="0050778C"/>
    <w:rsid w:val="00507895"/>
    <w:rsid w:val="005079EA"/>
    <w:rsid w:val="00507B04"/>
    <w:rsid w:val="00507B1C"/>
    <w:rsid w:val="005100A1"/>
    <w:rsid w:val="00510231"/>
    <w:rsid w:val="005109A8"/>
    <w:rsid w:val="00510B77"/>
    <w:rsid w:val="005111C7"/>
    <w:rsid w:val="00511726"/>
    <w:rsid w:val="005117F1"/>
    <w:rsid w:val="005119BF"/>
    <w:rsid w:val="00511EE0"/>
    <w:rsid w:val="00512147"/>
    <w:rsid w:val="00512218"/>
    <w:rsid w:val="005126FE"/>
    <w:rsid w:val="00512BF6"/>
    <w:rsid w:val="00512D1F"/>
    <w:rsid w:val="00512E88"/>
    <w:rsid w:val="0051319D"/>
    <w:rsid w:val="005132A5"/>
    <w:rsid w:val="00513355"/>
    <w:rsid w:val="00513566"/>
    <w:rsid w:val="00513671"/>
    <w:rsid w:val="00513707"/>
    <w:rsid w:val="005137BA"/>
    <w:rsid w:val="005137BC"/>
    <w:rsid w:val="00513B80"/>
    <w:rsid w:val="00513C8A"/>
    <w:rsid w:val="00513C96"/>
    <w:rsid w:val="00514066"/>
    <w:rsid w:val="005140D5"/>
    <w:rsid w:val="005143F2"/>
    <w:rsid w:val="005144EC"/>
    <w:rsid w:val="005146A1"/>
    <w:rsid w:val="005147B7"/>
    <w:rsid w:val="005148C1"/>
    <w:rsid w:val="00514BE5"/>
    <w:rsid w:val="00514D69"/>
    <w:rsid w:val="00514FE5"/>
    <w:rsid w:val="00515014"/>
    <w:rsid w:val="00515166"/>
    <w:rsid w:val="005151D1"/>
    <w:rsid w:val="00515254"/>
    <w:rsid w:val="0051547D"/>
    <w:rsid w:val="005154E2"/>
    <w:rsid w:val="00515653"/>
    <w:rsid w:val="005158AB"/>
    <w:rsid w:val="00515901"/>
    <w:rsid w:val="0051598D"/>
    <w:rsid w:val="00515E53"/>
    <w:rsid w:val="00515F52"/>
    <w:rsid w:val="0051663C"/>
    <w:rsid w:val="005166A8"/>
    <w:rsid w:val="0051684B"/>
    <w:rsid w:val="005169BA"/>
    <w:rsid w:val="005169FE"/>
    <w:rsid w:val="00516E05"/>
    <w:rsid w:val="00517092"/>
    <w:rsid w:val="005170BB"/>
    <w:rsid w:val="00517153"/>
    <w:rsid w:val="00517316"/>
    <w:rsid w:val="0051783B"/>
    <w:rsid w:val="005178DB"/>
    <w:rsid w:val="0051793A"/>
    <w:rsid w:val="005179D6"/>
    <w:rsid w:val="00517AC3"/>
    <w:rsid w:val="00517AF1"/>
    <w:rsid w:val="00517B6C"/>
    <w:rsid w:val="00517CDD"/>
    <w:rsid w:val="00517CFB"/>
    <w:rsid w:val="00517E5F"/>
    <w:rsid w:val="00517E8A"/>
    <w:rsid w:val="00517F34"/>
    <w:rsid w:val="005202F5"/>
    <w:rsid w:val="005204E0"/>
    <w:rsid w:val="00520BB2"/>
    <w:rsid w:val="00520E30"/>
    <w:rsid w:val="0052155D"/>
    <w:rsid w:val="005215F0"/>
    <w:rsid w:val="00521622"/>
    <w:rsid w:val="00521BCB"/>
    <w:rsid w:val="00521E71"/>
    <w:rsid w:val="00522331"/>
    <w:rsid w:val="00522416"/>
    <w:rsid w:val="005226E5"/>
    <w:rsid w:val="00522D51"/>
    <w:rsid w:val="00523000"/>
    <w:rsid w:val="00523101"/>
    <w:rsid w:val="00523309"/>
    <w:rsid w:val="005236EA"/>
    <w:rsid w:val="00523991"/>
    <w:rsid w:val="005239C9"/>
    <w:rsid w:val="00523EF9"/>
    <w:rsid w:val="005242F7"/>
    <w:rsid w:val="005245BA"/>
    <w:rsid w:val="005246DE"/>
    <w:rsid w:val="00524878"/>
    <w:rsid w:val="0052494C"/>
    <w:rsid w:val="00524FD3"/>
    <w:rsid w:val="0052527E"/>
    <w:rsid w:val="005258D9"/>
    <w:rsid w:val="00525A23"/>
    <w:rsid w:val="00525AF7"/>
    <w:rsid w:val="00525BE3"/>
    <w:rsid w:val="00525D2E"/>
    <w:rsid w:val="00525F7F"/>
    <w:rsid w:val="00526473"/>
    <w:rsid w:val="005265CC"/>
    <w:rsid w:val="00526D56"/>
    <w:rsid w:val="00527011"/>
    <w:rsid w:val="00527249"/>
    <w:rsid w:val="00527337"/>
    <w:rsid w:val="005276FD"/>
    <w:rsid w:val="00527754"/>
    <w:rsid w:val="00527830"/>
    <w:rsid w:val="0052792C"/>
    <w:rsid w:val="005301C3"/>
    <w:rsid w:val="005302CF"/>
    <w:rsid w:val="005306FF"/>
    <w:rsid w:val="00530837"/>
    <w:rsid w:val="00530A91"/>
    <w:rsid w:val="00530D45"/>
    <w:rsid w:val="00530F01"/>
    <w:rsid w:val="00530F94"/>
    <w:rsid w:val="0053108C"/>
    <w:rsid w:val="00531111"/>
    <w:rsid w:val="0053127A"/>
    <w:rsid w:val="00531463"/>
    <w:rsid w:val="0053146B"/>
    <w:rsid w:val="0053171C"/>
    <w:rsid w:val="005318C7"/>
    <w:rsid w:val="00531ACB"/>
    <w:rsid w:val="00531D4E"/>
    <w:rsid w:val="00531FBE"/>
    <w:rsid w:val="00531FED"/>
    <w:rsid w:val="0053211B"/>
    <w:rsid w:val="00532198"/>
    <w:rsid w:val="005322AB"/>
    <w:rsid w:val="00532348"/>
    <w:rsid w:val="0053267F"/>
    <w:rsid w:val="005333B4"/>
    <w:rsid w:val="005333BD"/>
    <w:rsid w:val="00533732"/>
    <w:rsid w:val="00533834"/>
    <w:rsid w:val="0053389E"/>
    <w:rsid w:val="00533C4E"/>
    <w:rsid w:val="00533CE2"/>
    <w:rsid w:val="00533D83"/>
    <w:rsid w:val="00533DF7"/>
    <w:rsid w:val="00534090"/>
    <w:rsid w:val="00534314"/>
    <w:rsid w:val="00534985"/>
    <w:rsid w:val="00534C1D"/>
    <w:rsid w:val="0053518C"/>
    <w:rsid w:val="005354E9"/>
    <w:rsid w:val="00535759"/>
    <w:rsid w:val="00535ADC"/>
    <w:rsid w:val="00535C26"/>
    <w:rsid w:val="00535D19"/>
    <w:rsid w:val="005364C1"/>
    <w:rsid w:val="005364CE"/>
    <w:rsid w:val="00536552"/>
    <w:rsid w:val="00536564"/>
    <w:rsid w:val="005365A9"/>
    <w:rsid w:val="005366AA"/>
    <w:rsid w:val="005367DB"/>
    <w:rsid w:val="00536A25"/>
    <w:rsid w:val="00536BC5"/>
    <w:rsid w:val="00536C0F"/>
    <w:rsid w:val="00536EF1"/>
    <w:rsid w:val="00537AC9"/>
    <w:rsid w:val="00537BF7"/>
    <w:rsid w:val="00537D83"/>
    <w:rsid w:val="00537DE0"/>
    <w:rsid w:val="00537F95"/>
    <w:rsid w:val="00540000"/>
    <w:rsid w:val="0054005A"/>
    <w:rsid w:val="005401A8"/>
    <w:rsid w:val="0054022D"/>
    <w:rsid w:val="00540242"/>
    <w:rsid w:val="00540D26"/>
    <w:rsid w:val="00540D48"/>
    <w:rsid w:val="00540E9D"/>
    <w:rsid w:val="00540F06"/>
    <w:rsid w:val="00541671"/>
    <w:rsid w:val="00541780"/>
    <w:rsid w:val="005419DF"/>
    <w:rsid w:val="00541CD0"/>
    <w:rsid w:val="00541CF1"/>
    <w:rsid w:val="00541D95"/>
    <w:rsid w:val="00541F9A"/>
    <w:rsid w:val="00542000"/>
    <w:rsid w:val="00542263"/>
    <w:rsid w:val="0054253E"/>
    <w:rsid w:val="00542A08"/>
    <w:rsid w:val="00542A1B"/>
    <w:rsid w:val="00542F6F"/>
    <w:rsid w:val="0054334F"/>
    <w:rsid w:val="005433AC"/>
    <w:rsid w:val="00543410"/>
    <w:rsid w:val="00543557"/>
    <w:rsid w:val="00543989"/>
    <w:rsid w:val="00543A41"/>
    <w:rsid w:val="00543B39"/>
    <w:rsid w:val="00543E1F"/>
    <w:rsid w:val="00543E68"/>
    <w:rsid w:val="0054407F"/>
    <w:rsid w:val="00544143"/>
    <w:rsid w:val="005443CD"/>
    <w:rsid w:val="005446B8"/>
    <w:rsid w:val="00544C5F"/>
    <w:rsid w:val="00544FAE"/>
    <w:rsid w:val="0054514B"/>
    <w:rsid w:val="005452D1"/>
    <w:rsid w:val="00545332"/>
    <w:rsid w:val="0054577B"/>
    <w:rsid w:val="0054596E"/>
    <w:rsid w:val="00545BDE"/>
    <w:rsid w:val="00545D69"/>
    <w:rsid w:val="00545E3C"/>
    <w:rsid w:val="00546648"/>
    <w:rsid w:val="00547001"/>
    <w:rsid w:val="00547040"/>
    <w:rsid w:val="005472C6"/>
    <w:rsid w:val="005476A1"/>
    <w:rsid w:val="005476B4"/>
    <w:rsid w:val="00547AAE"/>
    <w:rsid w:val="00547BD3"/>
    <w:rsid w:val="00547FE0"/>
    <w:rsid w:val="005500B5"/>
    <w:rsid w:val="005500FF"/>
    <w:rsid w:val="00550382"/>
    <w:rsid w:val="0055049B"/>
    <w:rsid w:val="00550737"/>
    <w:rsid w:val="005507F2"/>
    <w:rsid w:val="00550A27"/>
    <w:rsid w:val="00550B4A"/>
    <w:rsid w:val="00550C6A"/>
    <w:rsid w:val="00550CCB"/>
    <w:rsid w:val="0055114B"/>
    <w:rsid w:val="0055135E"/>
    <w:rsid w:val="00551988"/>
    <w:rsid w:val="00551A7A"/>
    <w:rsid w:val="00551B04"/>
    <w:rsid w:val="00551F9E"/>
    <w:rsid w:val="00552BDB"/>
    <w:rsid w:val="00552FED"/>
    <w:rsid w:val="00553967"/>
    <w:rsid w:val="00553C3B"/>
    <w:rsid w:val="00553CFE"/>
    <w:rsid w:val="00554499"/>
    <w:rsid w:val="005545F4"/>
    <w:rsid w:val="00554687"/>
    <w:rsid w:val="00554BAA"/>
    <w:rsid w:val="005551C5"/>
    <w:rsid w:val="00555456"/>
    <w:rsid w:val="00555A5A"/>
    <w:rsid w:val="00555A87"/>
    <w:rsid w:val="00555B30"/>
    <w:rsid w:val="00555D15"/>
    <w:rsid w:val="00555E19"/>
    <w:rsid w:val="00556333"/>
    <w:rsid w:val="0055640D"/>
    <w:rsid w:val="00556BE4"/>
    <w:rsid w:val="00556BFD"/>
    <w:rsid w:val="00556CB5"/>
    <w:rsid w:val="00556D94"/>
    <w:rsid w:val="00557138"/>
    <w:rsid w:val="005574BB"/>
    <w:rsid w:val="00557BBD"/>
    <w:rsid w:val="00557DE6"/>
    <w:rsid w:val="00557FE0"/>
    <w:rsid w:val="005600F4"/>
    <w:rsid w:val="0056063D"/>
    <w:rsid w:val="0056065D"/>
    <w:rsid w:val="00560E23"/>
    <w:rsid w:val="00560F8D"/>
    <w:rsid w:val="0056115F"/>
    <w:rsid w:val="00561429"/>
    <w:rsid w:val="005614B4"/>
    <w:rsid w:val="0056170F"/>
    <w:rsid w:val="005619F2"/>
    <w:rsid w:val="00561C82"/>
    <w:rsid w:val="00561D8A"/>
    <w:rsid w:val="00561FC0"/>
    <w:rsid w:val="005620C8"/>
    <w:rsid w:val="00562269"/>
    <w:rsid w:val="00562473"/>
    <w:rsid w:val="0056274F"/>
    <w:rsid w:val="00562B78"/>
    <w:rsid w:val="00562CBA"/>
    <w:rsid w:val="00562E1B"/>
    <w:rsid w:val="00562E2B"/>
    <w:rsid w:val="00562F95"/>
    <w:rsid w:val="005631B5"/>
    <w:rsid w:val="005633A0"/>
    <w:rsid w:val="00563775"/>
    <w:rsid w:val="005638A5"/>
    <w:rsid w:val="00563AD8"/>
    <w:rsid w:val="00563EB3"/>
    <w:rsid w:val="005640A3"/>
    <w:rsid w:val="00564286"/>
    <w:rsid w:val="0056475B"/>
    <w:rsid w:val="005647BB"/>
    <w:rsid w:val="00564962"/>
    <w:rsid w:val="00564A02"/>
    <w:rsid w:val="00564AB3"/>
    <w:rsid w:val="00564BE8"/>
    <w:rsid w:val="00564C07"/>
    <w:rsid w:val="00564C4A"/>
    <w:rsid w:val="00564E53"/>
    <w:rsid w:val="0056501E"/>
    <w:rsid w:val="005650E5"/>
    <w:rsid w:val="005651E8"/>
    <w:rsid w:val="00565D77"/>
    <w:rsid w:val="00565E25"/>
    <w:rsid w:val="00565F41"/>
    <w:rsid w:val="00566001"/>
    <w:rsid w:val="005661F6"/>
    <w:rsid w:val="005663BE"/>
    <w:rsid w:val="005666F0"/>
    <w:rsid w:val="00567016"/>
    <w:rsid w:val="005675AD"/>
    <w:rsid w:val="00567627"/>
    <w:rsid w:val="00567A25"/>
    <w:rsid w:val="00567CEB"/>
    <w:rsid w:val="00567D2D"/>
    <w:rsid w:val="00567EFA"/>
    <w:rsid w:val="00567F03"/>
    <w:rsid w:val="0057008D"/>
    <w:rsid w:val="00570354"/>
    <w:rsid w:val="005708F0"/>
    <w:rsid w:val="00570B85"/>
    <w:rsid w:val="00570E5B"/>
    <w:rsid w:val="0057133C"/>
    <w:rsid w:val="0057139F"/>
    <w:rsid w:val="005717D7"/>
    <w:rsid w:val="0057198B"/>
    <w:rsid w:val="00571C75"/>
    <w:rsid w:val="00571F0C"/>
    <w:rsid w:val="00571FA7"/>
    <w:rsid w:val="00572226"/>
    <w:rsid w:val="005723C6"/>
    <w:rsid w:val="005723CA"/>
    <w:rsid w:val="005726C5"/>
    <w:rsid w:val="00572A34"/>
    <w:rsid w:val="00572B9C"/>
    <w:rsid w:val="00572D44"/>
    <w:rsid w:val="005733CB"/>
    <w:rsid w:val="005733D4"/>
    <w:rsid w:val="00573404"/>
    <w:rsid w:val="005735AA"/>
    <w:rsid w:val="00573736"/>
    <w:rsid w:val="005738FC"/>
    <w:rsid w:val="00573A42"/>
    <w:rsid w:val="00573FFA"/>
    <w:rsid w:val="0057465A"/>
    <w:rsid w:val="00574D76"/>
    <w:rsid w:val="00574E9D"/>
    <w:rsid w:val="005751B8"/>
    <w:rsid w:val="0057530C"/>
    <w:rsid w:val="0057532B"/>
    <w:rsid w:val="005754D6"/>
    <w:rsid w:val="0057569F"/>
    <w:rsid w:val="005756B0"/>
    <w:rsid w:val="005759A4"/>
    <w:rsid w:val="00575AD1"/>
    <w:rsid w:val="00575B31"/>
    <w:rsid w:val="00575D32"/>
    <w:rsid w:val="00575D61"/>
    <w:rsid w:val="005760BB"/>
    <w:rsid w:val="0057627B"/>
    <w:rsid w:val="0057648C"/>
    <w:rsid w:val="0057664E"/>
    <w:rsid w:val="00576A85"/>
    <w:rsid w:val="00576B36"/>
    <w:rsid w:val="00576EDE"/>
    <w:rsid w:val="00577066"/>
    <w:rsid w:val="0057706A"/>
    <w:rsid w:val="0057711C"/>
    <w:rsid w:val="00577361"/>
    <w:rsid w:val="00577541"/>
    <w:rsid w:val="005778D8"/>
    <w:rsid w:val="00577EEC"/>
    <w:rsid w:val="00580118"/>
    <w:rsid w:val="00580120"/>
    <w:rsid w:val="005803B1"/>
    <w:rsid w:val="00580913"/>
    <w:rsid w:val="00581359"/>
    <w:rsid w:val="005815FE"/>
    <w:rsid w:val="0058177E"/>
    <w:rsid w:val="00581C41"/>
    <w:rsid w:val="00581EE6"/>
    <w:rsid w:val="00582173"/>
    <w:rsid w:val="005822A0"/>
    <w:rsid w:val="005822BC"/>
    <w:rsid w:val="00582732"/>
    <w:rsid w:val="00582962"/>
    <w:rsid w:val="00582AE2"/>
    <w:rsid w:val="005831A2"/>
    <w:rsid w:val="0058338A"/>
    <w:rsid w:val="00583646"/>
    <w:rsid w:val="005837B3"/>
    <w:rsid w:val="00583E12"/>
    <w:rsid w:val="00584584"/>
    <w:rsid w:val="00584837"/>
    <w:rsid w:val="00584A3C"/>
    <w:rsid w:val="00584A61"/>
    <w:rsid w:val="00584B7A"/>
    <w:rsid w:val="0058520F"/>
    <w:rsid w:val="00585274"/>
    <w:rsid w:val="00585378"/>
    <w:rsid w:val="00585510"/>
    <w:rsid w:val="00585BB7"/>
    <w:rsid w:val="00585C26"/>
    <w:rsid w:val="00585C29"/>
    <w:rsid w:val="00585C48"/>
    <w:rsid w:val="00585DA0"/>
    <w:rsid w:val="00586029"/>
    <w:rsid w:val="005861EF"/>
    <w:rsid w:val="0058646C"/>
    <w:rsid w:val="00586666"/>
    <w:rsid w:val="00586AC6"/>
    <w:rsid w:val="00586C69"/>
    <w:rsid w:val="00587213"/>
    <w:rsid w:val="00587322"/>
    <w:rsid w:val="00587532"/>
    <w:rsid w:val="00587824"/>
    <w:rsid w:val="00587967"/>
    <w:rsid w:val="005879CF"/>
    <w:rsid w:val="00587ACD"/>
    <w:rsid w:val="00587E08"/>
    <w:rsid w:val="00587F33"/>
    <w:rsid w:val="00590267"/>
    <w:rsid w:val="005902EB"/>
    <w:rsid w:val="0059037C"/>
    <w:rsid w:val="00590476"/>
    <w:rsid w:val="005909F3"/>
    <w:rsid w:val="00590DA5"/>
    <w:rsid w:val="00590EB0"/>
    <w:rsid w:val="00590F0E"/>
    <w:rsid w:val="00591FCA"/>
    <w:rsid w:val="005928B1"/>
    <w:rsid w:val="0059290B"/>
    <w:rsid w:val="005929AF"/>
    <w:rsid w:val="00592AEB"/>
    <w:rsid w:val="00592B23"/>
    <w:rsid w:val="00592B9D"/>
    <w:rsid w:val="00592C29"/>
    <w:rsid w:val="00592DD3"/>
    <w:rsid w:val="00592E64"/>
    <w:rsid w:val="00593785"/>
    <w:rsid w:val="00593AA2"/>
    <w:rsid w:val="00593AA7"/>
    <w:rsid w:val="00593AC6"/>
    <w:rsid w:val="00593B6C"/>
    <w:rsid w:val="00593D26"/>
    <w:rsid w:val="00593F5E"/>
    <w:rsid w:val="005944F5"/>
    <w:rsid w:val="0059467B"/>
    <w:rsid w:val="00594811"/>
    <w:rsid w:val="00594911"/>
    <w:rsid w:val="00594A5F"/>
    <w:rsid w:val="00594B66"/>
    <w:rsid w:val="00594C18"/>
    <w:rsid w:val="00594DBA"/>
    <w:rsid w:val="00594F38"/>
    <w:rsid w:val="00595122"/>
    <w:rsid w:val="0059518C"/>
    <w:rsid w:val="005951DB"/>
    <w:rsid w:val="005956B5"/>
    <w:rsid w:val="00595784"/>
    <w:rsid w:val="00595AFA"/>
    <w:rsid w:val="00595B05"/>
    <w:rsid w:val="00595B13"/>
    <w:rsid w:val="00595D86"/>
    <w:rsid w:val="00596776"/>
    <w:rsid w:val="00596A76"/>
    <w:rsid w:val="00596CB0"/>
    <w:rsid w:val="005971C8"/>
    <w:rsid w:val="005973AE"/>
    <w:rsid w:val="00597409"/>
    <w:rsid w:val="005974E2"/>
    <w:rsid w:val="00597741"/>
    <w:rsid w:val="00597D86"/>
    <w:rsid w:val="005A0256"/>
    <w:rsid w:val="005A03ED"/>
    <w:rsid w:val="005A049D"/>
    <w:rsid w:val="005A04DE"/>
    <w:rsid w:val="005A073E"/>
    <w:rsid w:val="005A0A4B"/>
    <w:rsid w:val="005A0ECA"/>
    <w:rsid w:val="005A0ED8"/>
    <w:rsid w:val="005A115D"/>
    <w:rsid w:val="005A11CD"/>
    <w:rsid w:val="005A1443"/>
    <w:rsid w:val="005A15FE"/>
    <w:rsid w:val="005A16D3"/>
    <w:rsid w:val="005A1C25"/>
    <w:rsid w:val="005A1EC7"/>
    <w:rsid w:val="005A1ECC"/>
    <w:rsid w:val="005A1F87"/>
    <w:rsid w:val="005A1FDB"/>
    <w:rsid w:val="005A2124"/>
    <w:rsid w:val="005A22CC"/>
    <w:rsid w:val="005A22D8"/>
    <w:rsid w:val="005A2443"/>
    <w:rsid w:val="005A2486"/>
    <w:rsid w:val="005A2518"/>
    <w:rsid w:val="005A2703"/>
    <w:rsid w:val="005A2778"/>
    <w:rsid w:val="005A27E4"/>
    <w:rsid w:val="005A288A"/>
    <w:rsid w:val="005A2A30"/>
    <w:rsid w:val="005A2B4E"/>
    <w:rsid w:val="005A2CA3"/>
    <w:rsid w:val="005A3108"/>
    <w:rsid w:val="005A329C"/>
    <w:rsid w:val="005A34D3"/>
    <w:rsid w:val="005A3541"/>
    <w:rsid w:val="005A3665"/>
    <w:rsid w:val="005A3E3D"/>
    <w:rsid w:val="005A4720"/>
    <w:rsid w:val="005A4731"/>
    <w:rsid w:val="005A494F"/>
    <w:rsid w:val="005A4AA6"/>
    <w:rsid w:val="005A4BB3"/>
    <w:rsid w:val="005A4D49"/>
    <w:rsid w:val="005A4E87"/>
    <w:rsid w:val="005A4EB7"/>
    <w:rsid w:val="005A4EDE"/>
    <w:rsid w:val="005A5080"/>
    <w:rsid w:val="005A56AF"/>
    <w:rsid w:val="005A582D"/>
    <w:rsid w:val="005A5B2E"/>
    <w:rsid w:val="005A5CFC"/>
    <w:rsid w:val="005A5DC0"/>
    <w:rsid w:val="005A5E08"/>
    <w:rsid w:val="005A62B5"/>
    <w:rsid w:val="005A6347"/>
    <w:rsid w:val="005A65F7"/>
    <w:rsid w:val="005A667C"/>
    <w:rsid w:val="005A6D7A"/>
    <w:rsid w:val="005A7308"/>
    <w:rsid w:val="005A74CA"/>
    <w:rsid w:val="005A74FC"/>
    <w:rsid w:val="005A754B"/>
    <w:rsid w:val="005A7797"/>
    <w:rsid w:val="005A7AA4"/>
    <w:rsid w:val="005A7C51"/>
    <w:rsid w:val="005A7EA3"/>
    <w:rsid w:val="005B02D9"/>
    <w:rsid w:val="005B035A"/>
    <w:rsid w:val="005B053E"/>
    <w:rsid w:val="005B0670"/>
    <w:rsid w:val="005B0684"/>
    <w:rsid w:val="005B0685"/>
    <w:rsid w:val="005B07BA"/>
    <w:rsid w:val="005B0B29"/>
    <w:rsid w:val="005B0CFE"/>
    <w:rsid w:val="005B10F0"/>
    <w:rsid w:val="005B10F9"/>
    <w:rsid w:val="005B13A7"/>
    <w:rsid w:val="005B1478"/>
    <w:rsid w:val="005B14AC"/>
    <w:rsid w:val="005B1572"/>
    <w:rsid w:val="005B1721"/>
    <w:rsid w:val="005B17DB"/>
    <w:rsid w:val="005B1A10"/>
    <w:rsid w:val="005B1D88"/>
    <w:rsid w:val="005B1EC2"/>
    <w:rsid w:val="005B1FDF"/>
    <w:rsid w:val="005B2108"/>
    <w:rsid w:val="005B21DD"/>
    <w:rsid w:val="005B229C"/>
    <w:rsid w:val="005B2696"/>
    <w:rsid w:val="005B28BB"/>
    <w:rsid w:val="005B2AE3"/>
    <w:rsid w:val="005B2C55"/>
    <w:rsid w:val="005B2D8F"/>
    <w:rsid w:val="005B3427"/>
    <w:rsid w:val="005B382E"/>
    <w:rsid w:val="005B3CAA"/>
    <w:rsid w:val="005B3DAF"/>
    <w:rsid w:val="005B3F89"/>
    <w:rsid w:val="005B40E3"/>
    <w:rsid w:val="005B4604"/>
    <w:rsid w:val="005B47C4"/>
    <w:rsid w:val="005B48E3"/>
    <w:rsid w:val="005B4E2F"/>
    <w:rsid w:val="005B5167"/>
    <w:rsid w:val="005B516C"/>
    <w:rsid w:val="005B5877"/>
    <w:rsid w:val="005B5924"/>
    <w:rsid w:val="005B5946"/>
    <w:rsid w:val="005B5963"/>
    <w:rsid w:val="005B5CE7"/>
    <w:rsid w:val="005B5DA3"/>
    <w:rsid w:val="005B61EB"/>
    <w:rsid w:val="005B62D4"/>
    <w:rsid w:val="005B665A"/>
    <w:rsid w:val="005B6BD0"/>
    <w:rsid w:val="005B6D7C"/>
    <w:rsid w:val="005B6DCB"/>
    <w:rsid w:val="005B707A"/>
    <w:rsid w:val="005B73D5"/>
    <w:rsid w:val="005B758B"/>
    <w:rsid w:val="005B7A6C"/>
    <w:rsid w:val="005B7A92"/>
    <w:rsid w:val="005B7C1F"/>
    <w:rsid w:val="005B7C7D"/>
    <w:rsid w:val="005B7F32"/>
    <w:rsid w:val="005C07FE"/>
    <w:rsid w:val="005C08E2"/>
    <w:rsid w:val="005C0BD3"/>
    <w:rsid w:val="005C0D4B"/>
    <w:rsid w:val="005C14AE"/>
    <w:rsid w:val="005C14ED"/>
    <w:rsid w:val="005C186F"/>
    <w:rsid w:val="005C19F5"/>
    <w:rsid w:val="005C1A71"/>
    <w:rsid w:val="005C2399"/>
    <w:rsid w:val="005C254D"/>
    <w:rsid w:val="005C25EB"/>
    <w:rsid w:val="005C295B"/>
    <w:rsid w:val="005C2CAF"/>
    <w:rsid w:val="005C2DF3"/>
    <w:rsid w:val="005C2F51"/>
    <w:rsid w:val="005C2FA4"/>
    <w:rsid w:val="005C3046"/>
    <w:rsid w:val="005C3378"/>
    <w:rsid w:val="005C34FC"/>
    <w:rsid w:val="005C3990"/>
    <w:rsid w:val="005C3AD5"/>
    <w:rsid w:val="005C4243"/>
    <w:rsid w:val="005C43A8"/>
    <w:rsid w:val="005C466D"/>
    <w:rsid w:val="005C46CF"/>
    <w:rsid w:val="005C492C"/>
    <w:rsid w:val="005C4DE7"/>
    <w:rsid w:val="005C4FDF"/>
    <w:rsid w:val="005C512F"/>
    <w:rsid w:val="005C53E2"/>
    <w:rsid w:val="005C56AA"/>
    <w:rsid w:val="005C5703"/>
    <w:rsid w:val="005C57BA"/>
    <w:rsid w:val="005C57FB"/>
    <w:rsid w:val="005C5B56"/>
    <w:rsid w:val="005C5B72"/>
    <w:rsid w:val="005C5CB6"/>
    <w:rsid w:val="005C5D72"/>
    <w:rsid w:val="005C5D9F"/>
    <w:rsid w:val="005C5DF3"/>
    <w:rsid w:val="005C6042"/>
    <w:rsid w:val="005C6352"/>
    <w:rsid w:val="005C6396"/>
    <w:rsid w:val="005C6915"/>
    <w:rsid w:val="005C6A7D"/>
    <w:rsid w:val="005C6BB7"/>
    <w:rsid w:val="005C6E04"/>
    <w:rsid w:val="005C6FE6"/>
    <w:rsid w:val="005C7387"/>
    <w:rsid w:val="005C7582"/>
    <w:rsid w:val="005C779B"/>
    <w:rsid w:val="005C7A38"/>
    <w:rsid w:val="005C7A4F"/>
    <w:rsid w:val="005C7C86"/>
    <w:rsid w:val="005C7CB9"/>
    <w:rsid w:val="005C7D3D"/>
    <w:rsid w:val="005C7E02"/>
    <w:rsid w:val="005D0138"/>
    <w:rsid w:val="005D04E0"/>
    <w:rsid w:val="005D057B"/>
    <w:rsid w:val="005D05B5"/>
    <w:rsid w:val="005D08A5"/>
    <w:rsid w:val="005D08EE"/>
    <w:rsid w:val="005D0B18"/>
    <w:rsid w:val="005D0B1C"/>
    <w:rsid w:val="005D0B3A"/>
    <w:rsid w:val="005D0CDA"/>
    <w:rsid w:val="005D0E50"/>
    <w:rsid w:val="005D0FC7"/>
    <w:rsid w:val="005D10C8"/>
    <w:rsid w:val="005D129F"/>
    <w:rsid w:val="005D132F"/>
    <w:rsid w:val="005D13AA"/>
    <w:rsid w:val="005D14F2"/>
    <w:rsid w:val="005D1780"/>
    <w:rsid w:val="005D1792"/>
    <w:rsid w:val="005D1872"/>
    <w:rsid w:val="005D18C0"/>
    <w:rsid w:val="005D1C5E"/>
    <w:rsid w:val="005D230D"/>
    <w:rsid w:val="005D2482"/>
    <w:rsid w:val="005D2EE9"/>
    <w:rsid w:val="005D30D6"/>
    <w:rsid w:val="005D3634"/>
    <w:rsid w:val="005D395A"/>
    <w:rsid w:val="005D3964"/>
    <w:rsid w:val="005D3BF2"/>
    <w:rsid w:val="005D3C3F"/>
    <w:rsid w:val="005D4099"/>
    <w:rsid w:val="005D40D0"/>
    <w:rsid w:val="005D4166"/>
    <w:rsid w:val="005D438A"/>
    <w:rsid w:val="005D4656"/>
    <w:rsid w:val="005D465B"/>
    <w:rsid w:val="005D46B3"/>
    <w:rsid w:val="005D47E7"/>
    <w:rsid w:val="005D5409"/>
    <w:rsid w:val="005D5886"/>
    <w:rsid w:val="005D5898"/>
    <w:rsid w:val="005D5951"/>
    <w:rsid w:val="005D5981"/>
    <w:rsid w:val="005D5A77"/>
    <w:rsid w:val="005D5B8F"/>
    <w:rsid w:val="005D5C08"/>
    <w:rsid w:val="005D6284"/>
    <w:rsid w:val="005D62C4"/>
    <w:rsid w:val="005D6339"/>
    <w:rsid w:val="005D6701"/>
    <w:rsid w:val="005D69A5"/>
    <w:rsid w:val="005D6A25"/>
    <w:rsid w:val="005D6B58"/>
    <w:rsid w:val="005D6CFD"/>
    <w:rsid w:val="005D6DAE"/>
    <w:rsid w:val="005D7590"/>
    <w:rsid w:val="005D76E8"/>
    <w:rsid w:val="005D7701"/>
    <w:rsid w:val="005D78C5"/>
    <w:rsid w:val="005D7C92"/>
    <w:rsid w:val="005E0648"/>
    <w:rsid w:val="005E0861"/>
    <w:rsid w:val="005E0A9D"/>
    <w:rsid w:val="005E0C5D"/>
    <w:rsid w:val="005E10C0"/>
    <w:rsid w:val="005E1136"/>
    <w:rsid w:val="005E113B"/>
    <w:rsid w:val="005E12EE"/>
    <w:rsid w:val="005E1421"/>
    <w:rsid w:val="005E15C7"/>
    <w:rsid w:val="005E1B0F"/>
    <w:rsid w:val="005E1ED8"/>
    <w:rsid w:val="005E1EE5"/>
    <w:rsid w:val="005E2074"/>
    <w:rsid w:val="005E22D6"/>
    <w:rsid w:val="005E2599"/>
    <w:rsid w:val="005E2A60"/>
    <w:rsid w:val="005E2A78"/>
    <w:rsid w:val="005E2AC4"/>
    <w:rsid w:val="005E2AD2"/>
    <w:rsid w:val="005E2E03"/>
    <w:rsid w:val="005E30A8"/>
    <w:rsid w:val="005E398F"/>
    <w:rsid w:val="005E3DA1"/>
    <w:rsid w:val="005E4114"/>
    <w:rsid w:val="005E42A0"/>
    <w:rsid w:val="005E43B6"/>
    <w:rsid w:val="005E441F"/>
    <w:rsid w:val="005E45B3"/>
    <w:rsid w:val="005E4733"/>
    <w:rsid w:val="005E486F"/>
    <w:rsid w:val="005E4A0A"/>
    <w:rsid w:val="005E4A36"/>
    <w:rsid w:val="005E4A54"/>
    <w:rsid w:val="005E4B54"/>
    <w:rsid w:val="005E4E11"/>
    <w:rsid w:val="005E557E"/>
    <w:rsid w:val="005E55C5"/>
    <w:rsid w:val="005E563B"/>
    <w:rsid w:val="005E572E"/>
    <w:rsid w:val="005E5941"/>
    <w:rsid w:val="005E5BEE"/>
    <w:rsid w:val="005E5D92"/>
    <w:rsid w:val="005E5E17"/>
    <w:rsid w:val="005E5EE2"/>
    <w:rsid w:val="005E5FCE"/>
    <w:rsid w:val="005E60EB"/>
    <w:rsid w:val="005E64B6"/>
    <w:rsid w:val="005E64C9"/>
    <w:rsid w:val="005E64EF"/>
    <w:rsid w:val="005E6892"/>
    <w:rsid w:val="005E6C06"/>
    <w:rsid w:val="005E7464"/>
    <w:rsid w:val="005E7AB3"/>
    <w:rsid w:val="005E7AF6"/>
    <w:rsid w:val="005E7B80"/>
    <w:rsid w:val="005E7DC0"/>
    <w:rsid w:val="005F00C6"/>
    <w:rsid w:val="005F0299"/>
    <w:rsid w:val="005F036D"/>
    <w:rsid w:val="005F073B"/>
    <w:rsid w:val="005F0B7E"/>
    <w:rsid w:val="005F0C40"/>
    <w:rsid w:val="005F1085"/>
    <w:rsid w:val="005F1319"/>
    <w:rsid w:val="005F19A1"/>
    <w:rsid w:val="005F1B4B"/>
    <w:rsid w:val="005F1CF8"/>
    <w:rsid w:val="005F1CFF"/>
    <w:rsid w:val="005F1E5B"/>
    <w:rsid w:val="005F1F5E"/>
    <w:rsid w:val="005F1FCC"/>
    <w:rsid w:val="005F2352"/>
    <w:rsid w:val="005F241D"/>
    <w:rsid w:val="005F2D63"/>
    <w:rsid w:val="005F305E"/>
    <w:rsid w:val="005F3345"/>
    <w:rsid w:val="005F33F7"/>
    <w:rsid w:val="005F3631"/>
    <w:rsid w:val="005F3697"/>
    <w:rsid w:val="005F3B31"/>
    <w:rsid w:val="005F3BC0"/>
    <w:rsid w:val="005F3D90"/>
    <w:rsid w:val="005F4324"/>
    <w:rsid w:val="005F43ED"/>
    <w:rsid w:val="005F4486"/>
    <w:rsid w:val="005F4837"/>
    <w:rsid w:val="005F4868"/>
    <w:rsid w:val="005F48B0"/>
    <w:rsid w:val="005F4A14"/>
    <w:rsid w:val="005F4A84"/>
    <w:rsid w:val="005F4B2D"/>
    <w:rsid w:val="005F4C26"/>
    <w:rsid w:val="005F4F45"/>
    <w:rsid w:val="005F5212"/>
    <w:rsid w:val="005F5578"/>
    <w:rsid w:val="005F567E"/>
    <w:rsid w:val="005F573B"/>
    <w:rsid w:val="005F5A6D"/>
    <w:rsid w:val="005F5EA9"/>
    <w:rsid w:val="005F61FC"/>
    <w:rsid w:val="005F6213"/>
    <w:rsid w:val="005F6228"/>
    <w:rsid w:val="005F626F"/>
    <w:rsid w:val="005F63BB"/>
    <w:rsid w:val="005F6690"/>
    <w:rsid w:val="005F68F8"/>
    <w:rsid w:val="005F698F"/>
    <w:rsid w:val="005F69FF"/>
    <w:rsid w:val="005F7147"/>
    <w:rsid w:val="005F7444"/>
    <w:rsid w:val="005F7982"/>
    <w:rsid w:val="005F7CD3"/>
    <w:rsid w:val="0060003C"/>
    <w:rsid w:val="00600184"/>
    <w:rsid w:val="00600513"/>
    <w:rsid w:val="00600625"/>
    <w:rsid w:val="006008D0"/>
    <w:rsid w:val="00600B88"/>
    <w:rsid w:val="006011C4"/>
    <w:rsid w:val="006014C1"/>
    <w:rsid w:val="006014D0"/>
    <w:rsid w:val="00601570"/>
    <w:rsid w:val="006015EC"/>
    <w:rsid w:val="00601A38"/>
    <w:rsid w:val="00601B97"/>
    <w:rsid w:val="00601BED"/>
    <w:rsid w:val="00601C74"/>
    <w:rsid w:val="00601DDA"/>
    <w:rsid w:val="00601F6B"/>
    <w:rsid w:val="0060236F"/>
    <w:rsid w:val="0060252A"/>
    <w:rsid w:val="006026BC"/>
    <w:rsid w:val="006028AB"/>
    <w:rsid w:val="00602EBA"/>
    <w:rsid w:val="00602FD9"/>
    <w:rsid w:val="006030DB"/>
    <w:rsid w:val="006031B2"/>
    <w:rsid w:val="00603628"/>
    <w:rsid w:val="00603891"/>
    <w:rsid w:val="0060395F"/>
    <w:rsid w:val="00603CCD"/>
    <w:rsid w:val="00603E03"/>
    <w:rsid w:val="00603F98"/>
    <w:rsid w:val="0060401E"/>
    <w:rsid w:val="0060404C"/>
    <w:rsid w:val="00604081"/>
    <w:rsid w:val="0060467F"/>
    <w:rsid w:val="00604734"/>
    <w:rsid w:val="0060496F"/>
    <w:rsid w:val="00604BA1"/>
    <w:rsid w:val="00604DC3"/>
    <w:rsid w:val="006053CF"/>
    <w:rsid w:val="00605783"/>
    <w:rsid w:val="006057CB"/>
    <w:rsid w:val="00605830"/>
    <w:rsid w:val="0060592E"/>
    <w:rsid w:val="00605A79"/>
    <w:rsid w:val="006060C8"/>
    <w:rsid w:val="006066F5"/>
    <w:rsid w:val="006067A0"/>
    <w:rsid w:val="006067DA"/>
    <w:rsid w:val="006069EB"/>
    <w:rsid w:val="00606AC3"/>
    <w:rsid w:val="00606F99"/>
    <w:rsid w:val="00607202"/>
    <w:rsid w:val="00607637"/>
    <w:rsid w:val="00607966"/>
    <w:rsid w:val="00607D40"/>
    <w:rsid w:val="00607D6F"/>
    <w:rsid w:val="00607E99"/>
    <w:rsid w:val="00610086"/>
    <w:rsid w:val="00610298"/>
    <w:rsid w:val="00610412"/>
    <w:rsid w:val="0061046D"/>
    <w:rsid w:val="0061057A"/>
    <w:rsid w:val="006105B0"/>
    <w:rsid w:val="00610670"/>
    <w:rsid w:val="0061103D"/>
    <w:rsid w:val="00611529"/>
    <w:rsid w:val="00611B7B"/>
    <w:rsid w:val="00611B98"/>
    <w:rsid w:val="00611D73"/>
    <w:rsid w:val="00611F65"/>
    <w:rsid w:val="006123EA"/>
    <w:rsid w:val="00612990"/>
    <w:rsid w:val="00612A74"/>
    <w:rsid w:val="00612B67"/>
    <w:rsid w:val="00612F33"/>
    <w:rsid w:val="006130C7"/>
    <w:rsid w:val="0061321E"/>
    <w:rsid w:val="00613466"/>
    <w:rsid w:val="0061356F"/>
    <w:rsid w:val="006136A5"/>
    <w:rsid w:val="00613ECE"/>
    <w:rsid w:val="0061411A"/>
    <w:rsid w:val="006141A5"/>
    <w:rsid w:val="006147F0"/>
    <w:rsid w:val="006148F6"/>
    <w:rsid w:val="006149D8"/>
    <w:rsid w:val="00614C0C"/>
    <w:rsid w:val="00614F40"/>
    <w:rsid w:val="00615377"/>
    <w:rsid w:val="00615529"/>
    <w:rsid w:val="0061563A"/>
    <w:rsid w:val="0061564B"/>
    <w:rsid w:val="00615770"/>
    <w:rsid w:val="00615977"/>
    <w:rsid w:val="00615C49"/>
    <w:rsid w:val="00615C9F"/>
    <w:rsid w:val="006164BB"/>
    <w:rsid w:val="00616961"/>
    <w:rsid w:val="00616F75"/>
    <w:rsid w:val="006171A7"/>
    <w:rsid w:val="00617553"/>
    <w:rsid w:val="00617ABA"/>
    <w:rsid w:val="00617C9E"/>
    <w:rsid w:val="00617D19"/>
    <w:rsid w:val="0062014E"/>
    <w:rsid w:val="00620267"/>
    <w:rsid w:val="006203D9"/>
    <w:rsid w:val="0062043C"/>
    <w:rsid w:val="006209D7"/>
    <w:rsid w:val="00620BE6"/>
    <w:rsid w:val="00620D46"/>
    <w:rsid w:val="00620F4F"/>
    <w:rsid w:val="0062103F"/>
    <w:rsid w:val="00621136"/>
    <w:rsid w:val="0062113F"/>
    <w:rsid w:val="00621510"/>
    <w:rsid w:val="00621C08"/>
    <w:rsid w:val="00621C29"/>
    <w:rsid w:val="00621C56"/>
    <w:rsid w:val="00622602"/>
    <w:rsid w:val="00622A16"/>
    <w:rsid w:val="00622F15"/>
    <w:rsid w:val="00623041"/>
    <w:rsid w:val="00623837"/>
    <w:rsid w:val="006239C3"/>
    <w:rsid w:val="00623C22"/>
    <w:rsid w:val="00624028"/>
    <w:rsid w:val="00624429"/>
    <w:rsid w:val="0062442A"/>
    <w:rsid w:val="006246D4"/>
    <w:rsid w:val="0062488A"/>
    <w:rsid w:val="006249DA"/>
    <w:rsid w:val="006249E7"/>
    <w:rsid w:val="00624DD2"/>
    <w:rsid w:val="00624F5F"/>
    <w:rsid w:val="00624F91"/>
    <w:rsid w:val="00624FCB"/>
    <w:rsid w:val="006251A1"/>
    <w:rsid w:val="0062557B"/>
    <w:rsid w:val="006255AC"/>
    <w:rsid w:val="00625A5E"/>
    <w:rsid w:val="00625B8F"/>
    <w:rsid w:val="006261E6"/>
    <w:rsid w:val="0062626E"/>
    <w:rsid w:val="006268E0"/>
    <w:rsid w:val="006269DA"/>
    <w:rsid w:val="00626ACF"/>
    <w:rsid w:val="00626C4A"/>
    <w:rsid w:val="00627095"/>
    <w:rsid w:val="00627269"/>
    <w:rsid w:val="006272F2"/>
    <w:rsid w:val="006275F2"/>
    <w:rsid w:val="00627705"/>
    <w:rsid w:val="00627982"/>
    <w:rsid w:val="00627A6E"/>
    <w:rsid w:val="00627C41"/>
    <w:rsid w:val="00627CD2"/>
    <w:rsid w:val="00627CFC"/>
    <w:rsid w:val="00627ED5"/>
    <w:rsid w:val="00627FBA"/>
    <w:rsid w:val="006300DF"/>
    <w:rsid w:val="00630634"/>
    <w:rsid w:val="00630700"/>
    <w:rsid w:val="00630945"/>
    <w:rsid w:val="00630ACB"/>
    <w:rsid w:val="00630EF4"/>
    <w:rsid w:val="006313C4"/>
    <w:rsid w:val="006315BB"/>
    <w:rsid w:val="006315D1"/>
    <w:rsid w:val="006317C7"/>
    <w:rsid w:val="00631879"/>
    <w:rsid w:val="00631E43"/>
    <w:rsid w:val="006321C0"/>
    <w:rsid w:val="00632384"/>
    <w:rsid w:val="00632455"/>
    <w:rsid w:val="00632565"/>
    <w:rsid w:val="006326FB"/>
    <w:rsid w:val="00632775"/>
    <w:rsid w:val="00632A1B"/>
    <w:rsid w:val="00632AD8"/>
    <w:rsid w:val="00632ADE"/>
    <w:rsid w:val="00632C8F"/>
    <w:rsid w:val="00633068"/>
    <w:rsid w:val="006333FD"/>
    <w:rsid w:val="00633468"/>
    <w:rsid w:val="006335D0"/>
    <w:rsid w:val="006338BC"/>
    <w:rsid w:val="0063414F"/>
    <w:rsid w:val="006341BB"/>
    <w:rsid w:val="006341D5"/>
    <w:rsid w:val="006342FB"/>
    <w:rsid w:val="00634723"/>
    <w:rsid w:val="006347CA"/>
    <w:rsid w:val="006348C2"/>
    <w:rsid w:val="0063494B"/>
    <w:rsid w:val="00634A92"/>
    <w:rsid w:val="00634C7C"/>
    <w:rsid w:val="00634F43"/>
    <w:rsid w:val="0063511D"/>
    <w:rsid w:val="00635413"/>
    <w:rsid w:val="006354E8"/>
    <w:rsid w:val="00636136"/>
    <w:rsid w:val="00636347"/>
    <w:rsid w:val="00636552"/>
    <w:rsid w:val="00636620"/>
    <w:rsid w:val="00636673"/>
    <w:rsid w:val="00636800"/>
    <w:rsid w:val="00636840"/>
    <w:rsid w:val="00636DCA"/>
    <w:rsid w:val="00636E75"/>
    <w:rsid w:val="00636EA4"/>
    <w:rsid w:val="006371EE"/>
    <w:rsid w:val="00637351"/>
    <w:rsid w:val="00637704"/>
    <w:rsid w:val="0063791B"/>
    <w:rsid w:val="00637BEA"/>
    <w:rsid w:val="00637C8B"/>
    <w:rsid w:val="00637DE7"/>
    <w:rsid w:val="00637ED4"/>
    <w:rsid w:val="006402F0"/>
    <w:rsid w:val="00640365"/>
    <w:rsid w:val="00640789"/>
    <w:rsid w:val="00640968"/>
    <w:rsid w:val="00640D63"/>
    <w:rsid w:val="0064100C"/>
    <w:rsid w:val="0064121B"/>
    <w:rsid w:val="0064131E"/>
    <w:rsid w:val="00641368"/>
    <w:rsid w:val="0064151C"/>
    <w:rsid w:val="0064156B"/>
    <w:rsid w:val="006419A6"/>
    <w:rsid w:val="006422BC"/>
    <w:rsid w:val="00642567"/>
    <w:rsid w:val="0064256D"/>
    <w:rsid w:val="0064261B"/>
    <w:rsid w:val="00642764"/>
    <w:rsid w:val="00642B5A"/>
    <w:rsid w:val="00643063"/>
    <w:rsid w:val="00643213"/>
    <w:rsid w:val="00643360"/>
    <w:rsid w:val="00643416"/>
    <w:rsid w:val="0064358F"/>
    <w:rsid w:val="00643752"/>
    <w:rsid w:val="0064391A"/>
    <w:rsid w:val="00643989"/>
    <w:rsid w:val="00643C34"/>
    <w:rsid w:val="00643D63"/>
    <w:rsid w:val="00644849"/>
    <w:rsid w:val="006448EC"/>
    <w:rsid w:val="00644B5B"/>
    <w:rsid w:val="00644EFA"/>
    <w:rsid w:val="006458AA"/>
    <w:rsid w:val="00645AA4"/>
    <w:rsid w:val="00645AD8"/>
    <w:rsid w:val="00645BA7"/>
    <w:rsid w:val="00645F06"/>
    <w:rsid w:val="0064600F"/>
    <w:rsid w:val="0064613C"/>
    <w:rsid w:val="0064642A"/>
    <w:rsid w:val="0064675F"/>
    <w:rsid w:val="006468E9"/>
    <w:rsid w:val="00646980"/>
    <w:rsid w:val="00646C98"/>
    <w:rsid w:val="006470E0"/>
    <w:rsid w:val="00647181"/>
    <w:rsid w:val="00647256"/>
    <w:rsid w:val="00647325"/>
    <w:rsid w:val="0064766F"/>
    <w:rsid w:val="0064775F"/>
    <w:rsid w:val="00647972"/>
    <w:rsid w:val="006479BE"/>
    <w:rsid w:val="00647AAE"/>
    <w:rsid w:val="00647BAE"/>
    <w:rsid w:val="00647D3B"/>
    <w:rsid w:val="00647DA5"/>
    <w:rsid w:val="00650009"/>
    <w:rsid w:val="00650019"/>
    <w:rsid w:val="00650085"/>
    <w:rsid w:val="006500F0"/>
    <w:rsid w:val="00650209"/>
    <w:rsid w:val="00650581"/>
    <w:rsid w:val="006505D2"/>
    <w:rsid w:val="00650946"/>
    <w:rsid w:val="00650A41"/>
    <w:rsid w:val="00650AC2"/>
    <w:rsid w:val="00650F6B"/>
    <w:rsid w:val="00650F81"/>
    <w:rsid w:val="006510B6"/>
    <w:rsid w:val="00651205"/>
    <w:rsid w:val="006512B1"/>
    <w:rsid w:val="0065133F"/>
    <w:rsid w:val="006515F2"/>
    <w:rsid w:val="00651691"/>
    <w:rsid w:val="006517F7"/>
    <w:rsid w:val="00651EB8"/>
    <w:rsid w:val="0065260B"/>
    <w:rsid w:val="00652979"/>
    <w:rsid w:val="00652A4F"/>
    <w:rsid w:val="00653247"/>
    <w:rsid w:val="00653252"/>
    <w:rsid w:val="0065330D"/>
    <w:rsid w:val="006537F4"/>
    <w:rsid w:val="00653A59"/>
    <w:rsid w:val="00653CEE"/>
    <w:rsid w:val="00653FCB"/>
    <w:rsid w:val="00654007"/>
    <w:rsid w:val="00654103"/>
    <w:rsid w:val="00654124"/>
    <w:rsid w:val="00654193"/>
    <w:rsid w:val="00654218"/>
    <w:rsid w:val="00654325"/>
    <w:rsid w:val="006543AB"/>
    <w:rsid w:val="006544C6"/>
    <w:rsid w:val="00654632"/>
    <w:rsid w:val="006546CD"/>
    <w:rsid w:val="0065482A"/>
    <w:rsid w:val="00654B1B"/>
    <w:rsid w:val="00654CAA"/>
    <w:rsid w:val="00654D78"/>
    <w:rsid w:val="0065526C"/>
    <w:rsid w:val="006559F9"/>
    <w:rsid w:val="00655AD7"/>
    <w:rsid w:val="00655C95"/>
    <w:rsid w:val="0065610D"/>
    <w:rsid w:val="00656209"/>
    <w:rsid w:val="0065653F"/>
    <w:rsid w:val="0065658D"/>
    <w:rsid w:val="0065679D"/>
    <w:rsid w:val="006567AA"/>
    <w:rsid w:val="006569A0"/>
    <w:rsid w:val="00656BFF"/>
    <w:rsid w:val="00656CD0"/>
    <w:rsid w:val="00656F9B"/>
    <w:rsid w:val="00657C50"/>
    <w:rsid w:val="00657EAD"/>
    <w:rsid w:val="00657EBE"/>
    <w:rsid w:val="00660038"/>
    <w:rsid w:val="00660257"/>
    <w:rsid w:val="006602D0"/>
    <w:rsid w:val="00660393"/>
    <w:rsid w:val="00660726"/>
    <w:rsid w:val="00660B36"/>
    <w:rsid w:val="00660BAC"/>
    <w:rsid w:val="00660BC9"/>
    <w:rsid w:val="00660C52"/>
    <w:rsid w:val="00660D63"/>
    <w:rsid w:val="00661231"/>
    <w:rsid w:val="006612F8"/>
    <w:rsid w:val="0066168F"/>
    <w:rsid w:val="0066176F"/>
    <w:rsid w:val="0066181F"/>
    <w:rsid w:val="00662219"/>
    <w:rsid w:val="0066264E"/>
    <w:rsid w:val="00662980"/>
    <w:rsid w:val="00662F93"/>
    <w:rsid w:val="00662FDD"/>
    <w:rsid w:val="00663287"/>
    <w:rsid w:val="00663439"/>
    <w:rsid w:val="006635FC"/>
    <w:rsid w:val="00663921"/>
    <w:rsid w:val="00663981"/>
    <w:rsid w:val="00664058"/>
    <w:rsid w:val="006641A8"/>
    <w:rsid w:val="006646CE"/>
    <w:rsid w:val="00664AD8"/>
    <w:rsid w:val="006651C7"/>
    <w:rsid w:val="00665309"/>
    <w:rsid w:val="00665943"/>
    <w:rsid w:val="00665ACA"/>
    <w:rsid w:val="00665BF3"/>
    <w:rsid w:val="00666028"/>
    <w:rsid w:val="00666190"/>
    <w:rsid w:val="006663A8"/>
    <w:rsid w:val="0066640D"/>
    <w:rsid w:val="006665E5"/>
    <w:rsid w:val="006667DC"/>
    <w:rsid w:val="00666D0D"/>
    <w:rsid w:val="006670FF"/>
    <w:rsid w:val="00667185"/>
    <w:rsid w:val="00667914"/>
    <w:rsid w:val="00667CBD"/>
    <w:rsid w:val="006702D2"/>
    <w:rsid w:val="0067049D"/>
    <w:rsid w:val="0067067F"/>
    <w:rsid w:val="00670DC7"/>
    <w:rsid w:val="00670DD6"/>
    <w:rsid w:val="0067124E"/>
    <w:rsid w:val="00671650"/>
    <w:rsid w:val="00671699"/>
    <w:rsid w:val="0067185D"/>
    <w:rsid w:val="00671980"/>
    <w:rsid w:val="00671FAD"/>
    <w:rsid w:val="00672004"/>
    <w:rsid w:val="00672110"/>
    <w:rsid w:val="00672177"/>
    <w:rsid w:val="00672333"/>
    <w:rsid w:val="00672424"/>
    <w:rsid w:val="00672441"/>
    <w:rsid w:val="00672584"/>
    <w:rsid w:val="0067289A"/>
    <w:rsid w:val="00672B8A"/>
    <w:rsid w:val="006731B1"/>
    <w:rsid w:val="006736C9"/>
    <w:rsid w:val="00673ACF"/>
    <w:rsid w:val="00673C36"/>
    <w:rsid w:val="00673E62"/>
    <w:rsid w:val="00674345"/>
    <w:rsid w:val="0067457F"/>
    <w:rsid w:val="00674AA0"/>
    <w:rsid w:val="00674C9B"/>
    <w:rsid w:val="00674CCB"/>
    <w:rsid w:val="00675165"/>
    <w:rsid w:val="006752AD"/>
    <w:rsid w:val="006755EA"/>
    <w:rsid w:val="00675BA5"/>
    <w:rsid w:val="00675CFF"/>
    <w:rsid w:val="00675E21"/>
    <w:rsid w:val="00675FAB"/>
    <w:rsid w:val="00675FDB"/>
    <w:rsid w:val="00676168"/>
    <w:rsid w:val="00676190"/>
    <w:rsid w:val="006761A1"/>
    <w:rsid w:val="006762EE"/>
    <w:rsid w:val="006766FF"/>
    <w:rsid w:val="00676A54"/>
    <w:rsid w:val="0067702C"/>
    <w:rsid w:val="006774AF"/>
    <w:rsid w:val="0067759E"/>
    <w:rsid w:val="006776D9"/>
    <w:rsid w:val="006779C1"/>
    <w:rsid w:val="00677D13"/>
    <w:rsid w:val="0068000B"/>
    <w:rsid w:val="006800AC"/>
    <w:rsid w:val="006802CF"/>
    <w:rsid w:val="006807CF"/>
    <w:rsid w:val="00680A42"/>
    <w:rsid w:val="00680DF6"/>
    <w:rsid w:val="00681167"/>
    <w:rsid w:val="006811D0"/>
    <w:rsid w:val="00681398"/>
    <w:rsid w:val="0068139A"/>
    <w:rsid w:val="00681763"/>
    <w:rsid w:val="006817B0"/>
    <w:rsid w:val="00681A69"/>
    <w:rsid w:val="00681E42"/>
    <w:rsid w:val="0068212D"/>
    <w:rsid w:val="00682191"/>
    <w:rsid w:val="006821B0"/>
    <w:rsid w:val="00682594"/>
    <w:rsid w:val="0068267C"/>
    <w:rsid w:val="00682A3A"/>
    <w:rsid w:val="00682BD2"/>
    <w:rsid w:val="00682D88"/>
    <w:rsid w:val="00682E0F"/>
    <w:rsid w:val="00683150"/>
    <w:rsid w:val="00683170"/>
    <w:rsid w:val="006832A9"/>
    <w:rsid w:val="00683708"/>
    <w:rsid w:val="0068370E"/>
    <w:rsid w:val="00683872"/>
    <w:rsid w:val="00683D7D"/>
    <w:rsid w:val="00684275"/>
    <w:rsid w:val="006845E6"/>
    <w:rsid w:val="00684979"/>
    <w:rsid w:val="00685234"/>
    <w:rsid w:val="00685ED0"/>
    <w:rsid w:val="006860FD"/>
    <w:rsid w:val="00686152"/>
    <w:rsid w:val="0068635B"/>
    <w:rsid w:val="0068637A"/>
    <w:rsid w:val="00686504"/>
    <w:rsid w:val="006865AD"/>
    <w:rsid w:val="0068672D"/>
    <w:rsid w:val="00686BBA"/>
    <w:rsid w:val="00686F99"/>
    <w:rsid w:val="00687358"/>
    <w:rsid w:val="006875C7"/>
    <w:rsid w:val="006877C3"/>
    <w:rsid w:val="00687A1F"/>
    <w:rsid w:val="00687AA2"/>
    <w:rsid w:val="00687E8F"/>
    <w:rsid w:val="00690206"/>
    <w:rsid w:val="00690A4F"/>
    <w:rsid w:val="00690CFF"/>
    <w:rsid w:val="00690D17"/>
    <w:rsid w:val="00690E1A"/>
    <w:rsid w:val="006911F6"/>
    <w:rsid w:val="00691513"/>
    <w:rsid w:val="006916F0"/>
    <w:rsid w:val="0069193E"/>
    <w:rsid w:val="00691B05"/>
    <w:rsid w:val="00691B72"/>
    <w:rsid w:val="0069255C"/>
    <w:rsid w:val="006925D4"/>
    <w:rsid w:val="006926A9"/>
    <w:rsid w:val="00692887"/>
    <w:rsid w:val="00692BFD"/>
    <w:rsid w:val="00693167"/>
    <w:rsid w:val="00693912"/>
    <w:rsid w:val="00693A94"/>
    <w:rsid w:val="00693AD9"/>
    <w:rsid w:val="00693BF6"/>
    <w:rsid w:val="00694342"/>
    <w:rsid w:val="00694552"/>
    <w:rsid w:val="006946D5"/>
    <w:rsid w:val="00694766"/>
    <w:rsid w:val="00694A9F"/>
    <w:rsid w:val="006951F0"/>
    <w:rsid w:val="00695267"/>
    <w:rsid w:val="00695492"/>
    <w:rsid w:val="006954FA"/>
    <w:rsid w:val="006956AB"/>
    <w:rsid w:val="006956D1"/>
    <w:rsid w:val="006957B8"/>
    <w:rsid w:val="00695BF3"/>
    <w:rsid w:val="00695C3D"/>
    <w:rsid w:val="00695F89"/>
    <w:rsid w:val="006967F7"/>
    <w:rsid w:val="006969D8"/>
    <w:rsid w:val="00696A6E"/>
    <w:rsid w:val="00696E46"/>
    <w:rsid w:val="00696E97"/>
    <w:rsid w:val="0069724E"/>
    <w:rsid w:val="0069744B"/>
    <w:rsid w:val="006974AA"/>
    <w:rsid w:val="006974B4"/>
    <w:rsid w:val="006977AE"/>
    <w:rsid w:val="006979A0"/>
    <w:rsid w:val="00697A9B"/>
    <w:rsid w:val="00697B98"/>
    <w:rsid w:val="00697CD4"/>
    <w:rsid w:val="00697D05"/>
    <w:rsid w:val="00697F30"/>
    <w:rsid w:val="00697FAA"/>
    <w:rsid w:val="00697FDC"/>
    <w:rsid w:val="006A00CE"/>
    <w:rsid w:val="006A0135"/>
    <w:rsid w:val="006A0547"/>
    <w:rsid w:val="006A0B7E"/>
    <w:rsid w:val="006A0C95"/>
    <w:rsid w:val="006A0E51"/>
    <w:rsid w:val="006A0E7B"/>
    <w:rsid w:val="006A0EF0"/>
    <w:rsid w:val="006A11B1"/>
    <w:rsid w:val="006A1267"/>
    <w:rsid w:val="006A132F"/>
    <w:rsid w:val="006A17F1"/>
    <w:rsid w:val="006A188A"/>
    <w:rsid w:val="006A1A88"/>
    <w:rsid w:val="006A1C11"/>
    <w:rsid w:val="006A1C47"/>
    <w:rsid w:val="006A1D59"/>
    <w:rsid w:val="006A1F0D"/>
    <w:rsid w:val="006A21D0"/>
    <w:rsid w:val="006A288F"/>
    <w:rsid w:val="006A28F7"/>
    <w:rsid w:val="006A2940"/>
    <w:rsid w:val="006A2994"/>
    <w:rsid w:val="006A2A54"/>
    <w:rsid w:val="006A2A73"/>
    <w:rsid w:val="006A2B90"/>
    <w:rsid w:val="006A2FF4"/>
    <w:rsid w:val="006A338C"/>
    <w:rsid w:val="006A3775"/>
    <w:rsid w:val="006A3BBF"/>
    <w:rsid w:val="006A4211"/>
    <w:rsid w:val="006A439A"/>
    <w:rsid w:val="006A4628"/>
    <w:rsid w:val="006A4B5D"/>
    <w:rsid w:val="006A4B84"/>
    <w:rsid w:val="006A4E4E"/>
    <w:rsid w:val="006A5120"/>
    <w:rsid w:val="006A51FB"/>
    <w:rsid w:val="006A52BF"/>
    <w:rsid w:val="006A56A4"/>
    <w:rsid w:val="006A5A3A"/>
    <w:rsid w:val="006A5D59"/>
    <w:rsid w:val="006A5EC7"/>
    <w:rsid w:val="006A6153"/>
    <w:rsid w:val="006A65BF"/>
    <w:rsid w:val="006A65CC"/>
    <w:rsid w:val="006A6ABC"/>
    <w:rsid w:val="006A6D0E"/>
    <w:rsid w:val="006A6DCC"/>
    <w:rsid w:val="006A6E3F"/>
    <w:rsid w:val="006A6F20"/>
    <w:rsid w:val="006A70D9"/>
    <w:rsid w:val="006A712F"/>
    <w:rsid w:val="006A7188"/>
    <w:rsid w:val="006A757E"/>
    <w:rsid w:val="006A75FB"/>
    <w:rsid w:val="006A7C6D"/>
    <w:rsid w:val="006A7D56"/>
    <w:rsid w:val="006B004F"/>
    <w:rsid w:val="006B02C4"/>
    <w:rsid w:val="006B051F"/>
    <w:rsid w:val="006B0672"/>
    <w:rsid w:val="006B0867"/>
    <w:rsid w:val="006B08B7"/>
    <w:rsid w:val="006B097E"/>
    <w:rsid w:val="006B0A64"/>
    <w:rsid w:val="006B1477"/>
    <w:rsid w:val="006B15E9"/>
    <w:rsid w:val="006B160F"/>
    <w:rsid w:val="006B17E0"/>
    <w:rsid w:val="006B1825"/>
    <w:rsid w:val="006B198B"/>
    <w:rsid w:val="006B1DC4"/>
    <w:rsid w:val="006B225D"/>
    <w:rsid w:val="006B2480"/>
    <w:rsid w:val="006B24A5"/>
    <w:rsid w:val="006B24DD"/>
    <w:rsid w:val="006B2C3B"/>
    <w:rsid w:val="006B2E34"/>
    <w:rsid w:val="006B313A"/>
    <w:rsid w:val="006B33E8"/>
    <w:rsid w:val="006B3A86"/>
    <w:rsid w:val="006B3D77"/>
    <w:rsid w:val="006B3E45"/>
    <w:rsid w:val="006B3F15"/>
    <w:rsid w:val="006B4031"/>
    <w:rsid w:val="006B4306"/>
    <w:rsid w:val="006B436D"/>
    <w:rsid w:val="006B443B"/>
    <w:rsid w:val="006B4796"/>
    <w:rsid w:val="006B4820"/>
    <w:rsid w:val="006B482A"/>
    <w:rsid w:val="006B4AD7"/>
    <w:rsid w:val="006B4C3B"/>
    <w:rsid w:val="006B4E1F"/>
    <w:rsid w:val="006B51C5"/>
    <w:rsid w:val="006B51D1"/>
    <w:rsid w:val="006B5290"/>
    <w:rsid w:val="006B536F"/>
    <w:rsid w:val="006B5738"/>
    <w:rsid w:val="006B5780"/>
    <w:rsid w:val="006B5E48"/>
    <w:rsid w:val="006B6096"/>
    <w:rsid w:val="006B66B9"/>
    <w:rsid w:val="006B6D57"/>
    <w:rsid w:val="006B6F46"/>
    <w:rsid w:val="006B72EB"/>
    <w:rsid w:val="006B7384"/>
    <w:rsid w:val="006B739F"/>
    <w:rsid w:val="006B7600"/>
    <w:rsid w:val="006B7693"/>
    <w:rsid w:val="006B7DB1"/>
    <w:rsid w:val="006C0083"/>
    <w:rsid w:val="006C0251"/>
    <w:rsid w:val="006C03ED"/>
    <w:rsid w:val="006C0936"/>
    <w:rsid w:val="006C0983"/>
    <w:rsid w:val="006C0AB2"/>
    <w:rsid w:val="006C0B21"/>
    <w:rsid w:val="006C0D70"/>
    <w:rsid w:val="006C0E5F"/>
    <w:rsid w:val="006C0E8B"/>
    <w:rsid w:val="006C0EEE"/>
    <w:rsid w:val="006C0F50"/>
    <w:rsid w:val="006C10D8"/>
    <w:rsid w:val="006C1223"/>
    <w:rsid w:val="006C126B"/>
    <w:rsid w:val="006C1271"/>
    <w:rsid w:val="006C1290"/>
    <w:rsid w:val="006C1392"/>
    <w:rsid w:val="006C1F03"/>
    <w:rsid w:val="006C234C"/>
    <w:rsid w:val="006C2455"/>
    <w:rsid w:val="006C2622"/>
    <w:rsid w:val="006C2950"/>
    <w:rsid w:val="006C2A3C"/>
    <w:rsid w:val="006C2C5A"/>
    <w:rsid w:val="006C2D06"/>
    <w:rsid w:val="006C3133"/>
    <w:rsid w:val="006C3D34"/>
    <w:rsid w:val="006C3E0D"/>
    <w:rsid w:val="006C4467"/>
    <w:rsid w:val="006C48CC"/>
    <w:rsid w:val="006C4904"/>
    <w:rsid w:val="006C4986"/>
    <w:rsid w:val="006C4B76"/>
    <w:rsid w:val="006C4C8D"/>
    <w:rsid w:val="006C4E9E"/>
    <w:rsid w:val="006C510A"/>
    <w:rsid w:val="006C5227"/>
    <w:rsid w:val="006C547C"/>
    <w:rsid w:val="006C56C0"/>
    <w:rsid w:val="006C595D"/>
    <w:rsid w:val="006C59D4"/>
    <w:rsid w:val="006C5B93"/>
    <w:rsid w:val="006C5F94"/>
    <w:rsid w:val="006C634E"/>
    <w:rsid w:val="006C64E9"/>
    <w:rsid w:val="006C67C4"/>
    <w:rsid w:val="006C68BC"/>
    <w:rsid w:val="006C6E24"/>
    <w:rsid w:val="006C7425"/>
    <w:rsid w:val="006C747A"/>
    <w:rsid w:val="006C76E2"/>
    <w:rsid w:val="006C7BC0"/>
    <w:rsid w:val="006C7C8C"/>
    <w:rsid w:val="006D02E0"/>
    <w:rsid w:val="006D074C"/>
    <w:rsid w:val="006D09AD"/>
    <w:rsid w:val="006D0A5E"/>
    <w:rsid w:val="006D0CC0"/>
    <w:rsid w:val="006D0CDA"/>
    <w:rsid w:val="006D0DCA"/>
    <w:rsid w:val="006D0DD0"/>
    <w:rsid w:val="006D12CE"/>
    <w:rsid w:val="006D1383"/>
    <w:rsid w:val="006D14D8"/>
    <w:rsid w:val="006D1642"/>
    <w:rsid w:val="006D16F5"/>
    <w:rsid w:val="006D176B"/>
    <w:rsid w:val="006D1902"/>
    <w:rsid w:val="006D1A51"/>
    <w:rsid w:val="006D1ADB"/>
    <w:rsid w:val="006D1C75"/>
    <w:rsid w:val="006D1D82"/>
    <w:rsid w:val="006D2079"/>
    <w:rsid w:val="006D22A8"/>
    <w:rsid w:val="006D2559"/>
    <w:rsid w:val="006D26F6"/>
    <w:rsid w:val="006D28DC"/>
    <w:rsid w:val="006D2BBF"/>
    <w:rsid w:val="006D2BC7"/>
    <w:rsid w:val="006D2F58"/>
    <w:rsid w:val="006D2FDF"/>
    <w:rsid w:val="006D32E9"/>
    <w:rsid w:val="006D3485"/>
    <w:rsid w:val="006D3DCA"/>
    <w:rsid w:val="006D4202"/>
    <w:rsid w:val="006D4788"/>
    <w:rsid w:val="006D4CD9"/>
    <w:rsid w:val="006D4E0B"/>
    <w:rsid w:val="006D5969"/>
    <w:rsid w:val="006D602A"/>
    <w:rsid w:val="006D60A1"/>
    <w:rsid w:val="006D6157"/>
    <w:rsid w:val="006D6183"/>
    <w:rsid w:val="006D6184"/>
    <w:rsid w:val="006D65DC"/>
    <w:rsid w:val="006D6760"/>
    <w:rsid w:val="006D6959"/>
    <w:rsid w:val="006D6AB0"/>
    <w:rsid w:val="006D6BD5"/>
    <w:rsid w:val="006D6DC1"/>
    <w:rsid w:val="006D6EC9"/>
    <w:rsid w:val="006D720E"/>
    <w:rsid w:val="006D726E"/>
    <w:rsid w:val="006D727E"/>
    <w:rsid w:val="006D7586"/>
    <w:rsid w:val="006D7673"/>
    <w:rsid w:val="006D7AC8"/>
    <w:rsid w:val="006E00B1"/>
    <w:rsid w:val="006E060D"/>
    <w:rsid w:val="006E09D5"/>
    <w:rsid w:val="006E09EA"/>
    <w:rsid w:val="006E0F49"/>
    <w:rsid w:val="006E105F"/>
    <w:rsid w:val="006E1102"/>
    <w:rsid w:val="006E1218"/>
    <w:rsid w:val="006E1B93"/>
    <w:rsid w:val="006E1D31"/>
    <w:rsid w:val="006E261B"/>
    <w:rsid w:val="006E262A"/>
    <w:rsid w:val="006E29D7"/>
    <w:rsid w:val="006E2A9F"/>
    <w:rsid w:val="006E2C3B"/>
    <w:rsid w:val="006E2EDB"/>
    <w:rsid w:val="006E2FB8"/>
    <w:rsid w:val="006E306E"/>
    <w:rsid w:val="006E31F7"/>
    <w:rsid w:val="006E3215"/>
    <w:rsid w:val="006E37B2"/>
    <w:rsid w:val="006E37E9"/>
    <w:rsid w:val="006E3948"/>
    <w:rsid w:val="006E407B"/>
    <w:rsid w:val="006E50EC"/>
    <w:rsid w:val="006E5122"/>
    <w:rsid w:val="006E530D"/>
    <w:rsid w:val="006E5326"/>
    <w:rsid w:val="006E5350"/>
    <w:rsid w:val="006E5367"/>
    <w:rsid w:val="006E5A14"/>
    <w:rsid w:val="006E5A1C"/>
    <w:rsid w:val="006E5DE1"/>
    <w:rsid w:val="006E5E43"/>
    <w:rsid w:val="006E5F9F"/>
    <w:rsid w:val="006E5FA6"/>
    <w:rsid w:val="006E6164"/>
    <w:rsid w:val="006E618D"/>
    <w:rsid w:val="006E64A3"/>
    <w:rsid w:val="006E651C"/>
    <w:rsid w:val="006E6549"/>
    <w:rsid w:val="006E666A"/>
    <w:rsid w:val="006E69C5"/>
    <w:rsid w:val="006E6B2B"/>
    <w:rsid w:val="006E6B50"/>
    <w:rsid w:val="006E6C78"/>
    <w:rsid w:val="006E71E8"/>
    <w:rsid w:val="006E72E5"/>
    <w:rsid w:val="006E731B"/>
    <w:rsid w:val="006E749F"/>
    <w:rsid w:val="006E74EC"/>
    <w:rsid w:val="006E755D"/>
    <w:rsid w:val="006E7575"/>
    <w:rsid w:val="006E766C"/>
    <w:rsid w:val="006F015E"/>
    <w:rsid w:val="006F0307"/>
    <w:rsid w:val="006F050A"/>
    <w:rsid w:val="006F0D56"/>
    <w:rsid w:val="006F0D95"/>
    <w:rsid w:val="006F132B"/>
    <w:rsid w:val="006F1395"/>
    <w:rsid w:val="006F1441"/>
    <w:rsid w:val="006F16EC"/>
    <w:rsid w:val="006F17FD"/>
    <w:rsid w:val="006F187F"/>
    <w:rsid w:val="006F188E"/>
    <w:rsid w:val="006F1AA6"/>
    <w:rsid w:val="006F1B66"/>
    <w:rsid w:val="006F1BB0"/>
    <w:rsid w:val="006F1FD5"/>
    <w:rsid w:val="006F20E4"/>
    <w:rsid w:val="006F2276"/>
    <w:rsid w:val="006F2493"/>
    <w:rsid w:val="006F2711"/>
    <w:rsid w:val="006F2763"/>
    <w:rsid w:val="006F295D"/>
    <w:rsid w:val="006F29EA"/>
    <w:rsid w:val="006F35FF"/>
    <w:rsid w:val="006F3637"/>
    <w:rsid w:val="006F366B"/>
    <w:rsid w:val="006F36B6"/>
    <w:rsid w:val="006F38A5"/>
    <w:rsid w:val="006F3901"/>
    <w:rsid w:val="006F3AA7"/>
    <w:rsid w:val="006F3B18"/>
    <w:rsid w:val="006F4153"/>
    <w:rsid w:val="006F4194"/>
    <w:rsid w:val="006F442A"/>
    <w:rsid w:val="006F446B"/>
    <w:rsid w:val="006F44A2"/>
    <w:rsid w:val="006F4622"/>
    <w:rsid w:val="006F468A"/>
    <w:rsid w:val="006F46B8"/>
    <w:rsid w:val="006F49E1"/>
    <w:rsid w:val="006F4EBE"/>
    <w:rsid w:val="006F50A1"/>
    <w:rsid w:val="006F5922"/>
    <w:rsid w:val="006F59A6"/>
    <w:rsid w:val="006F5B6B"/>
    <w:rsid w:val="006F6575"/>
    <w:rsid w:val="006F71D5"/>
    <w:rsid w:val="006F77E5"/>
    <w:rsid w:val="006F7A17"/>
    <w:rsid w:val="006F7A4E"/>
    <w:rsid w:val="006F7EF2"/>
    <w:rsid w:val="007004FC"/>
    <w:rsid w:val="00700640"/>
    <w:rsid w:val="0070095F"/>
    <w:rsid w:val="00700C9B"/>
    <w:rsid w:val="00700CF7"/>
    <w:rsid w:val="00701255"/>
    <w:rsid w:val="007015D1"/>
    <w:rsid w:val="00701613"/>
    <w:rsid w:val="00701908"/>
    <w:rsid w:val="00701A2B"/>
    <w:rsid w:val="00701EE7"/>
    <w:rsid w:val="00701F20"/>
    <w:rsid w:val="00701FB2"/>
    <w:rsid w:val="007024C5"/>
    <w:rsid w:val="00702589"/>
    <w:rsid w:val="00702628"/>
    <w:rsid w:val="007027AE"/>
    <w:rsid w:val="00702801"/>
    <w:rsid w:val="00702B6B"/>
    <w:rsid w:val="00702C53"/>
    <w:rsid w:val="00702CF5"/>
    <w:rsid w:val="00702F37"/>
    <w:rsid w:val="00703377"/>
    <w:rsid w:val="007037C3"/>
    <w:rsid w:val="007039DF"/>
    <w:rsid w:val="00703BEC"/>
    <w:rsid w:val="00703C67"/>
    <w:rsid w:val="00703E32"/>
    <w:rsid w:val="00703EB2"/>
    <w:rsid w:val="0070408C"/>
    <w:rsid w:val="0070431A"/>
    <w:rsid w:val="0070441A"/>
    <w:rsid w:val="007049D4"/>
    <w:rsid w:val="00704BA8"/>
    <w:rsid w:val="00704F1B"/>
    <w:rsid w:val="00704FD6"/>
    <w:rsid w:val="007051A5"/>
    <w:rsid w:val="00705D30"/>
    <w:rsid w:val="00705DA7"/>
    <w:rsid w:val="00705DFE"/>
    <w:rsid w:val="007060F1"/>
    <w:rsid w:val="0070645E"/>
    <w:rsid w:val="00706507"/>
    <w:rsid w:val="007067D1"/>
    <w:rsid w:val="0070683F"/>
    <w:rsid w:val="00706858"/>
    <w:rsid w:val="00706A8E"/>
    <w:rsid w:val="00706C67"/>
    <w:rsid w:val="00706FD8"/>
    <w:rsid w:val="007070E3"/>
    <w:rsid w:val="00707208"/>
    <w:rsid w:val="00707312"/>
    <w:rsid w:val="00707462"/>
    <w:rsid w:val="007074C4"/>
    <w:rsid w:val="007074E7"/>
    <w:rsid w:val="00707604"/>
    <w:rsid w:val="00707AED"/>
    <w:rsid w:val="00707B2F"/>
    <w:rsid w:val="00707D80"/>
    <w:rsid w:val="007101CD"/>
    <w:rsid w:val="00710343"/>
    <w:rsid w:val="007104DD"/>
    <w:rsid w:val="00710792"/>
    <w:rsid w:val="00710811"/>
    <w:rsid w:val="00710A07"/>
    <w:rsid w:val="00710AA5"/>
    <w:rsid w:val="007113A0"/>
    <w:rsid w:val="00711503"/>
    <w:rsid w:val="00711700"/>
    <w:rsid w:val="00711902"/>
    <w:rsid w:val="00711BA5"/>
    <w:rsid w:val="00711BE0"/>
    <w:rsid w:val="00712152"/>
    <w:rsid w:val="007125C8"/>
    <w:rsid w:val="007126FE"/>
    <w:rsid w:val="007127EC"/>
    <w:rsid w:val="0071281B"/>
    <w:rsid w:val="00712A31"/>
    <w:rsid w:val="00712EB0"/>
    <w:rsid w:val="007130A2"/>
    <w:rsid w:val="007130E8"/>
    <w:rsid w:val="00713187"/>
    <w:rsid w:val="007131A5"/>
    <w:rsid w:val="00713452"/>
    <w:rsid w:val="0071354E"/>
    <w:rsid w:val="00713582"/>
    <w:rsid w:val="007137E7"/>
    <w:rsid w:val="00713C3F"/>
    <w:rsid w:val="00714029"/>
    <w:rsid w:val="0071421A"/>
    <w:rsid w:val="007146D2"/>
    <w:rsid w:val="00714704"/>
    <w:rsid w:val="007149ED"/>
    <w:rsid w:val="00714B64"/>
    <w:rsid w:val="00714C44"/>
    <w:rsid w:val="00714FE8"/>
    <w:rsid w:val="007151AF"/>
    <w:rsid w:val="007152B1"/>
    <w:rsid w:val="007152BB"/>
    <w:rsid w:val="00715328"/>
    <w:rsid w:val="00715475"/>
    <w:rsid w:val="0071595B"/>
    <w:rsid w:val="00715E98"/>
    <w:rsid w:val="00715FA6"/>
    <w:rsid w:val="0071603E"/>
    <w:rsid w:val="0071626D"/>
    <w:rsid w:val="00716329"/>
    <w:rsid w:val="007163A0"/>
    <w:rsid w:val="0071672E"/>
    <w:rsid w:val="00716748"/>
    <w:rsid w:val="00716880"/>
    <w:rsid w:val="00716AF1"/>
    <w:rsid w:val="00716C69"/>
    <w:rsid w:val="00716D00"/>
    <w:rsid w:val="0071700F"/>
    <w:rsid w:val="007176BB"/>
    <w:rsid w:val="00717705"/>
    <w:rsid w:val="007177FE"/>
    <w:rsid w:val="00717924"/>
    <w:rsid w:val="0071799F"/>
    <w:rsid w:val="00717A0F"/>
    <w:rsid w:val="00717AEB"/>
    <w:rsid w:val="00717CCA"/>
    <w:rsid w:val="00717E1D"/>
    <w:rsid w:val="00717FB3"/>
    <w:rsid w:val="0072008F"/>
    <w:rsid w:val="007202BA"/>
    <w:rsid w:val="007202C6"/>
    <w:rsid w:val="007206F3"/>
    <w:rsid w:val="00720985"/>
    <w:rsid w:val="00720B62"/>
    <w:rsid w:val="00720C4F"/>
    <w:rsid w:val="007210A9"/>
    <w:rsid w:val="00721284"/>
    <w:rsid w:val="0072159F"/>
    <w:rsid w:val="007216B2"/>
    <w:rsid w:val="0072176B"/>
    <w:rsid w:val="00721D7B"/>
    <w:rsid w:val="00721EA6"/>
    <w:rsid w:val="00721EF5"/>
    <w:rsid w:val="00721FA2"/>
    <w:rsid w:val="00722033"/>
    <w:rsid w:val="00722A1E"/>
    <w:rsid w:val="00722AC8"/>
    <w:rsid w:val="00722B87"/>
    <w:rsid w:val="00722CA6"/>
    <w:rsid w:val="00722CE7"/>
    <w:rsid w:val="00722DD8"/>
    <w:rsid w:val="00722F76"/>
    <w:rsid w:val="007231DD"/>
    <w:rsid w:val="0072367D"/>
    <w:rsid w:val="007237E9"/>
    <w:rsid w:val="00723BFB"/>
    <w:rsid w:val="00723DC1"/>
    <w:rsid w:val="0072409F"/>
    <w:rsid w:val="00724596"/>
    <w:rsid w:val="0072460B"/>
    <w:rsid w:val="00724811"/>
    <w:rsid w:val="00724B0E"/>
    <w:rsid w:val="00724B6B"/>
    <w:rsid w:val="00724C10"/>
    <w:rsid w:val="00725137"/>
    <w:rsid w:val="00725193"/>
    <w:rsid w:val="007255BB"/>
    <w:rsid w:val="0072574B"/>
    <w:rsid w:val="0072589F"/>
    <w:rsid w:val="00725DBE"/>
    <w:rsid w:val="00725ED0"/>
    <w:rsid w:val="00726027"/>
    <w:rsid w:val="00726E1D"/>
    <w:rsid w:val="00726EAD"/>
    <w:rsid w:val="00727044"/>
    <w:rsid w:val="0072707E"/>
    <w:rsid w:val="00727375"/>
    <w:rsid w:val="00727538"/>
    <w:rsid w:val="007278A5"/>
    <w:rsid w:val="00730270"/>
    <w:rsid w:val="007305AF"/>
    <w:rsid w:val="007305C3"/>
    <w:rsid w:val="00730A54"/>
    <w:rsid w:val="00730BAF"/>
    <w:rsid w:val="00730BCD"/>
    <w:rsid w:val="00730C4D"/>
    <w:rsid w:val="00730F96"/>
    <w:rsid w:val="007310B1"/>
    <w:rsid w:val="0073117B"/>
    <w:rsid w:val="007311C5"/>
    <w:rsid w:val="00731502"/>
    <w:rsid w:val="00731A1B"/>
    <w:rsid w:val="00732099"/>
    <w:rsid w:val="00732174"/>
    <w:rsid w:val="00732344"/>
    <w:rsid w:val="007325D8"/>
    <w:rsid w:val="00732791"/>
    <w:rsid w:val="00732AA6"/>
    <w:rsid w:val="00732DFB"/>
    <w:rsid w:val="00732E91"/>
    <w:rsid w:val="0073310D"/>
    <w:rsid w:val="007338F7"/>
    <w:rsid w:val="0073398C"/>
    <w:rsid w:val="00733A15"/>
    <w:rsid w:val="00733A64"/>
    <w:rsid w:val="00733E36"/>
    <w:rsid w:val="00733FA0"/>
    <w:rsid w:val="0073424C"/>
    <w:rsid w:val="007347E1"/>
    <w:rsid w:val="0073496D"/>
    <w:rsid w:val="007349B8"/>
    <w:rsid w:val="00734C72"/>
    <w:rsid w:val="00734E1A"/>
    <w:rsid w:val="00735139"/>
    <w:rsid w:val="007352D0"/>
    <w:rsid w:val="0073543F"/>
    <w:rsid w:val="007354FA"/>
    <w:rsid w:val="00735521"/>
    <w:rsid w:val="0073567B"/>
    <w:rsid w:val="0073567D"/>
    <w:rsid w:val="007356D6"/>
    <w:rsid w:val="0073572D"/>
    <w:rsid w:val="00735A46"/>
    <w:rsid w:val="00735AA9"/>
    <w:rsid w:val="00735B42"/>
    <w:rsid w:val="00736213"/>
    <w:rsid w:val="00736261"/>
    <w:rsid w:val="0073634C"/>
    <w:rsid w:val="007364B1"/>
    <w:rsid w:val="0073657A"/>
    <w:rsid w:val="0073661D"/>
    <w:rsid w:val="0073683F"/>
    <w:rsid w:val="00736B75"/>
    <w:rsid w:val="00736BDB"/>
    <w:rsid w:val="00736CAF"/>
    <w:rsid w:val="00736DEC"/>
    <w:rsid w:val="00736FA3"/>
    <w:rsid w:val="007372C0"/>
    <w:rsid w:val="00737430"/>
    <w:rsid w:val="00737C04"/>
    <w:rsid w:val="00737F88"/>
    <w:rsid w:val="00740062"/>
    <w:rsid w:val="00740067"/>
    <w:rsid w:val="007402D2"/>
    <w:rsid w:val="00740332"/>
    <w:rsid w:val="007403FF"/>
    <w:rsid w:val="00740720"/>
    <w:rsid w:val="00740953"/>
    <w:rsid w:val="007409C8"/>
    <w:rsid w:val="00740CE5"/>
    <w:rsid w:val="007412B4"/>
    <w:rsid w:val="007413F0"/>
    <w:rsid w:val="007416DC"/>
    <w:rsid w:val="007418A7"/>
    <w:rsid w:val="00741C9E"/>
    <w:rsid w:val="00741D57"/>
    <w:rsid w:val="00741DD2"/>
    <w:rsid w:val="00742253"/>
    <w:rsid w:val="007422DE"/>
    <w:rsid w:val="0074247E"/>
    <w:rsid w:val="007425DB"/>
    <w:rsid w:val="007429B8"/>
    <w:rsid w:val="00742B5C"/>
    <w:rsid w:val="00742BEF"/>
    <w:rsid w:val="00742D5F"/>
    <w:rsid w:val="007431B5"/>
    <w:rsid w:val="0074354A"/>
    <w:rsid w:val="00743774"/>
    <w:rsid w:val="00743963"/>
    <w:rsid w:val="00743975"/>
    <w:rsid w:val="00743BE9"/>
    <w:rsid w:val="0074426D"/>
    <w:rsid w:val="00744771"/>
    <w:rsid w:val="00744A8A"/>
    <w:rsid w:val="00744AE3"/>
    <w:rsid w:val="00744B7C"/>
    <w:rsid w:val="00744BDF"/>
    <w:rsid w:val="00744EA0"/>
    <w:rsid w:val="00745285"/>
    <w:rsid w:val="007452FE"/>
    <w:rsid w:val="007455E0"/>
    <w:rsid w:val="0074588E"/>
    <w:rsid w:val="00745C3D"/>
    <w:rsid w:val="00745C90"/>
    <w:rsid w:val="00745E14"/>
    <w:rsid w:val="00745E82"/>
    <w:rsid w:val="00746508"/>
    <w:rsid w:val="007465D6"/>
    <w:rsid w:val="0074660B"/>
    <w:rsid w:val="00746848"/>
    <w:rsid w:val="007472CF"/>
    <w:rsid w:val="00747563"/>
    <w:rsid w:val="00747571"/>
    <w:rsid w:val="007475AF"/>
    <w:rsid w:val="0074775E"/>
    <w:rsid w:val="00747859"/>
    <w:rsid w:val="00747926"/>
    <w:rsid w:val="00747C86"/>
    <w:rsid w:val="00747CD2"/>
    <w:rsid w:val="00747F88"/>
    <w:rsid w:val="0075021A"/>
    <w:rsid w:val="007502E2"/>
    <w:rsid w:val="0075036B"/>
    <w:rsid w:val="007504B8"/>
    <w:rsid w:val="00750702"/>
    <w:rsid w:val="00750837"/>
    <w:rsid w:val="007509A4"/>
    <w:rsid w:val="00750C89"/>
    <w:rsid w:val="00750CA0"/>
    <w:rsid w:val="00750D19"/>
    <w:rsid w:val="00750E06"/>
    <w:rsid w:val="00750E2A"/>
    <w:rsid w:val="00750F09"/>
    <w:rsid w:val="00751B6D"/>
    <w:rsid w:val="00751FFD"/>
    <w:rsid w:val="00752039"/>
    <w:rsid w:val="00752066"/>
    <w:rsid w:val="007521D7"/>
    <w:rsid w:val="007522A8"/>
    <w:rsid w:val="00752812"/>
    <w:rsid w:val="0075298D"/>
    <w:rsid w:val="00752C15"/>
    <w:rsid w:val="00752C50"/>
    <w:rsid w:val="00752CB3"/>
    <w:rsid w:val="00752D1E"/>
    <w:rsid w:val="00752D66"/>
    <w:rsid w:val="00752E76"/>
    <w:rsid w:val="007533F0"/>
    <w:rsid w:val="00753404"/>
    <w:rsid w:val="00753630"/>
    <w:rsid w:val="007537D0"/>
    <w:rsid w:val="007538AD"/>
    <w:rsid w:val="0075406E"/>
    <w:rsid w:val="007541BB"/>
    <w:rsid w:val="007542FE"/>
    <w:rsid w:val="007545A5"/>
    <w:rsid w:val="00754725"/>
    <w:rsid w:val="00754793"/>
    <w:rsid w:val="00754B12"/>
    <w:rsid w:val="00754BC1"/>
    <w:rsid w:val="00754D4C"/>
    <w:rsid w:val="007550B2"/>
    <w:rsid w:val="00755407"/>
    <w:rsid w:val="00755C26"/>
    <w:rsid w:val="00755C4E"/>
    <w:rsid w:val="00755ECC"/>
    <w:rsid w:val="00755EF5"/>
    <w:rsid w:val="00756140"/>
    <w:rsid w:val="00756237"/>
    <w:rsid w:val="0075628B"/>
    <w:rsid w:val="007562C0"/>
    <w:rsid w:val="007563DD"/>
    <w:rsid w:val="00756548"/>
    <w:rsid w:val="007566B0"/>
    <w:rsid w:val="00756BCE"/>
    <w:rsid w:val="00757301"/>
    <w:rsid w:val="007573C6"/>
    <w:rsid w:val="00757833"/>
    <w:rsid w:val="00757BDC"/>
    <w:rsid w:val="00757C8D"/>
    <w:rsid w:val="0076028C"/>
    <w:rsid w:val="00760466"/>
    <w:rsid w:val="007604EF"/>
    <w:rsid w:val="007605F4"/>
    <w:rsid w:val="007607C6"/>
    <w:rsid w:val="00760E03"/>
    <w:rsid w:val="00761055"/>
    <w:rsid w:val="00761128"/>
    <w:rsid w:val="007612AB"/>
    <w:rsid w:val="00761337"/>
    <w:rsid w:val="007616A8"/>
    <w:rsid w:val="007619BA"/>
    <w:rsid w:val="00761EAF"/>
    <w:rsid w:val="00761F14"/>
    <w:rsid w:val="00762972"/>
    <w:rsid w:val="00762B2E"/>
    <w:rsid w:val="00762B90"/>
    <w:rsid w:val="00762D90"/>
    <w:rsid w:val="00762F9F"/>
    <w:rsid w:val="00763018"/>
    <w:rsid w:val="00763045"/>
    <w:rsid w:val="00763190"/>
    <w:rsid w:val="00763303"/>
    <w:rsid w:val="007633E7"/>
    <w:rsid w:val="007636D9"/>
    <w:rsid w:val="00763DF8"/>
    <w:rsid w:val="00764282"/>
    <w:rsid w:val="00764333"/>
    <w:rsid w:val="00764614"/>
    <w:rsid w:val="00764A9B"/>
    <w:rsid w:val="00764B85"/>
    <w:rsid w:val="00764C20"/>
    <w:rsid w:val="00764EB0"/>
    <w:rsid w:val="00764F93"/>
    <w:rsid w:val="00765356"/>
    <w:rsid w:val="007655A4"/>
    <w:rsid w:val="00765913"/>
    <w:rsid w:val="00765956"/>
    <w:rsid w:val="00765A5C"/>
    <w:rsid w:val="00765ADF"/>
    <w:rsid w:val="007665CF"/>
    <w:rsid w:val="00766C81"/>
    <w:rsid w:val="00766E35"/>
    <w:rsid w:val="00767066"/>
    <w:rsid w:val="007670D7"/>
    <w:rsid w:val="00767218"/>
    <w:rsid w:val="00767298"/>
    <w:rsid w:val="0076741E"/>
    <w:rsid w:val="00767A15"/>
    <w:rsid w:val="0077001F"/>
    <w:rsid w:val="0077003B"/>
    <w:rsid w:val="0077006D"/>
    <w:rsid w:val="00770730"/>
    <w:rsid w:val="007709D4"/>
    <w:rsid w:val="00770C9F"/>
    <w:rsid w:val="00770E53"/>
    <w:rsid w:val="00770F6C"/>
    <w:rsid w:val="007717BE"/>
    <w:rsid w:val="007717FC"/>
    <w:rsid w:val="00771D86"/>
    <w:rsid w:val="00771ECA"/>
    <w:rsid w:val="00771F16"/>
    <w:rsid w:val="0077222D"/>
    <w:rsid w:val="00772EB1"/>
    <w:rsid w:val="00772FD9"/>
    <w:rsid w:val="00773089"/>
    <w:rsid w:val="00773237"/>
    <w:rsid w:val="007733B0"/>
    <w:rsid w:val="00773A89"/>
    <w:rsid w:val="00773B11"/>
    <w:rsid w:val="00773C07"/>
    <w:rsid w:val="007743A5"/>
    <w:rsid w:val="007743BA"/>
    <w:rsid w:val="007746E8"/>
    <w:rsid w:val="007748B0"/>
    <w:rsid w:val="00774C02"/>
    <w:rsid w:val="00774F1D"/>
    <w:rsid w:val="007753F5"/>
    <w:rsid w:val="0077576D"/>
    <w:rsid w:val="007757C3"/>
    <w:rsid w:val="007758DD"/>
    <w:rsid w:val="0077628F"/>
    <w:rsid w:val="0077668B"/>
    <w:rsid w:val="007768C1"/>
    <w:rsid w:val="007769D7"/>
    <w:rsid w:val="00776E85"/>
    <w:rsid w:val="00776F81"/>
    <w:rsid w:val="00777176"/>
    <w:rsid w:val="00777378"/>
    <w:rsid w:val="00777791"/>
    <w:rsid w:val="007778D4"/>
    <w:rsid w:val="00777BB2"/>
    <w:rsid w:val="00777EC0"/>
    <w:rsid w:val="007803B5"/>
    <w:rsid w:val="0078050D"/>
    <w:rsid w:val="0078073F"/>
    <w:rsid w:val="0078076E"/>
    <w:rsid w:val="00780AAD"/>
    <w:rsid w:val="00780BED"/>
    <w:rsid w:val="00781227"/>
    <w:rsid w:val="0078183F"/>
    <w:rsid w:val="0078197C"/>
    <w:rsid w:val="00781B4A"/>
    <w:rsid w:val="00781C57"/>
    <w:rsid w:val="00781D24"/>
    <w:rsid w:val="00781E02"/>
    <w:rsid w:val="00781F72"/>
    <w:rsid w:val="0078215B"/>
    <w:rsid w:val="00782464"/>
    <w:rsid w:val="00782694"/>
    <w:rsid w:val="00782890"/>
    <w:rsid w:val="00782BDC"/>
    <w:rsid w:val="00782E55"/>
    <w:rsid w:val="00783107"/>
    <w:rsid w:val="0078330F"/>
    <w:rsid w:val="0078342F"/>
    <w:rsid w:val="007835ED"/>
    <w:rsid w:val="007837C0"/>
    <w:rsid w:val="007837E7"/>
    <w:rsid w:val="00783AFC"/>
    <w:rsid w:val="0078401B"/>
    <w:rsid w:val="00784359"/>
    <w:rsid w:val="00784687"/>
    <w:rsid w:val="007846C2"/>
    <w:rsid w:val="007847FF"/>
    <w:rsid w:val="00784DEB"/>
    <w:rsid w:val="00784E7D"/>
    <w:rsid w:val="00785753"/>
    <w:rsid w:val="00785E29"/>
    <w:rsid w:val="0078610F"/>
    <w:rsid w:val="007861D8"/>
    <w:rsid w:val="0078632F"/>
    <w:rsid w:val="00786859"/>
    <w:rsid w:val="00786921"/>
    <w:rsid w:val="00786C27"/>
    <w:rsid w:val="00786DB6"/>
    <w:rsid w:val="00786FD3"/>
    <w:rsid w:val="00786FFC"/>
    <w:rsid w:val="00787112"/>
    <w:rsid w:val="0078738D"/>
    <w:rsid w:val="00787459"/>
    <w:rsid w:val="00787586"/>
    <w:rsid w:val="007875FA"/>
    <w:rsid w:val="00787807"/>
    <w:rsid w:val="00787AEE"/>
    <w:rsid w:val="00787C18"/>
    <w:rsid w:val="00787CA9"/>
    <w:rsid w:val="00787CEC"/>
    <w:rsid w:val="00787E2B"/>
    <w:rsid w:val="00787E55"/>
    <w:rsid w:val="00787F7E"/>
    <w:rsid w:val="0079076B"/>
    <w:rsid w:val="0079078F"/>
    <w:rsid w:val="007907DF"/>
    <w:rsid w:val="007908C2"/>
    <w:rsid w:val="00790BC6"/>
    <w:rsid w:val="00791133"/>
    <w:rsid w:val="00791228"/>
    <w:rsid w:val="00791295"/>
    <w:rsid w:val="00791394"/>
    <w:rsid w:val="007914B8"/>
    <w:rsid w:val="00791767"/>
    <w:rsid w:val="007917C7"/>
    <w:rsid w:val="007918EB"/>
    <w:rsid w:val="007920BF"/>
    <w:rsid w:val="00792283"/>
    <w:rsid w:val="00792B10"/>
    <w:rsid w:val="00793078"/>
    <w:rsid w:val="007930D1"/>
    <w:rsid w:val="007931A1"/>
    <w:rsid w:val="007932E5"/>
    <w:rsid w:val="00793A1A"/>
    <w:rsid w:val="0079413E"/>
    <w:rsid w:val="007943AC"/>
    <w:rsid w:val="00794421"/>
    <w:rsid w:val="00794713"/>
    <w:rsid w:val="007948AD"/>
    <w:rsid w:val="00794945"/>
    <w:rsid w:val="00795578"/>
    <w:rsid w:val="0079581B"/>
    <w:rsid w:val="00795926"/>
    <w:rsid w:val="007959B9"/>
    <w:rsid w:val="00795BBC"/>
    <w:rsid w:val="007962A5"/>
    <w:rsid w:val="007963FA"/>
    <w:rsid w:val="0079650D"/>
    <w:rsid w:val="0079655D"/>
    <w:rsid w:val="007965B1"/>
    <w:rsid w:val="007968CD"/>
    <w:rsid w:val="00796920"/>
    <w:rsid w:val="00796928"/>
    <w:rsid w:val="00796BF1"/>
    <w:rsid w:val="00796F14"/>
    <w:rsid w:val="00797074"/>
    <w:rsid w:val="007970C4"/>
    <w:rsid w:val="007970FE"/>
    <w:rsid w:val="00797464"/>
    <w:rsid w:val="00797487"/>
    <w:rsid w:val="0079755D"/>
    <w:rsid w:val="007975B1"/>
    <w:rsid w:val="007975FD"/>
    <w:rsid w:val="0079786B"/>
    <w:rsid w:val="007978F6"/>
    <w:rsid w:val="00797A5E"/>
    <w:rsid w:val="00797CE5"/>
    <w:rsid w:val="007A01CC"/>
    <w:rsid w:val="007A0341"/>
    <w:rsid w:val="007A0454"/>
    <w:rsid w:val="007A04BA"/>
    <w:rsid w:val="007A0649"/>
    <w:rsid w:val="007A0911"/>
    <w:rsid w:val="007A0BDF"/>
    <w:rsid w:val="007A0DFB"/>
    <w:rsid w:val="007A1132"/>
    <w:rsid w:val="007A115F"/>
    <w:rsid w:val="007A1640"/>
    <w:rsid w:val="007A1BAE"/>
    <w:rsid w:val="007A1C09"/>
    <w:rsid w:val="007A1C62"/>
    <w:rsid w:val="007A1E13"/>
    <w:rsid w:val="007A215A"/>
    <w:rsid w:val="007A2481"/>
    <w:rsid w:val="007A2910"/>
    <w:rsid w:val="007A2B89"/>
    <w:rsid w:val="007A2E89"/>
    <w:rsid w:val="007A2EDB"/>
    <w:rsid w:val="007A31D8"/>
    <w:rsid w:val="007A3633"/>
    <w:rsid w:val="007A36F9"/>
    <w:rsid w:val="007A3799"/>
    <w:rsid w:val="007A38F4"/>
    <w:rsid w:val="007A3958"/>
    <w:rsid w:val="007A3A93"/>
    <w:rsid w:val="007A3D90"/>
    <w:rsid w:val="007A4182"/>
    <w:rsid w:val="007A4433"/>
    <w:rsid w:val="007A4514"/>
    <w:rsid w:val="007A45D3"/>
    <w:rsid w:val="007A47D4"/>
    <w:rsid w:val="007A4D47"/>
    <w:rsid w:val="007A4ED3"/>
    <w:rsid w:val="007A4FD2"/>
    <w:rsid w:val="007A52F2"/>
    <w:rsid w:val="007A54F3"/>
    <w:rsid w:val="007A5650"/>
    <w:rsid w:val="007A56ED"/>
    <w:rsid w:val="007A56FE"/>
    <w:rsid w:val="007A5734"/>
    <w:rsid w:val="007A5831"/>
    <w:rsid w:val="007A596D"/>
    <w:rsid w:val="007A59CA"/>
    <w:rsid w:val="007A59E0"/>
    <w:rsid w:val="007A5C57"/>
    <w:rsid w:val="007A5CE5"/>
    <w:rsid w:val="007A5F54"/>
    <w:rsid w:val="007A6465"/>
    <w:rsid w:val="007A6491"/>
    <w:rsid w:val="007A6658"/>
    <w:rsid w:val="007A66E5"/>
    <w:rsid w:val="007A6782"/>
    <w:rsid w:val="007A689D"/>
    <w:rsid w:val="007A6975"/>
    <w:rsid w:val="007A6A25"/>
    <w:rsid w:val="007A6F7D"/>
    <w:rsid w:val="007A734B"/>
    <w:rsid w:val="007A73B3"/>
    <w:rsid w:val="007A73C0"/>
    <w:rsid w:val="007A78D6"/>
    <w:rsid w:val="007A7963"/>
    <w:rsid w:val="007A7977"/>
    <w:rsid w:val="007A7A8B"/>
    <w:rsid w:val="007A7B86"/>
    <w:rsid w:val="007A7E0B"/>
    <w:rsid w:val="007A7F18"/>
    <w:rsid w:val="007B0268"/>
    <w:rsid w:val="007B0639"/>
    <w:rsid w:val="007B0A2D"/>
    <w:rsid w:val="007B0CC4"/>
    <w:rsid w:val="007B1399"/>
    <w:rsid w:val="007B1438"/>
    <w:rsid w:val="007B14F1"/>
    <w:rsid w:val="007B165F"/>
    <w:rsid w:val="007B178E"/>
    <w:rsid w:val="007B185D"/>
    <w:rsid w:val="007B1EF8"/>
    <w:rsid w:val="007B22E2"/>
    <w:rsid w:val="007B2673"/>
    <w:rsid w:val="007B2797"/>
    <w:rsid w:val="007B28D4"/>
    <w:rsid w:val="007B2975"/>
    <w:rsid w:val="007B2A5C"/>
    <w:rsid w:val="007B2E3F"/>
    <w:rsid w:val="007B31CC"/>
    <w:rsid w:val="007B3321"/>
    <w:rsid w:val="007B3393"/>
    <w:rsid w:val="007B347E"/>
    <w:rsid w:val="007B3487"/>
    <w:rsid w:val="007B34BE"/>
    <w:rsid w:val="007B378A"/>
    <w:rsid w:val="007B3A79"/>
    <w:rsid w:val="007B416F"/>
    <w:rsid w:val="007B4675"/>
    <w:rsid w:val="007B4993"/>
    <w:rsid w:val="007B4AC7"/>
    <w:rsid w:val="007B52E9"/>
    <w:rsid w:val="007B565F"/>
    <w:rsid w:val="007B58C5"/>
    <w:rsid w:val="007B5BC4"/>
    <w:rsid w:val="007B5E94"/>
    <w:rsid w:val="007B6012"/>
    <w:rsid w:val="007B627F"/>
    <w:rsid w:val="007B6538"/>
    <w:rsid w:val="007B6629"/>
    <w:rsid w:val="007B6686"/>
    <w:rsid w:val="007B6717"/>
    <w:rsid w:val="007B6A9E"/>
    <w:rsid w:val="007B6C8C"/>
    <w:rsid w:val="007B6E17"/>
    <w:rsid w:val="007B70CE"/>
    <w:rsid w:val="007B7109"/>
    <w:rsid w:val="007B7208"/>
    <w:rsid w:val="007B7C3F"/>
    <w:rsid w:val="007C00E0"/>
    <w:rsid w:val="007C013A"/>
    <w:rsid w:val="007C01D4"/>
    <w:rsid w:val="007C08BB"/>
    <w:rsid w:val="007C09D0"/>
    <w:rsid w:val="007C0B2D"/>
    <w:rsid w:val="007C0B6A"/>
    <w:rsid w:val="007C0CD3"/>
    <w:rsid w:val="007C1088"/>
    <w:rsid w:val="007C12CE"/>
    <w:rsid w:val="007C1B96"/>
    <w:rsid w:val="007C1E84"/>
    <w:rsid w:val="007C24D1"/>
    <w:rsid w:val="007C267F"/>
    <w:rsid w:val="007C2823"/>
    <w:rsid w:val="007C2909"/>
    <w:rsid w:val="007C2F72"/>
    <w:rsid w:val="007C302D"/>
    <w:rsid w:val="007C31BB"/>
    <w:rsid w:val="007C3375"/>
    <w:rsid w:val="007C33B3"/>
    <w:rsid w:val="007C33D3"/>
    <w:rsid w:val="007C3714"/>
    <w:rsid w:val="007C3944"/>
    <w:rsid w:val="007C3AF7"/>
    <w:rsid w:val="007C3DB2"/>
    <w:rsid w:val="007C3FBA"/>
    <w:rsid w:val="007C40DF"/>
    <w:rsid w:val="007C417C"/>
    <w:rsid w:val="007C41DB"/>
    <w:rsid w:val="007C4461"/>
    <w:rsid w:val="007C447E"/>
    <w:rsid w:val="007C45E2"/>
    <w:rsid w:val="007C473F"/>
    <w:rsid w:val="007C481A"/>
    <w:rsid w:val="007C4A15"/>
    <w:rsid w:val="007C4B4C"/>
    <w:rsid w:val="007C572C"/>
    <w:rsid w:val="007C5966"/>
    <w:rsid w:val="007C5F7B"/>
    <w:rsid w:val="007C5F95"/>
    <w:rsid w:val="007C6183"/>
    <w:rsid w:val="007C64A2"/>
    <w:rsid w:val="007C664D"/>
    <w:rsid w:val="007C6A46"/>
    <w:rsid w:val="007C6D1A"/>
    <w:rsid w:val="007C6FC8"/>
    <w:rsid w:val="007C702E"/>
    <w:rsid w:val="007C7313"/>
    <w:rsid w:val="007C73DD"/>
    <w:rsid w:val="007C7437"/>
    <w:rsid w:val="007C7481"/>
    <w:rsid w:val="007C7655"/>
    <w:rsid w:val="007C77F6"/>
    <w:rsid w:val="007C783B"/>
    <w:rsid w:val="007C79D7"/>
    <w:rsid w:val="007C7B8C"/>
    <w:rsid w:val="007C7C0B"/>
    <w:rsid w:val="007C7C1F"/>
    <w:rsid w:val="007C7E2D"/>
    <w:rsid w:val="007D0184"/>
    <w:rsid w:val="007D05C5"/>
    <w:rsid w:val="007D05E3"/>
    <w:rsid w:val="007D061C"/>
    <w:rsid w:val="007D067F"/>
    <w:rsid w:val="007D0963"/>
    <w:rsid w:val="007D0A76"/>
    <w:rsid w:val="007D0AA0"/>
    <w:rsid w:val="007D0D80"/>
    <w:rsid w:val="007D14D0"/>
    <w:rsid w:val="007D1715"/>
    <w:rsid w:val="007D1971"/>
    <w:rsid w:val="007D19C3"/>
    <w:rsid w:val="007D19DE"/>
    <w:rsid w:val="007D1C3D"/>
    <w:rsid w:val="007D1DC4"/>
    <w:rsid w:val="007D22E0"/>
    <w:rsid w:val="007D22EF"/>
    <w:rsid w:val="007D232B"/>
    <w:rsid w:val="007D25A3"/>
    <w:rsid w:val="007D2715"/>
    <w:rsid w:val="007D2920"/>
    <w:rsid w:val="007D2C53"/>
    <w:rsid w:val="007D2E34"/>
    <w:rsid w:val="007D3074"/>
    <w:rsid w:val="007D396C"/>
    <w:rsid w:val="007D39E5"/>
    <w:rsid w:val="007D3BCF"/>
    <w:rsid w:val="007D3E3D"/>
    <w:rsid w:val="007D3FD2"/>
    <w:rsid w:val="007D42FC"/>
    <w:rsid w:val="007D433F"/>
    <w:rsid w:val="007D470E"/>
    <w:rsid w:val="007D48A1"/>
    <w:rsid w:val="007D495A"/>
    <w:rsid w:val="007D4C74"/>
    <w:rsid w:val="007D4EB2"/>
    <w:rsid w:val="007D5168"/>
    <w:rsid w:val="007D53A7"/>
    <w:rsid w:val="007D5987"/>
    <w:rsid w:val="007D5A76"/>
    <w:rsid w:val="007D5EA4"/>
    <w:rsid w:val="007D6154"/>
    <w:rsid w:val="007D6241"/>
    <w:rsid w:val="007D65AE"/>
    <w:rsid w:val="007D69E3"/>
    <w:rsid w:val="007D6A0C"/>
    <w:rsid w:val="007D6CDC"/>
    <w:rsid w:val="007D6FBB"/>
    <w:rsid w:val="007D70A1"/>
    <w:rsid w:val="007D73C2"/>
    <w:rsid w:val="007D76B9"/>
    <w:rsid w:val="007D77DB"/>
    <w:rsid w:val="007D79B9"/>
    <w:rsid w:val="007D7A0E"/>
    <w:rsid w:val="007D7AA3"/>
    <w:rsid w:val="007D7F74"/>
    <w:rsid w:val="007E01DB"/>
    <w:rsid w:val="007E02D9"/>
    <w:rsid w:val="007E0716"/>
    <w:rsid w:val="007E0842"/>
    <w:rsid w:val="007E09B7"/>
    <w:rsid w:val="007E0C02"/>
    <w:rsid w:val="007E0CC4"/>
    <w:rsid w:val="007E0D0D"/>
    <w:rsid w:val="007E0DA9"/>
    <w:rsid w:val="007E0DF7"/>
    <w:rsid w:val="007E0EAD"/>
    <w:rsid w:val="007E1117"/>
    <w:rsid w:val="007E1808"/>
    <w:rsid w:val="007E1AAC"/>
    <w:rsid w:val="007E1BD7"/>
    <w:rsid w:val="007E1F37"/>
    <w:rsid w:val="007E2031"/>
    <w:rsid w:val="007E220D"/>
    <w:rsid w:val="007E22A9"/>
    <w:rsid w:val="007E241F"/>
    <w:rsid w:val="007E25BC"/>
    <w:rsid w:val="007E280E"/>
    <w:rsid w:val="007E2B1D"/>
    <w:rsid w:val="007E2B27"/>
    <w:rsid w:val="007E2F32"/>
    <w:rsid w:val="007E3522"/>
    <w:rsid w:val="007E3585"/>
    <w:rsid w:val="007E36D5"/>
    <w:rsid w:val="007E3E3D"/>
    <w:rsid w:val="007E4066"/>
    <w:rsid w:val="007E4338"/>
    <w:rsid w:val="007E4376"/>
    <w:rsid w:val="007E4549"/>
    <w:rsid w:val="007E47DA"/>
    <w:rsid w:val="007E48E5"/>
    <w:rsid w:val="007E4C58"/>
    <w:rsid w:val="007E4CD5"/>
    <w:rsid w:val="007E4F21"/>
    <w:rsid w:val="007E535C"/>
    <w:rsid w:val="007E5447"/>
    <w:rsid w:val="007E56C2"/>
    <w:rsid w:val="007E589D"/>
    <w:rsid w:val="007E58CC"/>
    <w:rsid w:val="007E5A5A"/>
    <w:rsid w:val="007E5A8A"/>
    <w:rsid w:val="007E5AAF"/>
    <w:rsid w:val="007E5C8A"/>
    <w:rsid w:val="007E622B"/>
    <w:rsid w:val="007E6262"/>
    <w:rsid w:val="007E669F"/>
    <w:rsid w:val="007E6CA0"/>
    <w:rsid w:val="007E6CBE"/>
    <w:rsid w:val="007E732E"/>
    <w:rsid w:val="007E7909"/>
    <w:rsid w:val="007E7D40"/>
    <w:rsid w:val="007E7FE7"/>
    <w:rsid w:val="007F05E9"/>
    <w:rsid w:val="007F06ED"/>
    <w:rsid w:val="007F0703"/>
    <w:rsid w:val="007F0BDD"/>
    <w:rsid w:val="007F136D"/>
    <w:rsid w:val="007F1542"/>
    <w:rsid w:val="007F1CF3"/>
    <w:rsid w:val="007F236C"/>
    <w:rsid w:val="007F23B2"/>
    <w:rsid w:val="007F23FF"/>
    <w:rsid w:val="007F258E"/>
    <w:rsid w:val="007F25D5"/>
    <w:rsid w:val="007F26EB"/>
    <w:rsid w:val="007F288C"/>
    <w:rsid w:val="007F2EC5"/>
    <w:rsid w:val="007F2F20"/>
    <w:rsid w:val="007F305D"/>
    <w:rsid w:val="007F3096"/>
    <w:rsid w:val="007F3598"/>
    <w:rsid w:val="007F35AE"/>
    <w:rsid w:val="007F3622"/>
    <w:rsid w:val="007F37BA"/>
    <w:rsid w:val="007F38DB"/>
    <w:rsid w:val="007F3B08"/>
    <w:rsid w:val="007F3C01"/>
    <w:rsid w:val="007F3C0B"/>
    <w:rsid w:val="007F3CB6"/>
    <w:rsid w:val="007F40C2"/>
    <w:rsid w:val="007F46DC"/>
    <w:rsid w:val="007F47A9"/>
    <w:rsid w:val="007F47D4"/>
    <w:rsid w:val="007F4CED"/>
    <w:rsid w:val="007F5312"/>
    <w:rsid w:val="007F5324"/>
    <w:rsid w:val="007F5ABE"/>
    <w:rsid w:val="007F5D34"/>
    <w:rsid w:val="007F6262"/>
    <w:rsid w:val="007F64DA"/>
    <w:rsid w:val="007F6B55"/>
    <w:rsid w:val="007F6F30"/>
    <w:rsid w:val="007F6F73"/>
    <w:rsid w:val="007F6FAB"/>
    <w:rsid w:val="007F705D"/>
    <w:rsid w:val="007F713C"/>
    <w:rsid w:val="007F71A9"/>
    <w:rsid w:val="007F7A38"/>
    <w:rsid w:val="007F7D8E"/>
    <w:rsid w:val="00800389"/>
    <w:rsid w:val="008005F5"/>
    <w:rsid w:val="0080074A"/>
    <w:rsid w:val="00800C5B"/>
    <w:rsid w:val="00800CA7"/>
    <w:rsid w:val="00800D61"/>
    <w:rsid w:val="00800E4E"/>
    <w:rsid w:val="00800E8F"/>
    <w:rsid w:val="00800FAC"/>
    <w:rsid w:val="008010DD"/>
    <w:rsid w:val="008014D6"/>
    <w:rsid w:val="00801760"/>
    <w:rsid w:val="00801866"/>
    <w:rsid w:val="00801AA5"/>
    <w:rsid w:val="00801B08"/>
    <w:rsid w:val="00801CBA"/>
    <w:rsid w:val="008026FE"/>
    <w:rsid w:val="008028CE"/>
    <w:rsid w:val="00802A21"/>
    <w:rsid w:val="00802B26"/>
    <w:rsid w:val="00802FB2"/>
    <w:rsid w:val="00802FE8"/>
    <w:rsid w:val="0080310E"/>
    <w:rsid w:val="00803258"/>
    <w:rsid w:val="008032ED"/>
    <w:rsid w:val="008033A6"/>
    <w:rsid w:val="00803AB7"/>
    <w:rsid w:val="00803ED5"/>
    <w:rsid w:val="0080416A"/>
    <w:rsid w:val="00804655"/>
    <w:rsid w:val="00804967"/>
    <w:rsid w:val="00804985"/>
    <w:rsid w:val="00804E03"/>
    <w:rsid w:val="00805125"/>
    <w:rsid w:val="00805502"/>
    <w:rsid w:val="0080554E"/>
    <w:rsid w:val="00805A10"/>
    <w:rsid w:val="00805A8D"/>
    <w:rsid w:val="00805AAB"/>
    <w:rsid w:val="00805B0A"/>
    <w:rsid w:val="00805D35"/>
    <w:rsid w:val="008062E2"/>
    <w:rsid w:val="00806484"/>
    <w:rsid w:val="008066BB"/>
    <w:rsid w:val="008070E4"/>
    <w:rsid w:val="00807249"/>
    <w:rsid w:val="0080746E"/>
    <w:rsid w:val="0080766F"/>
    <w:rsid w:val="00807B2D"/>
    <w:rsid w:val="00807BB6"/>
    <w:rsid w:val="00807DE4"/>
    <w:rsid w:val="00807E92"/>
    <w:rsid w:val="0081012B"/>
    <w:rsid w:val="00810179"/>
    <w:rsid w:val="008102D7"/>
    <w:rsid w:val="008102E1"/>
    <w:rsid w:val="00810431"/>
    <w:rsid w:val="00810530"/>
    <w:rsid w:val="008105D4"/>
    <w:rsid w:val="00810609"/>
    <w:rsid w:val="008108FD"/>
    <w:rsid w:val="00810B67"/>
    <w:rsid w:val="00810E07"/>
    <w:rsid w:val="00810F79"/>
    <w:rsid w:val="008110AE"/>
    <w:rsid w:val="00811740"/>
    <w:rsid w:val="00811773"/>
    <w:rsid w:val="0081184E"/>
    <w:rsid w:val="00811896"/>
    <w:rsid w:val="00811ADB"/>
    <w:rsid w:val="00811AE5"/>
    <w:rsid w:val="00811B19"/>
    <w:rsid w:val="00811B69"/>
    <w:rsid w:val="00811E79"/>
    <w:rsid w:val="00812056"/>
    <w:rsid w:val="00812106"/>
    <w:rsid w:val="008121EE"/>
    <w:rsid w:val="0081220C"/>
    <w:rsid w:val="008122C2"/>
    <w:rsid w:val="008123E0"/>
    <w:rsid w:val="008126B6"/>
    <w:rsid w:val="008126DB"/>
    <w:rsid w:val="008129C6"/>
    <w:rsid w:val="008129FA"/>
    <w:rsid w:val="00812ACA"/>
    <w:rsid w:val="00812B4B"/>
    <w:rsid w:val="00812F62"/>
    <w:rsid w:val="00813003"/>
    <w:rsid w:val="00813046"/>
    <w:rsid w:val="00813249"/>
    <w:rsid w:val="00813724"/>
    <w:rsid w:val="00813A57"/>
    <w:rsid w:val="00813A7C"/>
    <w:rsid w:val="00813B11"/>
    <w:rsid w:val="00813EA5"/>
    <w:rsid w:val="00813ECA"/>
    <w:rsid w:val="008140EF"/>
    <w:rsid w:val="008140F5"/>
    <w:rsid w:val="008142CA"/>
    <w:rsid w:val="008145C0"/>
    <w:rsid w:val="008145C2"/>
    <w:rsid w:val="008145F2"/>
    <w:rsid w:val="00814644"/>
    <w:rsid w:val="00814B2E"/>
    <w:rsid w:val="00814B46"/>
    <w:rsid w:val="00814B5F"/>
    <w:rsid w:val="00814CE4"/>
    <w:rsid w:val="00814D09"/>
    <w:rsid w:val="00814E79"/>
    <w:rsid w:val="00815092"/>
    <w:rsid w:val="00815241"/>
    <w:rsid w:val="008154D0"/>
    <w:rsid w:val="00815C86"/>
    <w:rsid w:val="00815D5B"/>
    <w:rsid w:val="00815FF8"/>
    <w:rsid w:val="00816220"/>
    <w:rsid w:val="00816277"/>
    <w:rsid w:val="0081633D"/>
    <w:rsid w:val="008164A9"/>
    <w:rsid w:val="008168A4"/>
    <w:rsid w:val="00816903"/>
    <w:rsid w:val="00817179"/>
    <w:rsid w:val="008175BE"/>
    <w:rsid w:val="008176CB"/>
    <w:rsid w:val="008178C5"/>
    <w:rsid w:val="0082003E"/>
    <w:rsid w:val="00820300"/>
    <w:rsid w:val="008206A5"/>
    <w:rsid w:val="00820ACD"/>
    <w:rsid w:val="00820B3B"/>
    <w:rsid w:val="00820B43"/>
    <w:rsid w:val="0082102F"/>
    <w:rsid w:val="00821197"/>
    <w:rsid w:val="008216C8"/>
    <w:rsid w:val="00821795"/>
    <w:rsid w:val="00821DFE"/>
    <w:rsid w:val="00821E87"/>
    <w:rsid w:val="00821EF7"/>
    <w:rsid w:val="00821F47"/>
    <w:rsid w:val="00822087"/>
    <w:rsid w:val="00822464"/>
    <w:rsid w:val="008224EA"/>
    <w:rsid w:val="0082277D"/>
    <w:rsid w:val="00822C7A"/>
    <w:rsid w:val="00822DAC"/>
    <w:rsid w:val="00822E76"/>
    <w:rsid w:val="00822E9B"/>
    <w:rsid w:val="00822EBF"/>
    <w:rsid w:val="00823171"/>
    <w:rsid w:val="00823192"/>
    <w:rsid w:val="008233C9"/>
    <w:rsid w:val="008239D4"/>
    <w:rsid w:val="00823CAF"/>
    <w:rsid w:val="00823EA9"/>
    <w:rsid w:val="00824055"/>
    <w:rsid w:val="00824061"/>
    <w:rsid w:val="00824655"/>
    <w:rsid w:val="008248EA"/>
    <w:rsid w:val="0082490C"/>
    <w:rsid w:val="00824B6D"/>
    <w:rsid w:val="00824D8E"/>
    <w:rsid w:val="00824E42"/>
    <w:rsid w:val="0082521B"/>
    <w:rsid w:val="008252EB"/>
    <w:rsid w:val="008257EE"/>
    <w:rsid w:val="008258AA"/>
    <w:rsid w:val="00825A58"/>
    <w:rsid w:val="00825BE6"/>
    <w:rsid w:val="00825C51"/>
    <w:rsid w:val="008260B0"/>
    <w:rsid w:val="0082643F"/>
    <w:rsid w:val="008265A3"/>
    <w:rsid w:val="00826608"/>
    <w:rsid w:val="00826A82"/>
    <w:rsid w:val="00826CB9"/>
    <w:rsid w:val="00827075"/>
    <w:rsid w:val="00827129"/>
    <w:rsid w:val="0082725C"/>
    <w:rsid w:val="00827286"/>
    <w:rsid w:val="008273A5"/>
    <w:rsid w:val="00827B42"/>
    <w:rsid w:val="008301EA"/>
    <w:rsid w:val="008301F0"/>
    <w:rsid w:val="00830243"/>
    <w:rsid w:val="00830490"/>
    <w:rsid w:val="00830CA5"/>
    <w:rsid w:val="00830FB4"/>
    <w:rsid w:val="00830FC2"/>
    <w:rsid w:val="00831071"/>
    <w:rsid w:val="00831192"/>
    <w:rsid w:val="008311AE"/>
    <w:rsid w:val="00831495"/>
    <w:rsid w:val="008315CF"/>
    <w:rsid w:val="008315EA"/>
    <w:rsid w:val="00831983"/>
    <w:rsid w:val="00831AE6"/>
    <w:rsid w:val="00831B1F"/>
    <w:rsid w:val="00831C7E"/>
    <w:rsid w:val="00831F4B"/>
    <w:rsid w:val="00832031"/>
    <w:rsid w:val="008321FB"/>
    <w:rsid w:val="00832218"/>
    <w:rsid w:val="008328C4"/>
    <w:rsid w:val="00832DEB"/>
    <w:rsid w:val="00833135"/>
    <w:rsid w:val="00833528"/>
    <w:rsid w:val="0083383B"/>
    <w:rsid w:val="0083390A"/>
    <w:rsid w:val="00833A28"/>
    <w:rsid w:val="00833D3A"/>
    <w:rsid w:val="0083447C"/>
    <w:rsid w:val="00834503"/>
    <w:rsid w:val="0083462C"/>
    <w:rsid w:val="008346DC"/>
    <w:rsid w:val="00834914"/>
    <w:rsid w:val="00834B5E"/>
    <w:rsid w:val="00834C82"/>
    <w:rsid w:val="00834E08"/>
    <w:rsid w:val="00834E15"/>
    <w:rsid w:val="00834F1F"/>
    <w:rsid w:val="008351FE"/>
    <w:rsid w:val="0083547E"/>
    <w:rsid w:val="0083563B"/>
    <w:rsid w:val="00835806"/>
    <w:rsid w:val="00835CB2"/>
    <w:rsid w:val="00835E1E"/>
    <w:rsid w:val="00835E2B"/>
    <w:rsid w:val="00835ED6"/>
    <w:rsid w:val="00836E66"/>
    <w:rsid w:val="00837334"/>
    <w:rsid w:val="0083748A"/>
    <w:rsid w:val="008374C8"/>
    <w:rsid w:val="00837726"/>
    <w:rsid w:val="0083783F"/>
    <w:rsid w:val="00837898"/>
    <w:rsid w:val="00837A49"/>
    <w:rsid w:val="00840173"/>
    <w:rsid w:val="00840560"/>
    <w:rsid w:val="00840A30"/>
    <w:rsid w:val="00840C31"/>
    <w:rsid w:val="00840FEA"/>
    <w:rsid w:val="008411C9"/>
    <w:rsid w:val="0084131F"/>
    <w:rsid w:val="008415AF"/>
    <w:rsid w:val="0084164E"/>
    <w:rsid w:val="0084179D"/>
    <w:rsid w:val="00841D3F"/>
    <w:rsid w:val="00841D81"/>
    <w:rsid w:val="00841E27"/>
    <w:rsid w:val="008420C5"/>
    <w:rsid w:val="0084229B"/>
    <w:rsid w:val="00842590"/>
    <w:rsid w:val="00842BE1"/>
    <w:rsid w:val="00842C4F"/>
    <w:rsid w:val="00843A26"/>
    <w:rsid w:val="00844135"/>
    <w:rsid w:val="008448AC"/>
    <w:rsid w:val="00844973"/>
    <w:rsid w:val="008449FE"/>
    <w:rsid w:val="00844B04"/>
    <w:rsid w:val="00844D0F"/>
    <w:rsid w:val="00844E10"/>
    <w:rsid w:val="00845162"/>
    <w:rsid w:val="00845716"/>
    <w:rsid w:val="00845B02"/>
    <w:rsid w:val="00845D8F"/>
    <w:rsid w:val="00845DD1"/>
    <w:rsid w:val="00846259"/>
    <w:rsid w:val="00846337"/>
    <w:rsid w:val="00846353"/>
    <w:rsid w:val="00846408"/>
    <w:rsid w:val="008469B3"/>
    <w:rsid w:val="00846B1B"/>
    <w:rsid w:val="00847008"/>
    <w:rsid w:val="00847098"/>
    <w:rsid w:val="00847133"/>
    <w:rsid w:val="008471AF"/>
    <w:rsid w:val="00847396"/>
    <w:rsid w:val="00847541"/>
    <w:rsid w:val="00847600"/>
    <w:rsid w:val="00847AEB"/>
    <w:rsid w:val="00847B2B"/>
    <w:rsid w:val="00847FD1"/>
    <w:rsid w:val="00847FEF"/>
    <w:rsid w:val="00850529"/>
    <w:rsid w:val="008507DB"/>
    <w:rsid w:val="00850817"/>
    <w:rsid w:val="008509E1"/>
    <w:rsid w:val="00850DCB"/>
    <w:rsid w:val="00850DF3"/>
    <w:rsid w:val="00851172"/>
    <w:rsid w:val="008511C7"/>
    <w:rsid w:val="008513C6"/>
    <w:rsid w:val="00851405"/>
    <w:rsid w:val="008515B4"/>
    <w:rsid w:val="00851838"/>
    <w:rsid w:val="0085185E"/>
    <w:rsid w:val="00851C19"/>
    <w:rsid w:val="00851DA1"/>
    <w:rsid w:val="00851DF6"/>
    <w:rsid w:val="00851FA6"/>
    <w:rsid w:val="0085220F"/>
    <w:rsid w:val="00852219"/>
    <w:rsid w:val="0085224A"/>
    <w:rsid w:val="00852266"/>
    <w:rsid w:val="00852379"/>
    <w:rsid w:val="00852499"/>
    <w:rsid w:val="00852709"/>
    <w:rsid w:val="00852956"/>
    <w:rsid w:val="00852BB5"/>
    <w:rsid w:val="00852C05"/>
    <w:rsid w:val="00852CCD"/>
    <w:rsid w:val="00852F40"/>
    <w:rsid w:val="008536B9"/>
    <w:rsid w:val="00853AEF"/>
    <w:rsid w:val="00853C6E"/>
    <w:rsid w:val="00854393"/>
    <w:rsid w:val="00854440"/>
    <w:rsid w:val="00854656"/>
    <w:rsid w:val="00854748"/>
    <w:rsid w:val="00854970"/>
    <w:rsid w:val="00854A3C"/>
    <w:rsid w:val="00854CEF"/>
    <w:rsid w:val="00854FD2"/>
    <w:rsid w:val="00854FEA"/>
    <w:rsid w:val="00855020"/>
    <w:rsid w:val="00855073"/>
    <w:rsid w:val="0085511F"/>
    <w:rsid w:val="0085541E"/>
    <w:rsid w:val="0085548D"/>
    <w:rsid w:val="0085550D"/>
    <w:rsid w:val="008555C8"/>
    <w:rsid w:val="00855764"/>
    <w:rsid w:val="00855C4C"/>
    <w:rsid w:val="00855E8A"/>
    <w:rsid w:val="00855EA7"/>
    <w:rsid w:val="00855EAB"/>
    <w:rsid w:val="00856155"/>
    <w:rsid w:val="008563BE"/>
    <w:rsid w:val="00856473"/>
    <w:rsid w:val="008572A7"/>
    <w:rsid w:val="00857623"/>
    <w:rsid w:val="0085774B"/>
    <w:rsid w:val="00857C79"/>
    <w:rsid w:val="00857C96"/>
    <w:rsid w:val="00857EDA"/>
    <w:rsid w:val="00857F2B"/>
    <w:rsid w:val="008602B6"/>
    <w:rsid w:val="008612EC"/>
    <w:rsid w:val="00861A15"/>
    <w:rsid w:val="00861DD9"/>
    <w:rsid w:val="00862445"/>
    <w:rsid w:val="00862651"/>
    <w:rsid w:val="00862745"/>
    <w:rsid w:val="00862746"/>
    <w:rsid w:val="00862897"/>
    <w:rsid w:val="00862EE4"/>
    <w:rsid w:val="00863478"/>
    <w:rsid w:val="0086384F"/>
    <w:rsid w:val="0086398D"/>
    <w:rsid w:val="00863DD9"/>
    <w:rsid w:val="00863E8F"/>
    <w:rsid w:val="00863EAC"/>
    <w:rsid w:val="008641A2"/>
    <w:rsid w:val="00864328"/>
    <w:rsid w:val="0086432A"/>
    <w:rsid w:val="00864588"/>
    <w:rsid w:val="008645EB"/>
    <w:rsid w:val="00864709"/>
    <w:rsid w:val="00864798"/>
    <w:rsid w:val="008647CB"/>
    <w:rsid w:val="00864E55"/>
    <w:rsid w:val="00865000"/>
    <w:rsid w:val="00865149"/>
    <w:rsid w:val="0086579A"/>
    <w:rsid w:val="0086579B"/>
    <w:rsid w:val="00865AF3"/>
    <w:rsid w:val="00865D29"/>
    <w:rsid w:val="00865ECE"/>
    <w:rsid w:val="00865F82"/>
    <w:rsid w:val="008661D1"/>
    <w:rsid w:val="008664F8"/>
    <w:rsid w:val="00866877"/>
    <w:rsid w:val="00866CEC"/>
    <w:rsid w:val="00866D1C"/>
    <w:rsid w:val="00866F6C"/>
    <w:rsid w:val="008679AC"/>
    <w:rsid w:val="00867AB9"/>
    <w:rsid w:val="00867F11"/>
    <w:rsid w:val="00870236"/>
    <w:rsid w:val="00870342"/>
    <w:rsid w:val="00870680"/>
    <w:rsid w:val="008706A9"/>
    <w:rsid w:val="0087080E"/>
    <w:rsid w:val="008709EC"/>
    <w:rsid w:val="00870B2E"/>
    <w:rsid w:val="00870EB1"/>
    <w:rsid w:val="00870F68"/>
    <w:rsid w:val="008711E4"/>
    <w:rsid w:val="008716D6"/>
    <w:rsid w:val="00871854"/>
    <w:rsid w:val="00871A81"/>
    <w:rsid w:val="00871D58"/>
    <w:rsid w:val="0087210B"/>
    <w:rsid w:val="0087225D"/>
    <w:rsid w:val="0087241E"/>
    <w:rsid w:val="00872463"/>
    <w:rsid w:val="00872595"/>
    <w:rsid w:val="00872B53"/>
    <w:rsid w:val="00872C65"/>
    <w:rsid w:val="00872D4F"/>
    <w:rsid w:val="00872E97"/>
    <w:rsid w:val="00873172"/>
    <w:rsid w:val="008731D0"/>
    <w:rsid w:val="00873288"/>
    <w:rsid w:val="00873A91"/>
    <w:rsid w:val="00873D81"/>
    <w:rsid w:val="00874485"/>
    <w:rsid w:val="00874819"/>
    <w:rsid w:val="00874AB4"/>
    <w:rsid w:val="00874AEB"/>
    <w:rsid w:val="00874B37"/>
    <w:rsid w:val="00874B57"/>
    <w:rsid w:val="00874DAA"/>
    <w:rsid w:val="00874DE6"/>
    <w:rsid w:val="00874E01"/>
    <w:rsid w:val="00874EBD"/>
    <w:rsid w:val="00875046"/>
    <w:rsid w:val="00875299"/>
    <w:rsid w:val="008754A0"/>
    <w:rsid w:val="00875C0D"/>
    <w:rsid w:val="00875D25"/>
    <w:rsid w:val="00875D92"/>
    <w:rsid w:val="00875F0B"/>
    <w:rsid w:val="00876012"/>
    <w:rsid w:val="00876036"/>
    <w:rsid w:val="00876447"/>
    <w:rsid w:val="0087644C"/>
    <w:rsid w:val="008766CF"/>
    <w:rsid w:val="00876D1D"/>
    <w:rsid w:val="00876E6C"/>
    <w:rsid w:val="00877056"/>
    <w:rsid w:val="008770F7"/>
    <w:rsid w:val="00877920"/>
    <w:rsid w:val="00880936"/>
    <w:rsid w:val="00880FAC"/>
    <w:rsid w:val="00881270"/>
    <w:rsid w:val="00881481"/>
    <w:rsid w:val="008814B2"/>
    <w:rsid w:val="008817B6"/>
    <w:rsid w:val="00881CE3"/>
    <w:rsid w:val="00881E07"/>
    <w:rsid w:val="00882076"/>
    <w:rsid w:val="008821EC"/>
    <w:rsid w:val="00882783"/>
    <w:rsid w:val="00882B0F"/>
    <w:rsid w:val="00882E34"/>
    <w:rsid w:val="00882FEE"/>
    <w:rsid w:val="008830B4"/>
    <w:rsid w:val="00883158"/>
    <w:rsid w:val="0088323D"/>
    <w:rsid w:val="008836D6"/>
    <w:rsid w:val="00883764"/>
    <w:rsid w:val="008837B9"/>
    <w:rsid w:val="008839CD"/>
    <w:rsid w:val="00883C37"/>
    <w:rsid w:val="00883F78"/>
    <w:rsid w:val="008841A1"/>
    <w:rsid w:val="00884731"/>
    <w:rsid w:val="00884B18"/>
    <w:rsid w:val="00884B21"/>
    <w:rsid w:val="008853F3"/>
    <w:rsid w:val="00885891"/>
    <w:rsid w:val="00885A5E"/>
    <w:rsid w:val="00885E6C"/>
    <w:rsid w:val="00885FB3"/>
    <w:rsid w:val="0088625C"/>
    <w:rsid w:val="00886297"/>
    <w:rsid w:val="00886335"/>
    <w:rsid w:val="008864A6"/>
    <w:rsid w:val="008864E2"/>
    <w:rsid w:val="008867D7"/>
    <w:rsid w:val="00886A96"/>
    <w:rsid w:val="00886B5E"/>
    <w:rsid w:val="00887141"/>
    <w:rsid w:val="00887156"/>
    <w:rsid w:val="008875DB"/>
    <w:rsid w:val="008876E2"/>
    <w:rsid w:val="0088784A"/>
    <w:rsid w:val="00887870"/>
    <w:rsid w:val="008878FB"/>
    <w:rsid w:val="00887A95"/>
    <w:rsid w:val="00887B58"/>
    <w:rsid w:val="00890362"/>
    <w:rsid w:val="00890A61"/>
    <w:rsid w:val="00890D24"/>
    <w:rsid w:val="00890D3C"/>
    <w:rsid w:val="008910E4"/>
    <w:rsid w:val="008911AD"/>
    <w:rsid w:val="00891415"/>
    <w:rsid w:val="008914F5"/>
    <w:rsid w:val="008915E1"/>
    <w:rsid w:val="008919AD"/>
    <w:rsid w:val="00891B90"/>
    <w:rsid w:val="00891E06"/>
    <w:rsid w:val="00891E85"/>
    <w:rsid w:val="00892120"/>
    <w:rsid w:val="008921C7"/>
    <w:rsid w:val="0089227C"/>
    <w:rsid w:val="008923D7"/>
    <w:rsid w:val="00892525"/>
    <w:rsid w:val="00892573"/>
    <w:rsid w:val="008925E1"/>
    <w:rsid w:val="008927FB"/>
    <w:rsid w:val="00892C2F"/>
    <w:rsid w:val="00892D3F"/>
    <w:rsid w:val="008932A7"/>
    <w:rsid w:val="008939B5"/>
    <w:rsid w:val="00893EFD"/>
    <w:rsid w:val="0089412C"/>
    <w:rsid w:val="0089436F"/>
    <w:rsid w:val="00894BD6"/>
    <w:rsid w:val="00894D1E"/>
    <w:rsid w:val="00895101"/>
    <w:rsid w:val="0089516A"/>
    <w:rsid w:val="00895569"/>
    <w:rsid w:val="00895A7C"/>
    <w:rsid w:val="00896093"/>
    <w:rsid w:val="00896260"/>
    <w:rsid w:val="008965B7"/>
    <w:rsid w:val="008968E0"/>
    <w:rsid w:val="00896D2C"/>
    <w:rsid w:val="00896E88"/>
    <w:rsid w:val="00896F27"/>
    <w:rsid w:val="00897167"/>
    <w:rsid w:val="008974A3"/>
    <w:rsid w:val="008974D3"/>
    <w:rsid w:val="00897B0E"/>
    <w:rsid w:val="00897C9F"/>
    <w:rsid w:val="00897E59"/>
    <w:rsid w:val="00897F96"/>
    <w:rsid w:val="00897FBE"/>
    <w:rsid w:val="008A05EE"/>
    <w:rsid w:val="008A0D46"/>
    <w:rsid w:val="008A1282"/>
    <w:rsid w:val="008A13AD"/>
    <w:rsid w:val="008A16A5"/>
    <w:rsid w:val="008A16A8"/>
    <w:rsid w:val="008A1BF7"/>
    <w:rsid w:val="008A1E01"/>
    <w:rsid w:val="008A26A7"/>
    <w:rsid w:val="008A29C0"/>
    <w:rsid w:val="008A2A98"/>
    <w:rsid w:val="008A2E10"/>
    <w:rsid w:val="008A2E27"/>
    <w:rsid w:val="008A2E7C"/>
    <w:rsid w:val="008A2E7E"/>
    <w:rsid w:val="008A3089"/>
    <w:rsid w:val="008A31A3"/>
    <w:rsid w:val="008A3490"/>
    <w:rsid w:val="008A367E"/>
    <w:rsid w:val="008A37E2"/>
    <w:rsid w:val="008A39AC"/>
    <w:rsid w:val="008A3CE4"/>
    <w:rsid w:val="008A3FD9"/>
    <w:rsid w:val="008A40E9"/>
    <w:rsid w:val="008A411B"/>
    <w:rsid w:val="008A4263"/>
    <w:rsid w:val="008A43C9"/>
    <w:rsid w:val="008A44C2"/>
    <w:rsid w:val="008A4595"/>
    <w:rsid w:val="008A45C7"/>
    <w:rsid w:val="008A4814"/>
    <w:rsid w:val="008A496D"/>
    <w:rsid w:val="008A4CEC"/>
    <w:rsid w:val="008A4E7E"/>
    <w:rsid w:val="008A4E94"/>
    <w:rsid w:val="008A4EBF"/>
    <w:rsid w:val="008A4F41"/>
    <w:rsid w:val="008A4F70"/>
    <w:rsid w:val="008A5150"/>
    <w:rsid w:val="008A52FA"/>
    <w:rsid w:val="008A54B8"/>
    <w:rsid w:val="008A5513"/>
    <w:rsid w:val="008A5550"/>
    <w:rsid w:val="008A5629"/>
    <w:rsid w:val="008A5903"/>
    <w:rsid w:val="008A5A22"/>
    <w:rsid w:val="008A5AEF"/>
    <w:rsid w:val="008A5EA2"/>
    <w:rsid w:val="008A5F54"/>
    <w:rsid w:val="008A6176"/>
    <w:rsid w:val="008A6199"/>
    <w:rsid w:val="008A62FE"/>
    <w:rsid w:val="008A6645"/>
    <w:rsid w:val="008A673B"/>
    <w:rsid w:val="008A6795"/>
    <w:rsid w:val="008A68FC"/>
    <w:rsid w:val="008A6B65"/>
    <w:rsid w:val="008A70D5"/>
    <w:rsid w:val="008A7678"/>
    <w:rsid w:val="008A779C"/>
    <w:rsid w:val="008A7A8E"/>
    <w:rsid w:val="008A7BA5"/>
    <w:rsid w:val="008A7D69"/>
    <w:rsid w:val="008A7EAE"/>
    <w:rsid w:val="008B00DB"/>
    <w:rsid w:val="008B0341"/>
    <w:rsid w:val="008B0424"/>
    <w:rsid w:val="008B05EC"/>
    <w:rsid w:val="008B07F3"/>
    <w:rsid w:val="008B0C72"/>
    <w:rsid w:val="008B0DCE"/>
    <w:rsid w:val="008B112B"/>
    <w:rsid w:val="008B1235"/>
    <w:rsid w:val="008B1525"/>
    <w:rsid w:val="008B15DB"/>
    <w:rsid w:val="008B1749"/>
    <w:rsid w:val="008B1798"/>
    <w:rsid w:val="008B219D"/>
    <w:rsid w:val="008B223C"/>
    <w:rsid w:val="008B2277"/>
    <w:rsid w:val="008B26AA"/>
    <w:rsid w:val="008B2DBB"/>
    <w:rsid w:val="008B2E10"/>
    <w:rsid w:val="008B2E81"/>
    <w:rsid w:val="008B2FE0"/>
    <w:rsid w:val="008B317D"/>
    <w:rsid w:val="008B3251"/>
    <w:rsid w:val="008B343A"/>
    <w:rsid w:val="008B348C"/>
    <w:rsid w:val="008B3DD4"/>
    <w:rsid w:val="008B3F8D"/>
    <w:rsid w:val="008B40A6"/>
    <w:rsid w:val="008B41E6"/>
    <w:rsid w:val="008B4BDD"/>
    <w:rsid w:val="008B4C00"/>
    <w:rsid w:val="008B4F22"/>
    <w:rsid w:val="008B4F2E"/>
    <w:rsid w:val="008B518F"/>
    <w:rsid w:val="008B52C3"/>
    <w:rsid w:val="008B565E"/>
    <w:rsid w:val="008B56E5"/>
    <w:rsid w:val="008B5728"/>
    <w:rsid w:val="008B5A7E"/>
    <w:rsid w:val="008B5C0A"/>
    <w:rsid w:val="008B5C9D"/>
    <w:rsid w:val="008B5D0C"/>
    <w:rsid w:val="008B5E51"/>
    <w:rsid w:val="008B5E94"/>
    <w:rsid w:val="008B6581"/>
    <w:rsid w:val="008B6874"/>
    <w:rsid w:val="008B6C72"/>
    <w:rsid w:val="008B6C7E"/>
    <w:rsid w:val="008B6E8A"/>
    <w:rsid w:val="008B6F26"/>
    <w:rsid w:val="008B6FAD"/>
    <w:rsid w:val="008B75D9"/>
    <w:rsid w:val="008B79C9"/>
    <w:rsid w:val="008B7CC8"/>
    <w:rsid w:val="008B7D26"/>
    <w:rsid w:val="008B7E33"/>
    <w:rsid w:val="008B7FD6"/>
    <w:rsid w:val="008C00F5"/>
    <w:rsid w:val="008C0130"/>
    <w:rsid w:val="008C013E"/>
    <w:rsid w:val="008C0350"/>
    <w:rsid w:val="008C042D"/>
    <w:rsid w:val="008C0587"/>
    <w:rsid w:val="008C078B"/>
    <w:rsid w:val="008C09C6"/>
    <w:rsid w:val="008C0A8F"/>
    <w:rsid w:val="008C1074"/>
    <w:rsid w:val="008C10BB"/>
    <w:rsid w:val="008C17FF"/>
    <w:rsid w:val="008C1818"/>
    <w:rsid w:val="008C1B65"/>
    <w:rsid w:val="008C1EF1"/>
    <w:rsid w:val="008C200F"/>
    <w:rsid w:val="008C2077"/>
    <w:rsid w:val="008C2178"/>
    <w:rsid w:val="008C218B"/>
    <w:rsid w:val="008C223B"/>
    <w:rsid w:val="008C22FD"/>
    <w:rsid w:val="008C233C"/>
    <w:rsid w:val="008C24CF"/>
    <w:rsid w:val="008C26AF"/>
    <w:rsid w:val="008C26CE"/>
    <w:rsid w:val="008C2AFF"/>
    <w:rsid w:val="008C2B0A"/>
    <w:rsid w:val="008C2B9E"/>
    <w:rsid w:val="008C2EB8"/>
    <w:rsid w:val="008C2F11"/>
    <w:rsid w:val="008C2FE4"/>
    <w:rsid w:val="008C3147"/>
    <w:rsid w:val="008C339A"/>
    <w:rsid w:val="008C34E0"/>
    <w:rsid w:val="008C37BD"/>
    <w:rsid w:val="008C3963"/>
    <w:rsid w:val="008C3BED"/>
    <w:rsid w:val="008C3E30"/>
    <w:rsid w:val="008C3E72"/>
    <w:rsid w:val="008C4023"/>
    <w:rsid w:val="008C4464"/>
    <w:rsid w:val="008C47D1"/>
    <w:rsid w:val="008C47E7"/>
    <w:rsid w:val="008C4CFD"/>
    <w:rsid w:val="008C4D56"/>
    <w:rsid w:val="008C5047"/>
    <w:rsid w:val="008C506D"/>
    <w:rsid w:val="008C53F5"/>
    <w:rsid w:val="008C54B9"/>
    <w:rsid w:val="008C56F3"/>
    <w:rsid w:val="008C5A70"/>
    <w:rsid w:val="008C5BB7"/>
    <w:rsid w:val="008C5CBC"/>
    <w:rsid w:val="008C5D5F"/>
    <w:rsid w:val="008C611A"/>
    <w:rsid w:val="008C6293"/>
    <w:rsid w:val="008C6539"/>
    <w:rsid w:val="008C6612"/>
    <w:rsid w:val="008C672E"/>
    <w:rsid w:val="008C6755"/>
    <w:rsid w:val="008C6A94"/>
    <w:rsid w:val="008C6CEF"/>
    <w:rsid w:val="008C6E5F"/>
    <w:rsid w:val="008C6E68"/>
    <w:rsid w:val="008C7078"/>
    <w:rsid w:val="008C740E"/>
    <w:rsid w:val="008C76B4"/>
    <w:rsid w:val="008C7856"/>
    <w:rsid w:val="008C7C7D"/>
    <w:rsid w:val="008C7E4F"/>
    <w:rsid w:val="008C7FE6"/>
    <w:rsid w:val="008D01EC"/>
    <w:rsid w:val="008D0789"/>
    <w:rsid w:val="008D0856"/>
    <w:rsid w:val="008D0F45"/>
    <w:rsid w:val="008D127E"/>
    <w:rsid w:val="008D1571"/>
    <w:rsid w:val="008D187C"/>
    <w:rsid w:val="008D231C"/>
    <w:rsid w:val="008D23E4"/>
    <w:rsid w:val="008D249F"/>
    <w:rsid w:val="008D2B67"/>
    <w:rsid w:val="008D2C44"/>
    <w:rsid w:val="008D30C4"/>
    <w:rsid w:val="008D30DE"/>
    <w:rsid w:val="008D32CD"/>
    <w:rsid w:val="008D3603"/>
    <w:rsid w:val="008D3698"/>
    <w:rsid w:val="008D36F7"/>
    <w:rsid w:val="008D38F9"/>
    <w:rsid w:val="008D40EC"/>
    <w:rsid w:val="008D41E2"/>
    <w:rsid w:val="008D4613"/>
    <w:rsid w:val="008D4DC7"/>
    <w:rsid w:val="008D5385"/>
    <w:rsid w:val="008D54F9"/>
    <w:rsid w:val="008D561A"/>
    <w:rsid w:val="008D58E0"/>
    <w:rsid w:val="008D5BD1"/>
    <w:rsid w:val="008D5BE9"/>
    <w:rsid w:val="008D5CF6"/>
    <w:rsid w:val="008D5E13"/>
    <w:rsid w:val="008D5E9D"/>
    <w:rsid w:val="008D60DE"/>
    <w:rsid w:val="008D638C"/>
    <w:rsid w:val="008D6399"/>
    <w:rsid w:val="008D67C3"/>
    <w:rsid w:val="008D6AD5"/>
    <w:rsid w:val="008D6B28"/>
    <w:rsid w:val="008D6B2B"/>
    <w:rsid w:val="008D6BA7"/>
    <w:rsid w:val="008D6C1F"/>
    <w:rsid w:val="008D6EC4"/>
    <w:rsid w:val="008D7099"/>
    <w:rsid w:val="008D73BC"/>
    <w:rsid w:val="008D7485"/>
    <w:rsid w:val="008D7855"/>
    <w:rsid w:val="008D78BB"/>
    <w:rsid w:val="008D79D1"/>
    <w:rsid w:val="008D7A0F"/>
    <w:rsid w:val="008D7A1C"/>
    <w:rsid w:val="008D7A4B"/>
    <w:rsid w:val="008D7A9B"/>
    <w:rsid w:val="008E0413"/>
    <w:rsid w:val="008E06AB"/>
    <w:rsid w:val="008E08A7"/>
    <w:rsid w:val="008E0ACD"/>
    <w:rsid w:val="008E0C35"/>
    <w:rsid w:val="008E0EB1"/>
    <w:rsid w:val="008E122D"/>
    <w:rsid w:val="008E1C54"/>
    <w:rsid w:val="008E1CEB"/>
    <w:rsid w:val="008E1E7B"/>
    <w:rsid w:val="008E1F59"/>
    <w:rsid w:val="008E1FED"/>
    <w:rsid w:val="008E2144"/>
    <w:rsid w:val="008E2243"/>
    <w:rsid w:val="008E2295"/>
    <w:rsid w:val="008E25FF"/>
    <w:rsid w:val="008E2798"/>
    <w:rsid w:val="008E2BFA"/>
    <w:rsid w:val="008E2F5B"/>
    <w:rsid w:val="008E2FE0"/>
    <w:rsid w:val="008E3170"/>
    <w:rsid w:val="008E332D"/>
    <w:rsid w:val="008E34D5"/>
    <w:rsid w:val="008E39FE"/>
    <w:rsid w:val="008E3B6C"/>
    <w:rsid w:val="008E3C4F"/>
    <w:rsid w:val="008E3CD3"/>
    <w:rsid w:val="008E3E06"/>
    <w:rsid w:val="008E4582"/>
    <w:rsid w:val="008E467D"/>
    <w:rsid w:val="008E4706"/>
    <w:rsid w:val="008E4905"/>
    <w:rsid w:val="008E52DA"/>
    <w:rsid w:val="008E5A4B"/>
    <w:rsid w:val="008E5A59"/>
    <w:rsid w:val="008E5A7E"/>
    <w:rsid w:val="008E610A"/>
    <w:rsid w:val="008E6147"/>
    <w:rsid w:val="008E62F5"/>
    <w:rsid w:val="008E6672"/>
    <w:rsid w:val="008E6803"/>
    <w:rsid w:val="008E6902"/>
    <w:rsid w:val="008E6936"/>
    <w:rsid w:val="008E6A60"/>
    <w:rsid w:val="008E6A6B"/>
    <w:rsid w:val="008E6BCB"/>
    <w:rsid w:val="008E6C40"/>
    <w:rsid w:val="008E6DEC"/>
    <w:rsid w:val="008E6ECD"/>
    <w:rsid w:val="008E710F"/>
    <w:rsid w:val="008E731B"/>
    <w:rsid w:val="008E76AE"/>
    <w:rsid w:val="008E76BA"/>
    <w:rsid w:val="008E7B5C"/>
    <w:rsid w:val="008E7BC6"/>
    <w:rsid w:val="008F09B6"/>
    <w:rsid w:val="008F0B9D"/>
    <w:rsid w:val="008F0C24"/>
    <w:rsid w:val="008F0CE0"/>
    <w:rsid w:val="008F0E53"/>
    <w:rsid w:val="008F112B"/>
    <w:rsid w:val="008F140F"/>
    <w:rsid w:val="008F186A"/>
    <w:rsid w:val="008F1894"/>
    <w:rsid w:val="008F1D0E"/>
    <w:rsid w:val="008F214B"/>
    <w:rsid w:val="008F2163"/>
    <w:rsid w:val="008F2261"/>
    <w:rsid w:val="008F2453"/>
    <w:rsid w:val="008F2693"/>
    <w:rsid w:val="008F3024"/>
    <w:rsid w:val="008F371E"/>
    <w:rsid w:val="008F3A38"/>
    <w:rsid w:val="008F3C6C"/>
    <w:rsid w:val="008F3D60"/>
    <w:rsid w:val="008F4111"/>
    <w:rsid w:val="008F4535"/>
    <w:rsid w:val="008F4553"/>
    <w:rsid w:val="008F4DAA"/>
    <w:rsid w:val="008F4FDA"/>
    <w:rsid w:val="008F51DC"/>
    <w:rsid w:val="008F5290"/>
    <w:rsid w:val="008F5346"/>
    <w:rsid w:val="008F56AF"/>
    <w:rsid w:val="008F578A"/>
    <w:rsid w:val="008F5976"/>
    <w:rsid w:val="008F6027"/>
    <w:rsid w:val="008F6292"/>
    <w:rsid w:val="008F6706"/>
    <w:rsid w:val="008F6803"/>
    <w:rsid w:val="008F69E9"/>
    <w:rsid w:val="008F6C55"/>
    <w:rsid w:val="008F6E05"/>
    <w:rsid w:val="008F6E8A"/>
    <w:rsid w:val="008F6FE4"/>
    <w:rsid w:val="008F7087"/>
    <w:rsid w:val="008F7326"/>
    <w:rsid w:val="008F7887"/>
    <w:rsid w:val="008F7AD3"/>
    <w:rsid w:val="008F7DE7"/>
    <w:rsid w:val="008F7E2D"/>
    <w:rsid w:val="008F7E79"/>
    <w:rsid w:val="009002EE"/>
    <w:rsid w:val="00900737"/>
    <w:rsid w:val="00900816"/>
    <w:rsid w:val="00900923"/>
    <w:rsid w:val="00900A97"/>
    <w:rsid w:val="00900B0D"/>
    <w:rsid w:val="00900BDA"/>
    <w:rsid w:val="00900C43"/>
    <w:rsid w:val="00900D5B"/>
    <w:rsid w:val="00901062"/>
    <w:rsid w:val="0090106C"/>
    <w:rsid w:val="009014AE"/>
    <w:rsid w:val="0090198B"/>
    <w:rsid w:val="00901A94"/>
    <w:rsid w:val="00901D48"/>
    <w:rsid w:val="00902030"/>
    <w:rsid w:val="009021EB"/>
    <w:rsid w:val="00902221"/>
    <w:rsid w:val="00902556"/>
    <w:rsid w:val="00902601"/>
    <w:rsid w:val="0090279F"/>
    <w:rsid w:val="009027F7"/>
    <w:rsid w:val="0090282A"/>
    <w:rsid w:val="00902C19"/>
    <w:rsid w:val="00902D96"/>
    <w:rsid w:val="00902FF9"/>
    <w:rsid w:val="00903160"/>
    <w:rsid w:val="00903186"/>
    <w:rsid w:val="0090322E"/>
    <w:rsid w:val="0090328B"/>
    <w:rsid w:val="009032C4"/>
    <w:rsid w:val="009036B5"/>
    <w:rsid w:val="00903AEA"/>
    <w:rsid w:val="00903C40"/>
    <w:rsid w:val="00903C60"/>
    <w:rsid w:val="009040CB"/>
    <w:rsid w:val="009046D8"/>
    <w:rsid w:val="0090499A"/>
    <w:rsid w:val="00904A97"/>
    <w:rsid w:val="00904E8D"/>
    <w:rsid w:val="00904EA9"/>
    <w:rsid w:val="00904FCA"/>
    <w:rsid w:val="0090568E"/>
    <w:rsid w:val="00905743"/>
    <w:rsid w:val="0090578D"/>
    <w:rsid w:val="009058B1"/>
    <w:rsid w:val="00905AE5"/>
    <w:rsid w:val="00905AF5"/>
    <w:rsid w:val="00905B53"/>
    <w:rsid w:val="00905ED7"/>
    <w:rsid w:val="00906170"/>
    <w:rsid w:val="009066EA"/>
    <w:rsid w:val="0090686D"/>
    <w:rsid w:val="00906951"/>
    <w:rsid w:val="00906A5E"/>
    <w:rsid w:val="00906B8C"/>
    <w:rsid w:val="00906BC3"/>
    <w:rsid w:val="00907240"/>
    <w:rsid w:val="00907359"/>
    <w:rsid w:val="009074BC"/>
    <w:rsid w:val="009074EB"/>
    <w:rsid w:val="00907514"/>
    <w:rsid w:val="00907F73"/>
    <w:rsid w:val="00907FA4"/>
    <w:rsid w:val="00910087"/>
    <w:rsid w:val="009100B9"/>
    <w:rsid w:val="00910240"/>
    <w:rsid w:val="00910525"/>
    <w:rsid w:val="009105A6"/>
    <w:rsid w:val="009106CA"/>
    <w:rsid w:val="00910750"/>
    <w:rsid w:val="00910871"/>
    <w:rsid w:val="00910D8D"/>
    <w:rsid w:val="0091106E"/>
    <w:rsid w:val="00911545"/>
    <w:rsid w:val="00911A10"/>
    <w:rsid w:val="00911A1B"/>
    <w:rsid w:val="00911B43"/>
    <w:rsid w:val="00911F60"/>
    <w:rsid w:val="009122A4"/>
    <w:rsid w:val="00912610"/>
    <w:rsid w:val="00912794"/>
    <w:rsid w:val="00912855"/>
    <w:rsid w:val="00912F64"/>
    <w:rsid w:val="0091305A"/>
    <w:rsid w:val="00913B3C"/>
    <w:rsid w:val="00913E14"/>
    <w:rsid w:val="00913E3D"/>
    <w:rsid w:val="009144D0"/>
    <w:rsid w:val="0091462E"/>
    <w:rsid w:val="009146BF"/>
    <w:rsid w:val="009147AF"/>
    <w:rsid w:val="00914921"/>
    <w:rsid w:val="00914F88"/>
    <w:rsid w:val="009150C2"/>
    <w:rsid w:val="00915100"/>
    <w:rsid w:val="00915335"/>
    <w:rsid w:val="009158D7"/>
    <w:rsid w:val="009159E8"/>
    <w:rsid w:val="00915FE8"/>
    <w:rsid w:val="0091605E"/>
    <w:rsid w:val="009162BF"/>
    <w:rsid w:val="00916355"/>
    <w:rsid w:val="009164AE"/>
    <w:rsid w:val="00916594"/>
    <w:rsid w:val="0091666F"/>
    <w:rsid w:val="00916721"/>
    <w:rsid w:val="009168A4"/>
    <w:rsid w:val="00916A8F"/>
    <w:rsid w:val="00916ADD"/>
    <w:rsid w:val="00917C4D"/>
    <w:rsid w:val="00917CFD"/>
    <w:rsid w:val="00917D0E"/>
    <w:rsid w:val="00917DBF"/>
    <w:rsid w:val="00917EC1"/>
    <w:rsid w:val="00917F45"/>
    <w:rsid w:val="00920133"/>
    <w:rsid w:val="009203F9"/>
    <w:rsid w:val="00920CE8"/>
    <w:rsid w:val="009211D5"/>
    <w:rsid w:val="009214FF"/>
    <w:rsid w:val="0092151A"/>
    <w:rsid w:val="009215C7"/>
    <w:rsid w:val="0092188C"/>
    <w:rsid w:val="00921BE4"/>
    <w:rsid w:val="00921C99"/>
    <w:rsid w:val="00921FDC"/>
    <w:rsid w:val="00922613"/>
    <w:rsid w:val="00922926"/>
    <w:rsid w:val="00922B6D"/>
    <w:rsid w:val="00922CBE"/>
    <w:rsid w:val="00922CF8"/>
    <w:rsid w:val="00922D4E"/>
    <w:rsid w:val="00922D93"/>
    <w:rsid w:val="00922F90"/>
    <w:rsid w:val="00923050"/>
    <w:rsid w:val="00923054"/>
    <w:rsid w:val="009230CE"/>
    <w:rsid w:val="009237A7"/>
    <w:rsid w:val="00923B8C"/>
    <w:rsid w:val="00924112"/>
    <w:rsid w:val="009241BD"/>
    <w:rsid w:val="0092444E"/>
    <w:rsid w:val="0092447B"/>
    <w:rsid w:val="009249A8"/>
    <w:rsid w:val="009249E1"/>
    <w:rsid w:val="00924EAE"/>
    <w:rsid w:val="00925265"/>
    <w:rsid w:val="00925319"/>
    <w:rsid w:val="00925729"/>
    <w:rsid w:val="00925807"/>
    <w:rsid w:val="00925A75"/>
    <w:rsid w:val="0092650E"/>
    <w:rsid w:val="009265A2"/>
    <w:rsid w:val="009265C5"/>
    <w:rsid w:val="00926622"/>
    <w:rsid w:val="0092666A"/>
    <w:rsid w:val="009268B0"/>
    <w:rsid w:val="00926B6C"/>
    <w:rsid w:val="00926EFB"/>
    <w:rsid w:val="0092717A"/>
    <w:rsid w:val="0092722C"/>
    <w:rsid w:val="009273FF"/>
    <w:rsid w:val="009275B2"/>
    <w:rsid w:val="00927945"/>
    <w:rsid w:val="00927B94"/>
    <w:rsid w:val="00927E8E"/>
    <w:rsid w:val="00930351"/>
    <w:rsid w:val="00930629"/>
    <w:rsid w:val="00930AF7"/>
    <w:rsid w:val="00930B30"/>
    <w:rsid w:val="00930BB5"/>
    <w:rsid w:val="00930BD0"/>
    <w:rsid w:val="00930F53"/>
    <w:rsid w:val="00930F74"/>
    <w:rsid w:val="00931172"/>
    <w:rsid w:val="00931243"/>
    <w:rsid w:val="009316F6"/>
    <w:rsid w:val="009318C7"/>
    <w:rsid w:val="00931C55"/>
    <w:rsid w:val="00931D11"/>
    <w:rsid w:val="00931D63"/>
    <w:rsid w:val="009324C2"/>
    <w:rsid w:val="00932B2A"/>
    <w:rsid w:val="0093303D"/>
    <w:rsid w:val="009333C4"/>
    <w:rsid w:val="00933486"/>
    <w:rsid w:val="00933916"/>
    <w:rsid w:val="009339DD"/>
    <w:rsid w:val="00933BB8"/>
    <w:rsid w:val="00933D0A"/>
    <w:rsid w:val="009344BC"/>
    <w:rsid w:val="00934631"/>
    <w:rsid w:val="0093464C"/>
    <w:rsid w:val="00934712"/>
    <w:rsid w:val="00934845"/>
    <w:rsid w:val="00934872"/>
    <w:rsid w:val="009349E8"/>
    <w:rsid w:val="00934A5D"/>
    <w:rsid w:val="00934CB2"/>
    <w:rsid w:val="00934E5D"/>
    <w:rsid w:val="00935554"/>
    <w:rsid w:val="0093558B"/>
    <w:rsid w:val="009356EC"/>
    <w:rsid w:val="00935EDD"/>
    <w:rsid w:val="0093605D"/>
    <w:rsid w:val="009366F2"/>
    <w:rsid w:val="00936857"/>
    <w:rsid w:val="00936B0F"/>
    <w:rsid w:val="00936B74"/>
    <w:rsid w:val="00936BAD"/>
    <w:rsid w:val="00936C31"/>
    <w:rsid w:val="00937053"/>
    <w:rsid w:val="009371E7"/>
    <w:rsid w:val="00937AB3"/>
    <w:rsid w:val="00937C6B"/>
    <w:rsid w:val="00937E2C"/>
    <w:rsid w:val="00937EAC"/>
    <w:rsid w:val="00937F5A"/>
    <w:rsid w:val="009406DD"/>
    <w:rsid w:val="009408B2"/>
    <w:rsid w:val="0094093F"/>
    <w:rsid w:val="00940ADD"/>
    <w:rsid w:val="00940AE2"/>
    <w:rsid w:val="00940B29"/>
    <w:rsid w:val="00941069"/>
    <w:rsid w:val="009410BA"/>
    <w:rsid w:val="009410DA"/>
    <w:rsid w:val="00941337"/>
    <w:rsid w:val="00941689"/>
    <w:rsid w:val="0094168A"/>
    <w:rsid w:val="00941846"/>
    <w:rsid w:val="00941988"/>
    <w:rsid w:val="00941BBA"/>
    <w:rsid w:val="00941D7B"/>
    <w:rsid w:val="00941E14"/>
    <w:rsid w:val="009421C2"/>
    <w:rsid w:val="009421F8"/>
    <w:rsid w:val="009425EF"/>
    <w:rsid w:val="00942685"/>
    <w:rsid w:val="009428A5"/>
    <w:rsid w:val="009428EC"/>
    <w:rsid w:val="00942947"/>
    <w:rsid w:val="00942AC0"/>
    <w:rsid w:val="00942BDC"/>
    <w:rsid w:val="00942D18"/>
    <w:rsid w:val="00942D63"/>
    <w:rsid w:val="009435BD"/>
    <w:rsid w:val="00943A70"/>
    <w:rsid w:val="00943BDE"/>
    <w:rsid w:val="00943C2C"/>
    <w:rsid w:val="00943C9A"/>
    <w:rsid w:val="00944139"/>
    <w:rsid w:val="009443EE"/>
    <w:rsid w:val="00944984"/>
    <w:rsid w:val="009449FB"/>
    <w:rsid w:val="00944E36"/>
    <w:rsid w:val="009450FA"/>
    <w:rsid w:val="00945190"/>
    <w:rsid w:val="00945657"/>
    <w:rsid w:val="0094570C"/>
    <w:rsid w:val="00945739"/>
    <w:rsid w:val="00945783"/>
    <w:rsid w:val="00945BCD"/>
    <w:rsid w:val="00945BEB"/>
    <w:rsid w:val="00945D76"/>
    <w:rsid w:val="00945D9C"/>
    <w:rsid w:val="00945F32"/>
    <w:rsid w:val="00946490"/>
    <w:rsid w:val="00946546"/>
    <w:rsid w:val="00946668"/>
    <w:rsid w:val="00946669"/>
    <w:rsid w:val="00946954"/>
    <w:rsid w:val="00946A50"/>
    <w:rsid w:val="00947078"/>
    <w:rsid w:val="00947163"/>
    <w:rsid w:val="0094725C"/>
    <w:rsid w:val="00947347"/>
    <w:rsid w:val="00947355"/>
    <w:rsid w:val="009475F3"/>
    <w:rsid w:val="00947D41"/>
    <w:rsid w:val="009500D0"/>
    <w:rsid w:val="00950163"/>
    <w:rsid w:val="00950248"/>
    <w:rsid w:val="00950287"/>
    <w:rsid w:val="00950457"/>
    <w:rsid w:val="009505A1"/>
    <w:rsid w:val="00950899"/>
    <w:rsid w:val="0095093A"/>
    <w:rsid w:val="0095093E"/>
    <w:rsid w:val="00950A21"/>
    <w:rsid w:val="00950C60"/>
    <w:rsid w:val="00950DBE"/>
    <w:rsid w:val="00950DE2"/>
    <w:rsid w:val="00950F1C"/>
    <w:rsid w:val="00950F9A"/>
    <w:rsid w:val="00951888"/>
    <w:rsid w:val="00951896"/>
    <w:rsid w:val="00951E33"/>
    <w:rsid w:val="0095218C"/>
    <w:rsid w:val="00952670"/>
    <w:rsid w:val="00952689"/>
    <w:rsid w:val="0095273E"/>
    <w:rsid w:val="00952992"/>
    <w:rsid w:val="00952996"/>
    <w:rsid w:val="00952AFD"/>
    <w:rsid w:val="00952CBD"/>
    <w:rsid w:val="00952FA2"/>
    <w:rsid w:val="009534C7"/>
    <w:rsid w:val="0095355D"/>
    <w:rsid w:val="0095392F"/>
    <w:rsid w:val="009539C3"/>
    <w:rsid w:val="00953A20"/>
    <w:rsid w:val="00953D0F"/>
    <w:rsid w:val="00953DE7"/>
    <w:rsid w:val="00953EA2"/>
    <w:rsid w:val="00953F85"/>
    <w:rsid w:val="00953FDC"/>
    <w:rsid w:val="009540E9"/>
    <w:rsid w:val="009541AF"/>
    <w:rsid w:val="00954320"/>
    <w:rsid w:val="0095433D"/>
    <w:rsid w:val="00954425"/>
    <w:rsid w:val="009546D8"/>
    <w:rsid w:val="009549D9"/>
    <w:rsid w:val="00954E05"/>
    <w:rsid w:val="00954EE1"/>
    <w:rsid w:val="0095504E"/>
    <w:rsid w:val="00955082"/>
    <w:rsid w:val="009553F3"/>
    <w:rsid w:val="00955566"/>
    <w:rsid w:val="0095596C"/>
    <w:rsid w:val="00955AB1"/>
    <w:rsid w:val="00955B1F"/>
    <w:rsid w:val="00956016"/>
    <w:rsid w:val="00956166"/>
    <w:rsid w:val="009561CB"/>
    <w:rsid w:val="009563CF"/>
    <w:rsid w:val="0095651F"/>
    <w:rsid w:val="00956ABF"/>
    <w:rsid w:val="00956BC0"/>
    <w:rsid w:val="00956D5A"/>
    <w:rsid w:val="00956D75"/>
    <w:rsid w:val="00956DCC"/>
    <w:rsid w:val="00956EAC"/>
    <w:rsid w:val="009570BB"/>
    <w:rsid w:val="00957231"/>
    <w:rsid w:val="00957268"/>
    <w:rsid w:val="00957354"/>
    <w:rsid w:val="00957569"/>
    <w:rsid w:val="0095763E"/>
    <w:rsid w:val="0095782D"/>
    <w:rsid w:val="00957B9F"/>
    <w:rsid w:val="00957D96"/>
    <w:rsid w:val="00957DB0"/>
    <w:rsid w:val="00957E11"/>
    <w:rsid w:val="00957E93"/>
    <w:rsid w:val="00960161"/>
    <w:rsid w:val="00960174"/>
    <w:rsid w:val="00960518"/>
    <w:rsid w:val="0096056E"/>
    <w:rsid w:val="0096076F"/>
    <w:rsid w:val="00960772"/>
    <w:rsid w:val="00960B7A"/>
    <w:rsid w:val="00960F50"/>
    <w:rsid w:val="00961072"/>
    <w:rsid w:val="009610C7"/>
    <w:rsid w:val="009613EA"/>
    <w:rsid w:val="009614B7"/>
    <w:rsid w:val="009615FD"/>
    <w:rsid w:val="00961B12"/>
    <w:rsid w:val="00961E6D"/>
    <w:rsid w:val="00961E8E"/>
    <w:rsid w:val="00961F62"/>
    <w:rsid w:val="0096216D"/>
    <w:rsid w:val="009622CD"/>
    <w:rsid w:val="009624E3"/>
    <w:rsid w:val="00962588"/>
    <w:rsid w:val="00962AB1"/>
    <w:rsid w:val="00962B30"/>
    <w:rsid w:val="00962C42"/>
    <w:rsid w:val="0096301E"/>
    <w:rsid w:val="00963247"/>
    <w:rsid w:val="009633D9"/>
    <w:rsid w:val="0096352B"/>
    <w:rsid w:val="00963673"/>
    <w:rsid w:val="00963716"/>
    <w:rsid w:val="00963BBA"/>
    <w:rsid w:val="00963F59"/>
    <w:rsid w:val="00964251"/>
    <w:rsid w:val="0096441A"/>
    <w:rsid w:val="00964C3B"/>
    <w:rsid w:val="00965180"/>
    <w:rsid w:val="00965390"/>
    <w:rsid w:val="00965BE1"/>
    <w:rsid w:val="00965D2F"/>
    <w:rsid w:val="00965EE3"/>
    <w:rsid w:val="0096646B"/>
    <w:rsid w:val="009669CD"/>
    <w:rsid w:val="00966A36"/>
    <w:rsid w:val="00966B28"/>
    <w:rsid w:val="00966EAE"/>
    <w:rsid w:val="0096730B"/>
    <w:rsid w:val="0096768C"/>
    <w:rsid w:val="0096788F"/>
    <w:rsid w:val="00967ADE"/>
    <w:rsid w:val="00967C4A"/>
    <w:rsid w:val="00967C91"/>
    <w:rsid w:val="00967DDF"/>
    <w:rsid w:val="00967EC5"/>
    <w:rsid w:val="00967F2A"/>
    <w:rsid w:val="00970123"/>
    <w:rsid w:val="00970453"/>
    <w:rsid w:val="00970481"/>
    <w:rsid w:val="009708D0"/>
    <w:rsid w:val="00970AA1"/>
    <w:rsid w:val="00970AE2"/>
    <w:rsid w:val="00971055"/>
    <w:rsid w:val="00971267"/>
    <w:rsid w:val="009712A9"/>
    <w:rsid w:val="009712F6"/>
    <w:rsid w:val="0097158D"/>
    <w:rsid w:val="00971650"/>
    <w:rsid w:val="009719C2"/>
    <w:rsid w:val="00972144"/>
    <w:rsid w:val="00972388"/>
    <w:rsid w:val="00972618"/>
    <w:rsid w:val="00972C4C"/>
    <w:rsid w:val="00972D40"/>
    <w:rsid w:val="00972D9F"/>
    <w:rsid w:val="00972ED3"/>
    <w:rsid w:val="00973500"/>
    <w:rsid w:val="0097373F"/>
    <w:rsid w:val="009745EC"/>
    <w:rsid w:val="00974E84"/>
    <w:rsid w:val="0097539F"/>
    <w:rsid w:val="00975424"/>
    <w:rsid w:val="00975605"/>
    <w:rsid w:val="00975B4C"/>
    <w:rsid w:val="009760F9"/>
    <w:rsid w:val="009761A3"/>
    <w:rsid w:val="00976255"/>
    <w:rsid w:val="0097668E"/>
    <w:rsid w:val="0097699D"/>
    <w:rsid w:val="00976CDD"/>
    <w:rsid w:val="009770E8"/>
    <w:rsid w:val="009772B7"/>
    <w:rsid w:val="00977683"/>
    <w:rsid w:val="009777D9"/>
    <w:rsid w:val="009779CC"/>
    <w:rsid w:val="00977A37"/>
    <w:rsid w:val="00977A66"/>
    <w:rsid w:val="00977D02"/>
    <w:rsid w:val="00977DDF"/>
    <w:rsid w:val="00977DFB"/>
    <w:rsid w:val="00977F66"/>
    <w:rsid w:val="009800E8"/>
    <w:rsid w:val="0098060F"/>
    <w:rsid w:val="00980757"/>
    <w:rsid w:val="00980778"/>
    <w:rsid w:val="009808E7"/>
    <w:rsid w:val="00980965"/>
    <w:rsid w:val="00980D39"/>
    <w:rsid w:val="00980F93"/>
    <w:rsid w:val="00981048"/>
    <w:rsid w:val="0098157C"/>
    <w:rsid w:val="009815D9"/>
    <w:rsid w:val="00981698"/>
    <w:rsid w:val="009817DC"/>
    <w:rsid w:val="00981B3C"/>
    <w:rsid w:val="00981D30"/>
    <w:rsid w:val="009822DB"/>
    <w:rsid w:val="00982604"/>
    <w:rsid w:val="00982621"/>
    <w:rsid w:val="00982838"/>
    <w:rsid w:val="00982947"/>
    <w:rsid w:val="00982AA6"/>
    <w:rsid w:val="00982E80"/>
    <w:rsid w:val="009830F0"/>
    <w:rsid w:val="009832AD"/>
    <w:rsid w:val="009833AD"/>
    <w:rsid w:val="009834E4"/>
    <w:rsid w:val="0098380F"/>
    <w:rsid w:val="00984395"/>
    <w:rsid w:val="009844B3"/>
    <w:rsid w:val="00984A8B"/>
    <w:rsid w:val="00984ACA"/>
    <w:rsid w:val="00984B23"/>
    <w:rsid w:val="00985555"/>
    <w:rsid w:val="009855C9"/>
    <w:rsid w:val="00985852"/>
    <w:rsid w:val="00985AFE"/>
    <w:rsid w:val="00985B5E"/>
    <w:rsid w:val="00985C57"/>
    <w:rsid w:val="00985E51"/>
    <w:rsid w:val="00985F1C"/>
    <w:rsid w:val="00986769"/>
    <w:rsid w:val="00986913"/>
    <w:rsid w:val="00986B61"/>
    <w:rsid w:val="00986CF3"/>
    <w:rsid w:val="00986CF7"/>
    <w:rsid w:val="0098705B"/>
    <w:rsid w:val="009871DC"/>
    <w:rsid w:val="00987842"/>
    <w:rsid w:val="00987B02"/>
    <w:rsid w:val="00987D51"/>
    <w:rsid w:val="00987DB6"/>
    <w:rsid w:val="009905BD"/>
    <w:rsid w:val="0099089C"/>
    <w:rsid w:val="009908EC"/>
    <w:rsid w:val="009910C1"/>
    <w:rsid w:val="00991402"/>
    <w:rsid w:val="009916C1"/>
    <w:rsid w:val="0099186E"/>
    <w:rsid w:val="00991A5F"/>
    <w:rsid w:val="00991C17"/>
    <w:rsid w:val="00991FB8"/>
    <w:rsid w:val="00991FD0"/>
    <w:rsid w:val="0099226D"/>
    <w:rsid w:val="0099261D"/>
    <w:rsid w:val="00992932"/>
    <w:rsid w:val="00992FCD"/>
    <w:rsid w:val="00993266"/>
    <w:rsid w:val="00993E04"/>
    <w:rsid w:val="00994001"/>
    <w:rsid w:val="009940A7"/>
    <w:rsid w:val="00994AC3"/>
    <w:rsid w:val="00994AF8"/>
    <w:rsid w:val="009956EA"/>
    <w:rsid w:val="009959A3"/>
    <w:rsid w:val="00995B87"/>
    <w:rsid w:val="00995BB3"/>
    <w:rsid w:val="00995F8E"/>
    <w:rsid w:val="00996094"/>
    <w:rsid w:val="00996103"/>
    <w:rsid w:val="009963CE"/>
    <w:rsid w:val="009964B5"/>
    <w:rsid w:val="009968F8"/>
    <w:rsid w:val="009968F9"/>
    <w:rsid w:val="00996C43"/>
    <w:rsid w:val="00996CE7"/>
    <w:rsid w:val="00996D0C"/>
    <w:rsid w:val="009974CD"/>
    <w:rsid w:val="00997C42"/>
    <w:rsid w:val="00997C44"/>
    <w:rsid w:val="00997CFE"/>
    <w:rsid w:val="00997D3E"/>
    <w:rsid w:val="00997D72"/>
    <w:rsid w:val="00997ECA"/>
    <w:rsid w:val="00997F22"/>
    <w:rsid w:val="00997F55"/>
    <w:rsid w:val="009A006B"/>
    <w:rsid w:val="009A028E"/>
    <w:rsid w:val="009A04F6"/>
    <w:rsid w:val="009A09CF"/>
    <w:rsid w:val="009A0DBD"/>
    <w:rsid w:val="009A1014"/>
    <w:rsid w:val="009A10D8"/>
    <w:rsid w:val="009A14CC"/>
    <w:rsid w:val="009A15AA"/>
    <w:rsid w:val="009A163C"/>
    <w:rsid w:val="009A1C1E"/>
    <w:rsid w:val="009A1CD2"/>
    <w:rsid w:val="009A20C0"/>
    <w:rsid w:val="009A22E3"/>
    <w:rsid w:val="009A27E2"/>
    <w:rsid w:val="009A306A"/>
    <w:rsid w:val="009A3492"/>
    <w:rsid w:val="009A34C9"/>
    <w:rsid w:val="009A35AF"/>
    <w:rsid w:val="009A3889"/>
    <w:rsid w:val="009A3B49"/>
    <w:rsid w:val="009A3BEC"/>
    <w:rsid w:val="009A48FB"/>
    <w:rsid w:val="009A4B14"/>
    <w:rsid w:val="009A4C26"/>
    <w:rsid w:val="009A4DB9"/>
    <w:rsid w:val="009A535B"/>
    <w:rsid w:val="009A5532"/>
    <w:rsid w:val="009A556A"/>
    <w:rsid w:val="009A58BA"/>
    <w:rsid w:val="009A5BE7"/>
    <w:rsid w:val="009A5C19"/>
    <w:rsid w:val="009A5CB8"/>
    <w:rsid w:val="009A6032"/>
    <w:rsid w:val="009A643D"/>
    <w:rsid w:val="009A6467"/>
    <w:rsid w:val="009A67CE"/>
    <w:rsid w:val="009A72C1"/>
    <w:rsid w:val="009A7946"/>
    <w:rsid w:val="009A7A4A"/>
    <w:rsid w:val="009A7A74"/>
    <w:rsid w:val="009A7CBA"/>
    <w:rsid w:val="009A7D6A"/>
    <w:rsid w:val="009A7F65"/>
    <w:rsid w:val="009B019F"/>
    <w:rsid w:val="009B0246"/>
    <w:rsid w:val="009B0582"/>
    <w:rsid w:val="009B05C1"/>
    <w:rsid w:val="009B085E"/>
    <w:rsid w:val="009B09A4"/>
    <w:rsid w:val="009B0C32"/>
    <w:rsid w:val="009B10B1"/>
    <w:rsid w:val="009B1359"/>
    <w:rsid w:val="009B19D1"/>
    <w:rsid w:val="009B1C1E"/>
    <w:rsid w:val="009B2123"/>
    <w:rsid w:val="009B25F5"/>
    <w:rsid w:val="009B279B"/>
    <w:rsid w:val="009B2886"/>
    <w:rsid w:val="009B3050"/>
    <w:rsid w:val="009B319E"/>
    <w:rsid w:val="009B3326"/>
    <w:rsid w:val="009B3391"/>
    <w:rsid w:val="009B33F8"/>
    <w:rsid w:val="009B3571"/>
    <w:rsid w:val="009B3838"/>
    <w:rsid w:val="009B38BE"/>
    <w:rsid w:val="009B3DFC"/>
    <w:rsid w:val="009B3E44"/>
    <w:rsid w:val="009B3ECA"/>
    <w:rsid w:val="009B3FED"/>
    <w:rsid w:val="009B4279"/>
    <w:rsid w:val="009B43DE"/>
    <w:rsid w:val="009B48F1"/>
    <w:rsid w:val="009B49E4"/>
    <w:rsid w:val="009B4B7F"/>
    <w:rsid w:val="009B4BC5"/>
    <w:rsid w:val="009B4C01"/>
    <w:rsid w:val="009B4D81"/>
    <w:rsid w:val="009B4E83"/>
    <w:rsid w:val="009B583F"/>
    <w:rsid w:val="009B5AB0"/>
    <w:rsid w:val="009B5C1F"/>
    <w:rsid w:val="009B5CB2"/>
    <w:rsid w:val="009B5DEB"/>
    <w:rsid w:val="009B5E7A"/>
    <w:rsid w:val="009B5FDB"/>
    <w:rsid w:val="009B61AF"/>
    <w:rsid w:val="009B6536"/>
    <w:rsid w:val="009B6A00"/>
    <w:rsid w:val="009B6C0D"/>
    <w:rsid w:val="009B6D2E"/>
    <w:rsid w:val="009B6E98"/>
    <w:rsid w:val="009B6F8A"/>
    <w:rsid w:val="009B7002"/>
    <w:rsid w:val="009B7144"/>
    <w:rsid w:val="009B759E"/>
    <w:rsid w:val="009B7634"/>
    <w:rsid w:val="009B78FF"/>
    <w:rsid w:val="009B7E64"/>
    <w:rsid w:val="009C02BF"/>
    <w:rsid w:val="009C05B7"/>
    <w:rsid w:val="009C1180"/>
    <w:rsid w:val="009C1335"/>
    <w:rsid w:val="009C15C8"/>
    <w:rsid w:val="009C15F6"/>
    <w:rsid w:val="009C174C"/>
    <w:rsid w:val="009C17DE"/>
    <w:rsid w:val="009C1840"/>
    <w:rsid w:val="009C1904"/>
    <w:rsid w:val="009C196D"/>
    <w:rsid w:val="009C1CE5"/>
    <w:rsid w:val="009C2537"/>
    <w:rsid w:val="009C2847"/>
    <w:rsid w:val="009C2BB2"/>
    <w:rsid w:val="009C2E64"/>
    <w:rsid w:val="009C2ECF"/>
    <w:rsid w:val="009C2ED1"/>
    <w:rsid w:val="009C3565"/>
    <w:rsid w:val="009C3734"/>
    <w:rsid w:val="009C3870"/>
    <w:rsid w:val="009C3D44"/>
    <w:rsid w:val="009C3EF1"/>
    <w:rsid w:val="009C3F47"/>
    <w:rsid w:val="009C40E4"/>
    <w:rsid w:val="009C4217"/>
    <w:rsid w:val="009C4277"/>
    <w:rsid w:val="009C4538"/>
    <w:rsid w:val="009C45A7"/>
    <w:rsid w:val="009C46D9"/>
    <w:rsid w:val="009C46E4"/>
    <w:rsid w:val="009C4A87"/>
    <w:rsid w:val="009C4AA3"/>
    <w:rsid w:val="009C4C0C"/>
    <w:rsid w:val="009C4E26"/>
    <w:rsid w:val="009C533F"/>
    <w:rsid w:val="009C54F5"/>
    <w:rsid w:val="009C558D"/>
    <w:rsid w:val="009C560A"/>
    <w:rsid w:val="009C5774"/>
    <w:rsid w:val="009C5D11"/>
    <w:rsid w:val="009C5E1E"/>
    <w:rsid w:val="009C65AA"/>
    <w:rsid w:val="009C6870"/>
    <w:rsid w:val="009C6DEB"/>
    <w:rsid w:val="009C6FDA"/>
    <w:rsid w:val="009C7264"/>
    <w:rsid w:val="009C7473"/>
    <w:rsid w:val="009C74F4"/>
    <w:rsid w:val="009C79F0"/>
    <w:rsid w:val="009C7D9B"/>
    <w:rsid w:val="009D0131"/>
    <w:rsid w:val="009D01C0"/>
    <w:rsid w:val="009D0286"/>
    <w:rsid w:val="009D03C8"/>
    <w:rsid w:val="009D09C3"/>
    <w:rsid w:val="009D0A6A"/>
    <w:rsid w:val="009D0A7F"/>
    <w:rsid w:val="009D0B81"/>
    <w:rsid w:val="009D0F35"/>
    <w:rsid w:val="009D1033"/>
    <w:rsid w:val="009D134C"/>
    <w:rsid w:val="009D142E"/>
    <w:rsid w:val="009D17CA"/>
    <w:rsid w:val="009D17FF"/>
    <w:rsid w:val="009D1951"/>
    <w:rsid w:val="009D1AA0"/>
    <w:rsid w:val="009D1CB7"/>
    <w:rsid w:val="009D1CF8"/>
    <w:rsid w:val="009D1E39"/>
    <w:rsid w:val="009D210D"/>
    <w:rsid w:val="009D22A7"/>
    <w:rsid w:val="009D22AC"/>
    <w:rsid w:val="009D22E5"/>
    <w:rsid w:val="009D2990"/>
    <w:rsid w:val="009D2A42"/>
    <w:rsid w:val="009D2AFE"/>
    <w:rsid w:val="009D314C"/>
    <w:rsid w:val="009D3688"/>
    <w:rsid w:val="009D3835"/>
    <w:rsid w:val="009D38DB"/>
    <w:rsid w:val="009D3A3C"/>
    <w:rsid w:val="009D3CD9"/>
    <w:rsid w:val="009D3E97"/>
    <w:rsid w:val="009D405A"/>
    <w:rsid w:val="009D49DC"/>
    <w:rsid w:val="009D4A3A"/>
    <w:rsid w:val="009D53B8"/>
    <w:rsid w:val="009D5606"/>
    <w:rsid w:val="009D56B4"/>
    <w:rsid w:val="009D5700"/>
    <w:rsid w:val="009D5A4B"/>
    <w:rsid w:val="009D5B4C"/>
    <w:rsid w:val="009D6172"/>
    <w:rsid w:val="009D64E3"/>
    <w:rsid w:val="009D6654"/>
    <w:rsid w:val="009D6C47"/>
    <w:rsid w:val="009D6C9B"/>
    <w:rsid w:val="009D6CBF"/>
    <w:rsid w:val="009D6FCA"/>
    <w:rsid w:val="009D7030"/>
    <w:rsid w:val="009D7075"/>
    <w:rsid w:val="009D712E"/>
    <w:rsid w:val="009D7379"/>
    <w:rsid w:val="009D73C0"/>
    <w:rsid w:val="009D7514"/>
    <w:rsid w:val="009D75D0"/>
    <w:rsid w:val="009D76BA"/>
    <w:rsid w:val="009D776E"/>
    <w:rsid w:val="009D7A3E"/>
    <w:rsid w:val="009D7E93"/>
    <w:rsid w:val="009E0361"/>
    <w:rsid w:val="009E046F"/>
    <w:rsid w:val="009E04D4"/>
    <w:rsid w:val="009E056A"/>
    <w:rsid w:val="009E0A4D"/>
    <w:rsid w:val="009E0AB1"/>
    <w:rsid w:val="009E0ADC"/>
    <w:rsid w:val="009E0B58"/>
    <w:rsid w:val="009E0EEE"/>
    <w:rsid w:val="009E1327"/>
    <w:rsid w:val="009E1499"/>
    <w:rsid w:val="009E15D6"/>
    <w:rsid w:val="009E182A"/>
    <w:rsid w:val="009E1BF7"/>
    <w:rsid w:val="009E1D8F"/>
    <w:rsid w:val="009E1EA9"/>
    <w:rsid w:val="009E2083"/>
    <w:rsid w:val="009E25EC"/>
    <w:rsid w:val="009E2684"/>
    <w:rsid w:val="009E28D8"/>
    <w:rsid w:val="009E2C7E"/>
    <w:rsid w:val="009E2DFF"/>
    <w:rsid w:val="009E3210"/>
    <w:rsid w:val="009E36C6"/>
    <w:rsid w:val="009E3FF2"/>
    <w:rsid w:val="009E44AC"/>
    <w:rsid w:val="009E4681"/>
    <w:rsid w:val="009E475F"/>
    <w:rsid w:val="009E4921"/>
    <w:rsid w:val="009E4A99"/>
    <w:rsid w:val="009E4ADD"/>
    <w:rsid w:val="009E4B1D"/>
    <w:rsid w:val="009E4B2F"/>
    <w:rsid w:val="009E4C71"/>
    <w:rsid w:val="009E56F6"/>
    <w:rsid w:val="009E5867"/>
    <w:rsid w:val="009E5B49"/>
    <w:rsid w:val="009E5C29"/>
    <w:rsid w:val="009E62B8"/>
    <w:rsid w:val="009E62B9"/>
    <w:rsid w:val="009E63D4"/>
    <w:rsid w:val="009E6832"/>
    <w:rsid w:val="009E6A04"/>
    <w:rsid w:val="009E6C65"/>
    <w:rsid w:val="009E76F8"/>
    <w:rsid w:val="009E77C0"/>
    <w:rsid w:val="009E78DD"/>
    <w:rsid w:val="009E7B96"/>
    <w:rsid w:val="009E7CEA"/>
    <w:rsid w:val="009E7D2F"/>
    <w:rsid w:val="009F0455"/>
    <w:rsid w:val="009F08EA"/>
    <w:rsid w:val="009F0C77"/>
    <w:rsid w:val="009F0E53"/>
    <w:rsid w:val="009F0E7F"/>
    <w:rsid w:val="009F1274"/>
    <w:rsid w:val="009F143E"/>
    <w:rsid w:val="009F14AF"/>
    <w:rsid w:val="009F19A2"/>
    <w:rsid w:val="009F1A80"/>
    <w:rsid w:val="009F1F92"/>
    <w:rsid w:val="009F22FF"/>
    <w:rsid w:val="009F23B6"/>
    <w:rsid w:val="009F2C02"/>
    <w:rsid w:val="009F2C69"/>
    <w:rsid w:val="009F2F23"/>
    <w:rsid w:val="009F3135"/>
    <w:rsid w:val="009F3637"/>
    <w:rsid w:val="009F36B7"/>
    <w:rsid w:val="009F396B"/>
    <w:rsid w:val="009F3BA9"/>
    <w:rsid w:val="009F3C96"/>
    <w:rsid w:val="009F3CE7"/>
    <w:rsid w:val="009F40FC"/>
    <w:rsid w:val="009F4592"/>
    <w:rsid w:val="009F4850"/>
    <w:rsid w:val="009F4970"/>
    <w:rsid w:val="009F4D1C"/>
    <w:rsid w:val="009F52E6"/>
    <w:rsid w:val="009F5447"/>
    <w:rsid w:val="009F54AC"/>
    <w:rsid w:val="009F5568"/>
    <w:rsid w:val="009F56B4"/>
    <w:rsid w:val="009F57B9"/>
    <w:rsid w:val="009F5C68"/>
    <w:rsid w:val="009F5E1A"/>
    <w:rsid w:val="009F6504"/>
    <w:rsid w:val="009F659A"/>
    <w:rsid w:val="009F6832"/>
    <w:rsid w:val="009F6FDF"/>
    <w:rsid w:val="009F70A0"/>
    <w:rsid w:val="009F774D"/>
    <w:rsid w:val="009F7A08"/>
    <w:rsid w:val="009F7BA3"/>
    <w:rsid w:val="009F7BFA"/>
    <w:rsid w:val="009F7F0D"/>
    <w:rsid w:val="00A000A4"/>
    <w:rsid w:val="00A00180"/>
    <w:rsid w:val="00A004E1"/>
    <w:rsid w:val="00A00844"/>
    <w:rsid w:val="00A00995"/>
    <w:rsid w:val="00A00A76"/>
    <w:rsid w:val="00A00C5F"/>
    <w:rsid w:val="00A00D74"/>
    <w:rsid w:val="00A012D4"/>
    <w:rsid w:val="00A013FE"/>
    <w:rsid w:val="00A0148E"/>
    <w:rsid w:val="00A01802"/>
    <w:rsid w:val="00A01844"/>
    <w:rsid w:val="00A0205D"/>
    <w:rsid w:val="00A022E5"/>
    <w:rsid w:val="00A0230D"/>
    <w:rsid w:val="00A025D6"/>
    <w:rsid w:val="00A02654"/>
    <w:rsid w:val="00A0286C"/>
    <w:rsid w:val="00A028FC"/>
    <w:rsid w:val="00A02A7F"/>
    <w:rsid w:val="00A02EDF"/>
    <w:rsid w:val="00A032E4"/>
    <w:rsid w:val="00A035E2"/>
    <w:rsid w:val="00A03605"/>
    <w:rsid w:val="00A0381F"/>
    <w:rsid w:val="00A03A9F"/>
    <w:rsid w:val="00A03CDD"/>
    <w:rsid w:val="00A03DFB"/>
    <w:rsid w:val="00A03F4F"/>
    <w:rsid w:val="00A042FD"/>
    <w:rsid w:val="00A04726"/>
    <w:rsid w:val="00A04840"/>
    <w:rsid w:val="00A04BB2"/>
    <w:rsid w:val="00A04D37"/>
    <w:rsid w:val="00A04D78"/>
    <w:rsid w:val="00A04E3B"/>
    <w:rsid w:val="00A04EF2"/>
    <w:rsid w:val="00A0527C"/>
    <w:rsid w:val="00A05923"/>
    <w:rsid w:val="00A05A50"/>
    <w:rsid w:val="00A06097"/>
    <w:rsid w:val="00A0621A"/>
    <w:rsid w:val="00A06377"/>
    <w:rsid w:val="00A06A0A"/>
    <w:rsid w:val="00A06A7D"/>
    <w:rsid w:val="00A06B21"/>
    <w:rsid w:val="00A06BA2"/>
    <w:rsid w:val="00A06DE3"/>
    <w:rsid w:val="00A06F3D"/>
    <w:rsid w:val="00A0748D"/>
    <w:rsid w:val="00A07552"/>
    <w:rsid w:val="00A07BA9"/>
    <w:rsid w:val="00A07C35"/>
    <w:rsid w:val="00A07C81"/>
    <w:rsid w:val="00A07ECF"/>
    <w:rsid w:val="00A100B4"/>
    <w:rsid w:val="00A10840"/>
    <w:rsid w:val="00A10841"/>
    <w:rsid w:val="00A10A13"/>
    <w:rsid w:val="00A10DF9"/>
    <w:rsid w:val="00A10F73"/>
    <w:rsid w:val="00A113D5"/>
    <w:rsid w:val="00A11573"/>
    <w:rsid w:val="00A119F6"/>
    <w:rsid w:val="00A11AF7"/>
    <w:rsid w:val="00A11E21"/>
    <w:rsid w:val="00A12009"/>
    <w:rsid w:val="00A12196"/>
    <w:rsid w:val="00A1272C"/>
    <w:rsid w:val="00A1274F"/>
    <w:rsid w:val="00A12B27"/>
    <w:rsid w:val="00A12B87"/>
    <w:rsid w:val="00A12BC9"/>
    <w:rsid w:val="00A12C39"/>
    <w:rsid w:val="00A12DED"/>
    <w:rsid w:val="00A1310C"/>
    <w:rsid w:val="00A135A2"/>
    <w:rsid w:val="00A136A7"/>
    <w:rsid w:val="00A13740"/>
    <w:rsid w:val="00A137A1"/>
    <w:rsid w:val="00A13D43"/>
    <w:rsid w:val="00A13DB8"/>
    <w:rsid w:val="00A13E5F"/>
    <w:rsid w:val="00A14B65"/>
    <w:rsid w:val="00A15262"/>
    <w:rsid w:val="00A156B9"/>
    <w:rsid w:val="00A158C6"/>
    <w:rsid w:val="00A15904"/>
    <w:rsid w:val="00A1593B"/>
    <w:rsid w:val="00A15AAA"/>
    <w:rsid w:val="00A15AC7"/>
    <w:rsid w:val="00A164F1"/>
    <w:rsid w:val="00A16612"/>
    <w:rsid w:val="00A167D3"/>
    <w:rsid w:val="00A16A57"/>
    <w:rsid w:val="00A16D8C"/>
    <w:rsid w:val="00A16F6B"/>
    <w:rsid w:val="00A1778D"/>
    <w:rsid w:val="00A178F2"/>
    <w:rsid w:val="00A17A4E"/>
    <w:rsid w:val="00A17C5B"/>
    <w:rsid w:val="00A17C91"/>
    <w:rsid w:val="00A17D93"/>
    <w:rsid w:val="00A17E46"/>
    <w:rsid w:val="00A20150"/>
    <w:rsid w:val="00A205D5"/>
    <w:rsid w:val="00A205F1"/>
    <w:rsid w:val="00A207CA"/>
    <w:rsid w:val="00A20831"/>
    <w:rsid w:val="00A2083B"/>
    <w:rsid w:val="00A20C81"/>
    <w:rsid w:val="00A2104F"/>
    <w:rsid w:val="00A211EB"/>
    <w:rsid w:val="00A21335"/>
    <w:rsid w:val="00A214C1"/>
    <w:rsid w:val="00A217CE"/>
    <w:rsid w:val="00A2181C"/>
    <w:rsid w:val="00A2197A"/>
    <w:rsid w:val="00A21B47"/>
    <w:rsid w:val="00A21D7C"/>
    <w:rsid w:val="00A220FF"/>
    <w:rsid w:val="00A22622"/>
    <w:rsid w:val="00A2262D"/>
    <w:rsid w:val="00A22F9E"/>
    <w:rsid w:val="00A230D9"/>
    <w:rsid w:val="00A23171"/>
    <w:rsid w:val="00A2337E"/>
    <w:rsid w:val="00A236AB"/>
    <w:rsid w:val="00A238CE"/>
    <w:rsid w:val="00A239EF"/>
    <w:rsid w:val="00A23AAF"/>
    <w:rsid w:val="00A23C57"/>
    <w:rsid w:val="00A23ED0"/>
    <w:rsid w:val="00A244D5"/>
    <w:rsid w:val="00A245FA"/>
    <w:rsid w:val="00A24BD9"/>
    <w:rsid w:val="00A24C04"/>
    <w:rsid w:val="00A25E13"/>
    <w:rsid w:val="00A25E35"/>
    <w:rsid w:val="00A260EE"/>
    <w:rsid w:val="00A261D0"/>
    <w:rsid w:val="00A26420"/>
    <w:rsid w:val="00A264AE"/>
    <w:rsid w:val="00A264C1"/>
    <w:rsid w:val="00A267AB"/>
    <w:rsid w:val="00A26E6F"/>
    <w:rsid w:val="00A26F33"/>
    <w:rsid w:val="00A26F34"/>
    <w:rsid w:val="00A270AB"/>
    <w:rsid w:val="00A273DF"/>
    <w:rsid w:val="00A274F3"/>
    <w:rsid w:val="00A27805"/>
    <w:rsid w:val="00A27B0B"/>
    <w:rsid w:val="00A27C06"/>
    <w:rsid w:val="00A27C73"/>
    <w:rsid w:val="00A27D94"/>
    <w:rsid w:val="00A3007E"/>
    <w:rsid w:val="00A300A0"/>
    <w:rsid w:val="00A30172"/>
    <w:rsid w:val="00A30273"/>
    <w:rsid w:val="00A3036D"/>
    <w:rsid w:val="00A307B0"/>
    <w:rsid w:val="00A30E9E"/>
    <w:rsid w:val="00A30FF4"/>
    <w:rsid w:val="00A310EC"/>
    <w:rsid w:val="00A31455"/>
    <w:rsid w:val="00A316F8"/>
    <w:rsid w:val="00A31846"/>
    <w:rsid w:val="00A31A5C"/>
    <w:rsid w:val="00A31AD9"/>
    <w:rsid w:val="00A31C9C"/>
    <w:rsid w:val="00A31F25"/>
    <w:rsid w:val="00A321F5"/>
    <w:rsid w:val="00A32203"/>
    <w:rsid w:val="00A32314"/>
    <w:rsid w:val="00A324B8"/>
    <w:rsid w:val="00A3277B"/>
    <w:rsid w:val="00A327BC"/>
    <w:rsid w:val="00A3293D"/>
    <w:rsid w:val="00A329F7"/>
    <w:rsid w:val="00A32A11"/>
    <w:rsid w:val="00A32D09"/>
    <w:rsid w:val="00A32DAD"/>
    <w:rsid w:val="00A335F2"/>
    <w:rsid w:val="00A33660"/>
    <w:rsid w:val="00A338A1"/>
    <w:rsid w:val="00A33C1B"/>
    <w:rsid w:val="00A33C6D"/>
    <w:rsid w:val="00A33D1A"/>
    <w:rsid w:val="00A33F40"/>
    <w:rsid w:val="00A34209"/>
    <w:rsid w:val="00A342ED"/>
    <w:rsid w:val="00A34702"/>
    <w:rsid w:val="00A3486F"/>
    <w:rsid w:val="00A34AA1"/>
    <w:rsid w:val="00A3531C"/>
    <w:rsid w:val="00A354D1"/>
    <w:rsid w:val="00A3565E"/>
    <w:rsid w:val="00A35F90"/>
    <w:rsid w:val="00A36096"/>
    <w:rsid w:val="00A36829"/>
    <w:rsid w:val="00A36BF6"/>
    <w:rsid w:val="00A36D08"/>
    <w:rsid w:val="00A36DF6"/>
    <w:rsid w:val="00A36E35"/>
    <w:rsid w:val="00A36E4A"/>
    <w:rsid w:val="00A36EB1"/>
    <w:rsid w:val="00A36FB4"/>
    <w:rsid w:val="00A370CE"/>
    <w:rsid w:val="00A37132"/>
    <w:rsid w:val="00A3717D"/>
    <w:rsid w:val="00A37234"/>
    <w:rsid w:val="00A372F8"/>
    <w:rsid w:val="00A37342"/>
    <w:rsid w:val="00A374D9"/>
    <w:rsid w:val="00A37500"/>
    <w:rsid w:val="00A375EC"/>
    <w:rsid w:val="00A377CF"/>
    <w:rsid w:val="00A37AEE"/>
    <w:rsid w:val="00A37AF1"/>
    <w:rsid w:val="00A37D38"/>
    <w:rsid w:val="00A37EDA"/>
    <w:rsid w:val="00A37EF4"/>
    <w:rsid w:val="00A37F74"/>
    <w:rsid w:val="00A40041"/>
    <w:rsid w:val="00A400AA"/>
    <w:rsid w:val="00A406B4"/>
    <w:rsid w:val="00A40800"/>
    <w:rsid w:val="00A409B1"/>
    <w:rsid w:val="00A40A2E"/>
    <w:rsid w:val="00A4106D"/>
    <w:rsid w:val="00A412D5"/>
    <w:rsid w:val="00A41353"/>
    <w:rsid w:val="00A415BF"/>
    <w:rsid w:val="00A41BE7"/>
    <w:rsid w:val="00A42275"/>
    <w:rsid w:val="00A42641"/>
    <w:rsid w:val="00A428EF"/>
    <w:rsid w:val="00A4298F"/>
    <w:rsid w:val="00A4299B"/>
    <w:rsid w:val="00A42C0F"/>
    <w:rsid w:val="00A43126"/>
    <w:rsid w:val="00A431B3"/>
    <w:rsid w:val="00A434A9"/>
    <w:rsid w:val="00A4355B"/>
    <w:rsid w:val="00A43583"/>
    <w:rsid w:val="00A43658"/>
    <w:rsid w:val="00A437F5"/>
    <w:rsid w:val="00A438A9"/>
    <w:rsid w:val="00A438F1"/>
    <w:rsid w:val="00A43CA8"/>
    <w:rsid w:val="00A43F3F"/>
    <w:rsid w:val="00A445B6"/>
    <w:rsid w:val="00A446B2"/>
    <w:rsid w:val="00A4478E"/>
    <w:rsid w:val="00A44A19"/>
    <w:rsid w:val="00A44A50"/>
    <w:rsid w:val="00A44C9E"/>
    <w:rsid w:val="00A45028"/>
    <w:rsid w:val="00A451F1"/>
    <w:rsid w:val="00A45594"/>
    <w:rsid w:val="00A45CA5"/>
    <w:rsid w:val="00A45D8A"/>
    <w:rsid w:val="00A45FC1"/>
    <w:rsid w:val="00A463A9"/>
    <w:rsid w:val="00A46468"/>
    <w:rsid w:val="00A464C0"/>
    <w:rsid w:val="00A46556"/>
    <w:rsid w:val="00A46590"/>
    <w:rsid w:val="00A471A7"/>
    <w:rsid w:val="00A473D7"/>
    <w:rsid w:val="00A47725"/>
    <w:rsid w:val="00A47778"/>
    <w:rsid w:val="00A47B23"/>
    <w:rsid w:val="00A47D07"/>
    <w:rsid w:val="00A47F67"/>
    <w:rsid w:val="00A50306"/>
    <w:rsid w:val="00A5057F"/>
    <w:rsid w:val="00A50A2A"/>
    <w:rsid w:val="00A50A2C"/>
    <w:rsid w:val="00A50BC3"/>
    <w:rsid w:val="00A50C45"/>
    <w:rsid w:val="00A50D68"/>
    <w:rsid w:val="00A50D84"/>
    <w:rsid w:val="00A50EBF"/>
    <w:rsid w:val="00A50FF4"/>
    <w:rsid w:val="00A511B6"/>
    <w:rsid w:val="00A514CA"/>
    <w:rsid w:val="00A51645"/>
    <w:rsid w:val="00A518C0"/>
    <w:rsid w:val="00A51B6C"/>
    <w:rsid w:val="00A51C0C"/>
    <w:rsid w:val="00A51D87"/>
    <w:rsid w:val="00A51DA7"/>
    <w:rsid w:val="00A52070"/>
    <w:rsid w:val="00A523C8"/>
    <w:rsid w:val="00A5259E"/>
    <w:rsid w:val="00A52EC8"/>
    <w:rsid w:val="00A53388"/>
    <w:rsid w:val="00A535B2"/>
    <w:rsid w:val="00A535C2"/>
    <w:rsid w:val="00A53A92"/>
    <w:rsid w:val="00A5431E"/>
    <w:rsid w:val="00A547AE"/>
    <w:rsid w:val="00A5488B"/>
    <w:rsid w:val="00A54A96"/>
    <w:rsid w:val="00A54B26"/>
    <w:rsid w:val="00A5509B"/>
    <w:rsid w:val="00A556AD"/>
    <w:rsid w:val="00A559F0"/>
    <w:rsid w:val="00A55AC4"/>
    <w:rsid w:val="00A55B96"/>
    <w:rsid w:val="00A55EDC"/>
    <w:rsid w:val="00A55EEB"/>
    <w:rsid w:val="00A56077"/>
    <w:rsid w:val="00A5621A"/>
    <w:rsid w:val="00A56362"/>
    <w:rsid w:val="00A564EC"/>
    <w:rsid w:val="00A56652"/>
    <w:rsid w:val="00A567EB"/>
    <w:rsid w:val="00A568A8"/>
    <w:rsid w:val="00A56CEB"/>
    <w:rsid w:val="00A571E6"/>
    <w:rsid w:val="00A57738"/>
    <w:rsid w:val="00A577C1"/>
    <w:rsid w:val="00A57B97"/>
    <w:rsid w:val="00A60520"/>
    <w:rsid w:val="00A60819"/>
    <w:rsid w:val="00A60BDE"/>
    <w:rsid w:val="00A60C1E"/>
    <w:rsid w:val="00A60C42"/>
    <w:rsid w:val="00A60E6D"/>
    <w:rsid w:val="00A6138B"/>
    <w:rsid w:val="00A61713"/>
    <w:rsid w:val="00A61720"/>
    <w:rsid w:val="00A6177A"/>
    <w:rsid w:val="00A6188C"/>
    <w:rsid w:val="00A61A5B"/>
    <w:rsid w:val="00A61B17"/>
    <w:rsid w:val="00A61D7A"/>
    <w:rsid w:val="00A61F97"/>
    <w:rsid w:val="00A621E7"/>
    <w:rsid w:val="00A622DF"/>
    <w:rsid w:val="00A62410"/>
    <w:rsid w:val="00A62455"/>
    <w:rsid w:val="00A62639"/>
    <w:rsid w:val="00A627CB"/>
    <w:rsid w:val="00A63267"/>
    <w:rsid w:val="00A63339"/>
    <w:rsid w:val="00A633EE"/>
    <w:rsid w:val="00A639C2"/>
    <w:rsid w:val="00A63A0C"/>
    <w:rsid w:val="00A63E0D"/>
    <w:rsid w:val="00A6401C"/>
    <w:rsid w:val="00A64057"/>
    <w:rsid w:val="00A64113"/>
    <w:rsid w:val="00A64177"/>
    <w:rsid w:val="00A64637"/>
    <w:rsid w:val="00A65038"/>
    <w:rsid w:val="00A65184"/>
    <w:rsid w:val="00A65404"/>
    <w:rsid w:val="00A65495"/>
    <w:rsid w:val="00A65732"/>
    <w:rsid w:val="00A65913"/>
    <w:rsid w:val="00A65A1A"/>
    <w:rsid w:val="00A65B59"/>
    <w:rsid w:val="00A65E06"/>
    <w:rsid w:val="00A663D2"/>
    <w:rsid w:val="00A66477"/>
    <w:rsid w:val="00A66689"/>
    <w:rsid w:val="00A66891"/>
    <w:rsid w:val="00A668DA"/>
    <w:rsid w:val="00A66CE8"/>
    <w:rsid w:val="00A66D2A"/>
    <w:rsid w:val="00A66D30"/>
    <w:rsid w:val="00A66EE0"/>
    <w:rsid w:val="00A672AE"/>
    <w:rsid w:val="00A67312"/>
    <w:rsid w:val="00A674FF"/>
    <w:rsid w:val="00A6763B"/>
    <w:rsid w:val="00A679A2"/>
    <w:rsid w:val="00A67A25"/>
    <w:rsid w:val="00A67C16"/>
    <w:rsid w:val="00A67D8D"/>
    <w:rsid w:val="00A67E70"/>
    <w:rsid w:val="00A67FCF"/>
    <w:rsid w:val="00A702DD"/>
    <w:rsid w:val="00A70882"/>
    <w:rsid w:val="00A7090B"/>
    <w:rsid w:val="00A70946"/>
    <w:rsid w:val="00A70980"/>
    <w:rsid w:val="00A7098E"/>
    <w:rsid w:val="00A70A98"/>
    <w:rsid w:val="00A70AF0"/>
    <w:rsid w:val="00A70C9A"/>
    <w:rsid w:val="00A70F15"/>
    <w:rsid w:val="00A70FCD"/>
    <w:rsid w:val="00A71181"/>
    <w:rsid w:val="00A71418"/>
    <w:rsid w:val="00A71725"/>
    <w:rsid w:val="00A71F94"/>
    <w:rsid w:val="00A71FAB"/>
    <w:rsid w:val="00A71FAE"/>
    <w:rsid w:val="00A71FC1"/>
    <w:rsid w:val="00A722D3"/>
    <w:rsid w:val="00A727F3"/>
    <w:rsid w:val="00A727FA"/>
    <w:rsid w:val="00A728E9"/>
    <w:rsid w:val="00A72A20"/>
    <w:rsid w:val="00A72B9F"/>
    <w:rsid w:val="00A7328E"/>
    <w:rsid w:val="00A7342F"/>
    <w:rsid w:val="00A739B9"/>
    <w:rsid w:val="00A73E29"/>
    <w:rsid w:val="00A741B5"/>
    <w:rsid w:val="00A745A2"/>
    <w:rsid w:val="00A74712"/>
    <w:rsid w:val="00A748A6"/>
    <w:rsid w:val="00A74AC0"/>
    <w:rsid w:val="00A74B52"/>
    <w:rsid w:val="00A75013"/>
    <w:rsid w:val="00A75100"/>
    <w:rsid w:val="00A751E6"/>
    <w:rsid w:val="00A75ABA"/>
    <w:rsid w:val="00A75C76"/>
    <w:rsid w:val="00A75DF7"/>
    <w:rsid w:val="00A76056"/>
    <w:rsid w:val="00A7607F"/>
    <w:rsid w:val="00A760BC"/>
    <w:rsid w:val="00A7613A"/>
    <w:rsid w:val="00A76374"/>
    <w:rsid w:val="00A76512"/>
    <w:rsid w:val="00A766D7"/>
    <w:rsid w:val="00A76797"/>
    <w:rsid w:val="00A76AF4"/>
    <w:rsid w:val="00A76F27"/>
    <w:rsid w:val="00A771AC"/>
    <w:rsid w:val="00A77275"/>
    <w:rsid w:val="00A772FB"/>
    <w:rsid w:val="00A77428"/>
    <w:rsid w:val="00A774CF"/>
    <w:rsid w:val="00A7759E"/>
    <w:rsid w:val="00A77683"/>
    <w:rsid w:val="00A77CAA"/>
    <w:rsid w:val="00A77CF0"/>
    <w:rsid w:val="00A77D0E"/>
    <w:rsid w:val="00A80104"/>
    <w:rsid w:val="00A803AB"/>
    <w:rsid w:val="00A80715"/>
    <w:rsid w:val="00A80931"/>
    <w:rsid w:val="00A80ACB"/>
    <w:rsid w:val="00A80DE5"/>
    <w:rsid w:val="00A81072"/>
    <w:rsid w:val="00A813BC"/>
    <w:rsid w:val="00A8146A"/>
    <w:rsid w:val="00A81490"/>
    <w:rsid w:val="00A815E2"/>
    <w:rsid w:val="00A81ACD"/>
    <w:rsid w:val="00A81F31"/>
    <w:rsid w:val="00A82106"/>
    <w:rsid w:val="00A82110"/>
    <w:rsid w:val="00A82623"/>
    <w:rsid w:val="00A8271B"/>
    <w:rsid w:val="00A828C3"/>
    <w:rsid w:val="00A82CC8"/>
    <w:rsid w:val="00A8314E"/>
    <w:rsid w:val="00A8349A"/>
    <w:rsid w:val="00A835D8"/>
    <w:rsid w:val="00A8361C"/>
    <w:rsid w:val="00A83641"/>
    <w:rsid w:val="00A8366E"/>
    <w:rsid w:val="00A83A15"/>
    <w:rsid w:val="00A83A82"/>
    <w:rsid w:val="00A83C71"/>
    <w:rsid w:val="00A83C7B"/>
    <w:rsid w:val="00A83F99"/>
    <w:rsid w:val="00A842FA"/>
    <w:rsid w:val="00A84348"/>
    <w:rsid w:val="00A845E8"/>
    <w:rsid w:val="00A84811"/>
    <w:rsid w:val="00A8494E"/>
    <w:rsid w:val="00A84CBF"/>
    <w:rsid w:val="00A84F13"/>
    <w:rsid w:val="00A8510C"/>
    <w:rsid w:val="00A853F1"/>
    <w:rsid w:val="00A85763"/>
    <w:rsid w:val="00A85963"/>
    <w:rsid w:val="00A859E2"/>
    <w:rsid w:val="00A85DC2"/>
    <w:rsid w:val="00A85E51"/>
    <w:rsid w:val="00A85F36"/>
    <w:rsid w:val="00A85FED"/>
    <w:rsid w:val="00A860E7"/>
    <w:rsid w:val="00A8617A"/>
    <w:rsid w:val="00A868F4"/>
    <w:rsid w:val="00A8692B"/>
    <w:rsid w:val="00A86B68"/>
    <w:rsid w:val="00A86D15"/>
    <w:rsid w:val="00A86D26"/>
    <w:rsid w:val="00A86D9F"/>
    <w:rsid w:val="00A870F0"/>
    <w:rsid w:val="00A87185"/>
    <w:rsid w:val="00A87534"/>
    <w:rsid w:val="00A8773F"/>
    <w:rsid w:val="00A87C5C"/>
    <w:rsid w:val="00A87D0F"/>
    <w:rsid w:val="00A87E38"/>
    <w:rsid w:val="00A901C4"/>
    <w:rsid w:val="00A90272"/>
    <w:rsid w:val="00A903C9"/>
    <w:rsid w:val="00A9059D"/>
    <w:rsid w:val="00A9068B"/>
    <w:rsid w:val="00A90971"/>
    <w:rsid w:val="00A90A76"/>
    <w:rsid w:val="00A90ABD"/>
    <w:rsid w:val="00A90E58"/>
    <w:rsid w:val="00A90FEE"/>
    <w:rsid w:val="00A911C9"/>
    <w:rsid w:val="00A91261"/>
    <w:rsid w:val="00A91305"/>
    <w:rsid w:val="00A91863"/>
    <w:rsid w:val="00A919C9"/>
    <w:rsid w:val="00A91A2F"/>
    <w:rsid w:val="00A91ACA"/>
    <w:rsid w:val="00A91D2C"/>
    <w:rsid w:val="00A91D49"/>
    <w:rsid w:val="00A91F34"/>
    <w:rsid w:val="00A92488"/>
    <w:rsid w:val="00A926CA"/>
    <w:rsid w:val="00A92A55"/>
    <w:rsid w:val="00A92CD5"/>
    <w:rsid w:val="00A92E1E"/>
    <w:rsid w:val="00A92F1E"/>
    <w:rsid w:val="00A932A0"/>
    <w:rsid w:val="00A93350"/>
    <w:rsid w:val="00A93441"/>
    <w:rsid w:val="00A9350F"/>
    <w:rsid w:val="00A93647"/>
    <w:rsid w:val="00A93C5C"/>
    <w:rsid w:val="00A93CAF"/>
    <w:rsid w:val="00A93F5A"/>
    <w:rsid w:val="00A941DB"/>
    <w:rsid w:val="00A94355"/>
    <w:rsid w:val="00A94480"/>
    <w:rsid w:val="00A94551"/>
    <w:rsid w:val="00A9480F"/>
    <w:rsid w:val="00A9482D"/>
    <w:rsid w:val="00A94830"/>
    <w:rsid w:val="00A94900"/>
    <w:rsid w:val="00A94CC2"/>
    <w:rsid w:val="00A94DA4"/>
    <w:rsid w:val="00A94DEF"/>
    <w:rsid w:val="00A95519"/>
    <w:rsid w:val="00A95A03"/>
    <w:rsid w:val="00A9625B"/>
    <w:rsid w:val="00A962AF"/>
    <w:rsid w:val="00A96411"/>
    <w:rsid w:val="00A9647D"/>
    <w:rsid w:val="00A96A07"/>
    <w:rsid w:val="00A9706A"/>
    <w:rsid w:val="00A97414"/>
    <w:rsid w:val="00A97743"/>
    <w:rsid w:val="00A977DF"/>
    <w:rsid w:val="00A97818"/>
    <w:rsid w:val="00A97F30"/>
    <w:rsid w:val="00A97F6E"/>
    <w:rsid w:val="00A97FD3"/>
    <w:rsid w:val="00AA0028"/>
    <w:rsid w:val="00AA05CE"/>
    <w:rsid w:val="00AA093F"/>
    <w:rsid w:val="00AA0B67"/>
    <w:rsid w:val="00AA116E"/>
    <w:rsid w:val="00AA1212"/>
    <w:rsid w:val="00AA1245"/>
    <w:rsid w:val="00AA12BC"/>
    <w:rsid w:val="00AA146A"/>
    <w:rsid w:val="00AA197B"/>
    <w:rsid w:val="00AA19D0"/>
    <w:rsid w:val="00AA1B49"/>
    <w:rsid w:val="00AA1D39"/>
    <w:rsid w:val="00AA1D9F"/>
    <w:rsid w:val="00AA1F73"/>
    <w:rsid w:val="00AA224C"/>
    <w:rsid w:val="00AA2341"/>
    <w:rsid w:val="00AA2404"/>
    <w:rsid w:val="00AA282E"/>
    <w:rsid w:val="00AA2934"/>
    <w:rsid w:val="00AA2B6E"/>
    <w:rsid w:val="00AA2BF7"/>
    <w:rsid w:val="00AA2D9A"/>
    <w:rsid w:val="00AA2E74"/>
    <w:rsid w:val="00AA2EFE"/>
    <w:rsid w:val="00AA31A1"/>
    <w:rsid w:val="00AA3313"/>
    <w:rsid w:val="00AA3B8D"/>
    <w:rsid w:val="00AA4010"/>
    <w:rsid w:val="00AA4421"/>
    <w:rsid w:val="00AA4C9A"/>
    <w:rsid w:val="00AA51E3"/>
    <w:rsid w:val="00AA525F"/>
    <w:rsid w:val="00AA53F7"/>
    <w:rsid w:val="00AA5418"/>
    <w:rsid w:val="00AA5480"/>
    <w:rsid w:val="00AA5545"/>
    <w:rsid w:val="00AA5609"/>
    <w:rsid w:val="00AA5B4C"/>
    <w:rsid w:val="00AA63F7"/>
    <w:rsid w:val="00AA68DF"/>
    <w:rsid w:val="00AA69BD"/>
    <w:rsid w:val="00AA6CAD"/>
    <w:rsid w:val="00AA6D26"/>
    <w:rsid w:val="00AA6FCD"/>
    <w:rsid w:val="00AA6FE5"/>
    <w:rsid w:val="00AA70BA"/>
    <w:rsid w:val="00AA70CB"/>
    <w:rsid w:val="00AA719C"/>
    <w:rsid w:val="00AA71AD"/>
    <w:rsid w:val="00AA7208"/>
    <w:rsid w:val="00AA72C7"/>
    <w:rsid w:val="00AA74F2"/>
    <w:rsid w:val="00AA775B"/>
    <w:rsid w:val="00AA7C72"/>
    <w:rsid w:val="00AA7E54"/>
    <w:rsid w:val="00AA7EB0"/>
    <w:rsid w:val="00AA7EE3"/>
    <w:rsid w:val="00AA7F11"/>
    <w:rsid w:val="00AB007E"/>
    <w:rsid w:val="00AB063A"/>
    <w:rsid w:val="00AB07A1"/>
    <w:rsid w:val="00AB0859"/>
    <w:rsid w:val="00AB0876"/>
    <w:rsid w:val="00AB0C11"/>
    <w:rsid w:val="00AB0D29"/>
    <w:rsid w:val="00AB0D3C"/>
    <w:rsid w:val="00AB0F25"/>
    <w:rsid w:val="00AB11C1"/>
    <w:rsid w:val="00AB15F2"/>
    <w:rsid w:val="00AB1954"/>
    <w:rsid w:val="00AB1A78"/>
    <w:rsid w:val="00AB1CA9"/>
    <w:rsid w:val="00AB1D37"/>
    <w:rsid w:val="00AB1E90"/>
    <w:rsid w:val="00AB20F5"/>
    <w:rsid w:val="00AB22DD"/>
    <w:rsid w:val="00AB2484"/>
    <w:rsid w:val="00AB2602"/>
    <w:rsid w:val="00AB28F1"/>
    <w:rsid w:val="00AB2933"/>
    <w:rsid w:val="00AB2B98"/>
    <w:rsid w:val="00AB2F09"/>
    <w:rsid w:val="00AB2F62"/>
    <w:rsid w:val="00AB30E1"/>
    <w:rsid w:val="00AB35AC"/>
    <w:rsid w:val="00AB363B"/>
    <w:rsid w:val="00AB373F"/>
    <w:rsid w:val="00AB3921"/>
    <w:rsid w:val="00AB3D3F"/>
    <w:rsid w:val="00AB4504"/>
    <w:rsid w:val="00AB48B2"/>
    <w:rsid w:val="00AB48FA"/>
    <w:rsid w:val="00AB4EB5"/>
    <w:rsid w:val="00AB52BE"/>
    <w:rsid w:val="00AB5B3F"/>
    <w:rsid w:val="00AB5C6B"/>
    <w:rsid w:val="00AB5F1D"/>
    <w:rsid w:val="00AB607D"/>
    <w:rsid w:val="00AB6705"/>
    <w:rsid w:val="00AB6920"/>
    <w:rsid w:val="00AB6A88"/>
    <w:rsid w:val="00AB6EF1"/>
    <w:rsid w:val="00AB7420"/>
    <w:rsid w:val="00AB796B"/>
    <w:rsid w:val="00AB798D"/>
    <w:rsid w:val="00AB7B2D"/>
    <w:rsid w:val="00AC0021"/>
    <w:rsid w:val="00AC0028"/>
    <w:rsid w:val="00AC015C"/>
    <w:rsid w:val="00AC04EB"/>
    <w:rsid w:val="00AC0669"/>
    <w:rsid w:val="00AC07B5"/>
    <w:rsid w:val="00AC097A"/>
    <w:rsid w:val="00AC0C26"/>
    <w:rsid w:val="00AC1027"/>
    <w:rsid w:val="00AC107F"/>
    <w:rsid w:val="00AC1251"/>
    <w:rsid w:val="00AC12D8"/>
    <w:rsid w:val="00AC1395"/>
    <w:rsid w:val="00AC17B0"/>
    <w:rsid w:val="00AC1951"/>
    <w:rsid w:val="00AC1BCA"/>
    <w:rsid w:val="00AC1BDC"/>
    <w:rsid w:val="00AC20BB"/>
    <w:rsid w:val="00AC21DD"/>
    <w:rsid w:val="00AC224D"/>
    <w:rsid w:val="00AC232D"/>
    <w:rsid w:val="00AC2330"/>
    <w:rsid w:val="00AC284E"/>
    <w:rsid w:val="00AC2E50"/>
    <w:rsid w:val="00AC2EC2"/>
    <w:rsid w:val="00AC2FBE"/>
    <w:rsid w:val="00AC3096"/>
    <w:rsid w:val="00AC30DA"/>
    <w:rsid w:val="00AC3332"/>
    <w:rsid w:val="00AC3401"/>
    <w:rsid w:val="00AC3432"/>
    <w:rsid w:val="00AC3538"/>
    <w:rsid w:val="00AC3625"/>
    <w:rsid w:val="00AC36E8"/>
    <w:rsid w:val="00AC374C"/>
    <w:rsid w:val="00AC399D"/>
    <w:rsid w:val="00AC3B01"/>
    <w:rsid w:val="00AC3B79"/>
    <w:rsid w:val="00AC3CD0"/>
    <w:rsid w:val="00AC3F2B"/>
    <w:rsid w:val="00AC4292"/>
    <w:rsid w:val="00AC442C"/>
    <w:rsid w:val="00AC4485"/>
    <w:rsid w:val="00AC4A02"/>
    <w:rsid w:val="00AC4A82"/>
    <w:rsid w:val="00AC4B85"/>
    <w:rsid w:val="00AC4DE0"/>
    <w:rsid w:val="00AC4FE3"/>
    <w:rsid w:val="00AC52B4"/>
    <w:rsid w:val="00AC5539"/>
    <w:rsid w:val="00AC56C0"/>
    <w:rsid w:val="00AC5A1F"/>
    <w:rsid w:val="00AC5A2F"/>
    <w:rsid w:val="00AC5ABE"/>
    <w:rsid w:val="00AC5B4F"/>
    <w:rsid w:val="00AC5F11"/>
    <w:rsid w:val="00AC5FCF"/>
    <w:rsid w:val="00AC6291"/>
    <w:rsid w:val="00AC64F9"/>
    <w:rsid w:val="00AC657A"/>
    <w:rsid w:val="00AC6637"/>
    <w:rsid w:val="00AC6643"/>
    <w:rsid w:val="00AC6733"/>
    <w:rsid w:val="00AC71AB"/>
    <w:rsid w:val="00AC7552"/>
    <w:rsid w:val="00AC75E4"/>
    <w:rsid w:val="00AC7770"/>
    <w:rsid w:val="00AD01D1"/>
    <w:rsid w:val="00AD03BE"/>
    <w:rsid w:val="00AD04B6"/>
    <w:rsid w:val="00AD0572"/>
    <w:rsid w:val="00AD061D"/>
    <w:rsid w:val="00AD078A"/>
    <w:rsid w:val="00AD0A04"/>
    <w:rsid w:val="00AD0CC4"/>
    <w:rsid w:val="00AD0D31"/>
    <w:rsid w:val="00AD0E1E"/>
    <w:rsid w:val="00AD12BA"/>
    <w:rsid w:val="00AD1483"/>
    <w:rsid w:val="00AD17C4"/>
    <w:rsid w:val="00AD1C55"/>
    <w:rsid w:val="00AD1D98"/>
    <w:rsid w:val="00AD1DA7"/>
    <w:rsid w:val="00AD2009"/>
    <w:rsid w:val="00AD2126"/>
    <w:rsid w:val="00AD218F"/>
    <w:rsid w:val="00AD2445"/>
    <w:rsid w:val="00AD24C1"/>
    <w:rsid w:val="00AD2846"/>
    <w:rsid w:val="00AD29CB"/>
    <w:rsid w:val="00AD2E14"/>
    <w:rsid w:val="00AD2FE7"/>
    <w:rsid w:val="00AD303F"/>
    <w:rsid w:val="00AD320B"/>
    <w:rsid w:val="00AD3463"/>
    <w:rsid w:val="00AD36DE"/>
    <w:rsid w:val="00AD3876"/>
    <w:rsid w:val="00AD3D5E"/>
    <w:rsid w:val="00AD3E97"/>
    <w:rsid w:val="00AD3F4C"/>
    <w:rsid w:val="00AD44FE"/>
    <w:rsid w:val="00AD471E"/>
    <w:rsid w:val="00AD47CE"/>
    <w:rsid w:val="00AD48DF"/>
    <w:rsid w:val="00AD4A31"/>
    <w:rsid w:val="00AD4C71"/>
    <w:rsid w:val="00AD520C"/>
    <w:rsid w:val="00AD5675"/>
    <w:rsid w:val="00AD5C82"/>
    <w:rsid w:val="00AD5D82"/>
    <w:rsid w:val="00AD612D"/>
    <w:rsid w:val="00AD63DF"/>
    <w:rsid w:val="00AD646B"/>
    <w:rsid w:val="00AD6659"/>
    <w:rsid w:val="00AD66DE"/>
    <w:rsid w:val="00AD6938"/>
    <w:rsid w:val="00AD6CB2"/>
    <w:rsid w:val="00AD6D51"/>
    <w:rsid w:val="00AD6EF0"/>
    <w:rsid w:val="00AD6F61"/>
    <w:rsid w:val="00AD6F7F"/>
    <w:rsid w:val="00AD6F95"/>
    <w:rsid w:val="00AD70B4"/>
    <w:rsid w:val="00AD719C"/>
    <w:rsid w:val="00AD759F"/>
    <w:rsid w:val="00AD76A3"/>
    <w:rsid w:val="00AD777B"/>
    <w:rsid w:val="00AD7839"/>
    <w:rsid w:val="00AD7992"/>
    <w:rsid w:val="00AD7AFE"/>
    <w:rsid w:val="00AD7CE8"/>
    <w:rsid w:val="00AE003A"/>
    <w:rsid w:val="00AE0076"/>
    <w:rsid w:val="00AE01A9"/>
    <w:rsid w:val="00AE026A"/>
    <w:rsid w:val="00AE03FA"/>
    <w:rsid w:val="00AE07AC"/>
    <w:rsid w:val="00AE0890"/>
    <w:rsid w:val="00AE0957"/>
    <w:rsid w:val="00AE0AB3"/>
    <w:rsid w:val="00AE0BFF"/>
    <w:rsid w:val="00AE0C8F"/>
    <w:rsid w:val="00AE0D9F"/>
    <w:rsid w:val="00AE0E19"/>
    <w:rsid w:val="00AE0FC9"/>
    <w:rsid w:val="00AE133D"/>
    <w:rsid w:val="00AE13F9"/>
    <w:rsid w:val="00AE1455"/>
    <w:rsid w:val="00AE19F8"/>
    <w:rsid w:val="00AE1A23"/>
    <w:rsid w:val="00AE2162"/>
    <w:rsid w:val="00AE249B"/>
    <w:rsid w:val="00AE28EA"/>
    <w:rsid w:val="00AE2C4D"/>
    <w:rsid w:val="00AE2F75"/>
    <w:rsid w:val="00AE3442"/>
    <w:rsid w:val="00AE3535"/>
    <w:rsid w:val="00AE3541"/>
    <w:rsid w:val="00AE3B3F"/>
    <w:rsid w:val="00AE3CCA"/>
    <w:rsid w:val="00AE3DBB"/>
    <w:rsid w:val="00AE3E28"/>
    <w:rsid w:val="00AE4226"/>
    <w:rsid w:val="00AE422B"/>
    <w:rsid w:val="00AE4332"/>
    <w:rsid w:val="00AE43BF"/>
    <w:rsid w:val="00AE4925"/>
    <w:rsid w:val="00AE49A2"/>
    <w:rsid w:val="00AE4D1F"/>
    <w:rsid w:val="00AE4EC1"/>
    <w:rsid w:val="00AE5444"/>
    <w:rsid w:val="00AE56D4"/>
    <w:rsid w:val="00AE655E"/>
    <w:rsid w:val="00AE65B0"/>
    <w:rsid w:val="00AE6F43"/>
    <w:rsid w:val="00AE71D2"/>
    <w:rsid w:val="00AE745D"/>
    <w:rsid w:val="00AE7897"/>
    <w:rsid w:val="00AE79FF"/>
    <w:rsid w:val="00AE7AF5"/>
    <w:rsid w:val="00AE7C40"/>
    <w:rsid w:val="00AF0145"/>
    <w:rsid w:val="00AF0920"/>
    <w:rsid w:val="00AF0C42"/>
    <w:rsid w:val="00AF0CD5"/>
    <w:rsid w:val="00AF1272"/>
    <w:rsid w:val="00AF16B6"/>
    <w:rsid w:val="00AF18D4"/>
    <w:rsid w:val="00AF18DD"/>
    <w:rsid w:val="00AF1946"/>
    <w:rsid w:val="00AF1AC1"/>
    <w:rsid w:val="00AF1AFB"/>
    <w:rsid w:val="00AF1E0E"/>
    <w:rsid w:val="00AF1E77"/>
    <w:rsid w:val="00AF1FA9"/>
    <w:rsid w:val="00AF2048"/>
    <w:rsid w:val="00AF2302"/>
    <w:rsid w:val="00AF230E"/>
    <w:rsid w:val="00AF2356"/>
    <w:rsid w:val="00AF235C"/>
    <w:rsid w:val="00AF287A"/>
    <w:rsid w:val="00AF2B9C"/>
    <w:rsid w:val="00AF2C87"/>
    <w:rsid w:val="00AF2EE4"/>
    <w:rsid w:val="00AF3079"/>
    <w:rsid w:val="00AF3093"/>
    <w:rsid w:val="00AF3217"/>
    <w:rsid w:val="00AF37BD"/>
    <w:rsid w:val="00AF3A5B"/>
    <w:rsid w:val="00AF3BDE"/>
    <w:rsid w:val="00AF4039"/>
    <w:rsid w:val="00AF4084"/>
    <w:rsid w:val="00AF4342"/>
    <w:rsid w:val="00AF4A90"/>
    <w:rsid w:val="00AF4C50"/>
    <w:rsid w:val="00AF5123"/>
    <w:rsid w:val="00AF5256"/>
    <w:rsid w:val="00AF573C"/>
    <w:rsid w:val="00AF5773"/>
    <w:rsid w:val="00AF5969"/>
    <w:rsid w:val="00AF5B4F"/>
    <w:rsid w:val="00AF621B"/>
    <w:rsid w:val="00AF6241"/>
    <w:rsid w:val="00AF63AC"/>
    <w:rsid w:val="00AF6421"/>
    <w:rsid w:val="00AF6702"/>
    <w:rsid w:val="00AF6844"/>
    <w:rsid w:val="00AF6F2F"/>
    <w:rsid w:val="00AF76A5"/>
    <w:rsid w:val="00AF786D"/>
    <w:rsid w:val="00AF7B2C"/>
    <w:rsid w:val="00AF7C01"/>
    <w:rsid w:val="00AF7CD0"/>
    <w:rsid w:val="00B000A1"/>
    <w:rsid w:val="00B001EF"/>
    <w:rsid w:val="00B0059F"/>
    <w:rsid w:val="00B00AFE"/>
    <w:rsid w:val="00B00E2B"/>
    <w:rsid w:val="00B00F13"/>
    <w:rsid w:val="00B010A7"/>
    <w:rsid w:val="00B01295"/>
    <w:rsid w:val="00B01588"/>
    <w:rsid w:val="00B01865"/>
    <w:rsid w:val="00B01A1F"/>
    <w:rsid w:val="00B01CC7"/>
    <w:rsid w:val="00B0216A"/>
    <w:rsid w:val="00B0231E"/>
    <w:rsid w:val="00B027ED"/>
    <w:rsid w:val="00B028AC"/>
    <w:rsid w:val="00B02C0C"/>
    <w:rsid w:val="00B02EAB"/>
    <w:rsid w:val="00B02ECF"/>
    <w:rsid w:val="00B02FEE"/>
    <w:rsid w:val="00B0343F"/>
    <w:rsid w:val="00B03500"/>
    <w:rsid w:val="00B0367E"/>
    <w:rsid w:val="00B037D3"/>
    <w:rsid w:val="00B0382B"/>
    <w:rsid w:val="00B03A9F"/>
    <w:rsid w:val="00B0414C"/>
    <w:rsid w:val="00B04650"/>
    <w:rsid w:val="00B04857"/>
    <w:rsid w:val="00B0532D"/>
    <w:rsid w:val="00B05336"/>
    <w:rsid w:val="00B05555"/>
    <w:rsid w:val="00B056DC"/>
    <w:rsid w:val="00B059CE"/>
    <w:rsid w:val="00B05BD2"/>
    <w:rsid w:val="00B05D36"/>
    <w:rsid w:val="00B05F17"/>
    <w:rsid w:val="00B06973"/>
    <w:rsid w:val="00B069FF"/>
    <w:rsid w:val="00B06B32"/>
    <w:rsid w:val="00B06CFD"/>
    <w:rsid w:val="00B071D4"/>
    <w:rsid w:val="00B07278"/>
    <w:rsid w:val="00B0780B"/>
    <w:rsid w:val="00B07A6D"/>
    <w:rsid w:val="00B07C72"/>
    <w:rsid w:val="00B07F1A"/>
    <w:rsid w:val="00B07F9C"/>
    <w:rsid w:val="00B10473"/>
    <w:rsid w:val="00B1056F"/>
    <w:rsid w:val="00B10DDA"/>
    <w:rsid w:val="00B11466"/>
    <w:rsid w:val="00B114DE"/>
    <w:rsid w:val="00B11BA0"/>
    <w:rsid w:val="00B11BBC"/>
    <w:rsid w:val="00B11D90"/>
    <w:rsid w:val="00B11F87"/>
    <w:rsid w:val="00B12118"/>
    <w:rsid w:val="00B123FC"/>
    <w:rsid w:val="00B12681"/>
    <w:rsid w:val="00B12B80"/>
    <w:rsid w:val="00B12D20"/>
    <w:rsid w:val="00B1328B"/>
    <w:rsid w:val="00B13396"/>
    <w:rsid w:val="00B13738"/>
    <w:rsid w:val="00B13860"/>
    <w:rsid w:val="00B13908"/>
    <w:rsid w:val="00B13D78"/>
    <w:rsid w:val="00B13DC8"/>
    <w:rsid w:val="00B13F8C"/>
    <w:rsid w:val="00B13FEE"/>
    <w:rsid w:val="00B14358"/>
    <w:rsid w:val="00B1439C"/>
    <w:rsid w:val="00B1468E"/>
    <w:rsid w:val="00B14707"/>
    <w:rsid w:val="00B14D19"/>
    <w:rsid w:val="00B14EA5"/>
    <w:rsid w:val="00B150BF"/>
    <w:rsid w:val="00B1542D"/>
    <w:rsid w:val="00B1570B"/>
    <w:rsid w:val="00B15C8A"/>
    <w:rsid w:val="00B15D52"/>
    <w:rsid w:val="00B15DC8"/>
    <w:rsid w:val="00B1618D"/>
    <w:rsid w:val="00B167B8"/>
    <w:rsid w:val="00B16923"/>
    <w:rsid w:val="00B16CF0"/>
    <w:rsid w:val="00B16E9F"/>
    <w:rsid w:val="00B170E8"/>
    <w:rsid w:val="00B17169"/>
    <w:rsid w:val="00B174C2"/>
    <w:rsid w:val="00B175F1"/>
    <w:rsid w:val="00B17AFD"/>
    <w:rsid w:val="00B20478"/>
    <w:rsid w:val="00B20A4E"/>
    <w:rsid w:val="00B20C31"/>
    <w:rsid w:val="00B20FF3"/>
    <w:rsid w:val="00B21590"/>
    <w:rsid w:val="00B218A4"/>
    <w:rsid w:val="00B21A4B"/>
    <w:rsid w:val="00B21A53"/>
    <w:rsid w:val="00B21E9E"/>
    <w:rsid w:val="00B22151"/>
    <w:rsid w:val="00B222BA"/>
    <w:rsid w:val="00B2249F"/>
    <w:rsid w:val="00B2258C"/>
    <w:rsid w:val="00B22596"/>
    <w:rsid w:val="00B226D2"/>
    <w:rsid w:val="00B2290D"/>
    <w:rsid w:val="00B22978"/>
    <w:rsid w:val="00B22AB9"/>
    <w:rsid w:val="00B22AC9"/>
    <w:rsid w:val="00B22B01"/>
    <w:rsid w:val="00B22B2E"/>
    <w:rsid w:val="00B22BF4"/>
    <w:rsid w:val="00B22E90"/>
    <w:rsid w:val="00B22FDA"/>
    <w:rsid w:val="00B231AC"/>
    <w:rsid w:val="00B23281"/>
    <w:rsid w:val="00B238D5"/>
    <w:rsid w:val="00B23981"/>
    <w:rsid w:val="00B23B2F"/>
    <w:rsid w:val="00B23B82"/>
    <w:rsid w:val="00B23CD9"/>
    <w:rsid w:val="00B240FB"/>
    <w:rsid w:val="00B241CD"/>
    <w:rsid w:val="00B246FE"/>
    <w:rsid w:val="00B247F8"/>
    <w:rsid w:val="00B24989"/>
    <w:rsid w:val="00B24C13"/>
    <w:rsid w:val="00B24ED0"/>
    <w:rsid w:val="00B253E5"/>
    <w:rsid w:val="00B25689"/>
    <w:rsid w:val="00B2578F"/>
    <w:rsid w:val="00B259D8"/>
    <w:rsid w:val="00B25E6D"/>
    <w:rsid w:val="00B262D4"/>
    <w:rsid w:val="00B2659F"/>
    <w:rsid w:val="00B266F7"/>
    <w:rsid w:val="00B2670B"/>
    <w:rsid w:val="00B269C4"/>
    <w:rsid w:val="00B26A44"/>
    <w:rsid w:val="00B26FE0"/>
    <w:rsid w:val="00B2701A"/>
    <w:rsid w:val="00B278EA"/>
    <w:rsid w:val="00B27E55"/>
    <w:rsid w:val="00B27EE8"/>
    <w:rsid w:val="00B27F50"/>
    <w:rsid w:val="00B27FA3"/>
    <w:rsid w:val="00B304F8"/>
    <w:rsid w:val="00B3061E"/>
    <w:rsid w:val="00B30938"/>
    <w:rsid w:val="00B30B29"/>
    <w:rsid w:val="00B30E02"/>
    <w:rsid w:val="00B3132A"/>
    <w:rsid w:val="00B315BC"/>
    <w:rsid w:val="00B315D5"/>
    <w:rsid w:val="00B31E10"/>
    <w:rsid w:val="00B32305"/>
    <w:rsid w:val="00B32417"/>
    <w:rsid w:val="00B324FA"/>
    <w:rsid w:val="00B3285B"/>
    <w:rsid w:val="00B328B5"/>
    <w:rsid w:val="00B32915"/>
    <w:rsid w:val="00B32CA3"/>
    <w:rsid w:val="00B32F73"/>
    <w:rsid w:val="00B3330D"/>
    <w:rsid w:val="00B33547"/>
    <w:rsid w:val="00B33CCD"/>
    <w:rsid w:val="00B33D96"/>
    <w:rsid w:val="00B33E4D"/>
    <w:rsid w:val="00B343AA"/>
    <w:rsid w:val="00B3463B"/>
    <w:rsid w:val="00B34BD2"/>
    <w:rsid w:val="00B34C1B"/>
    <w:rsid w:val="00B34E29"/>
    <w:rsid w:val="00B34EE8"/>
    <w:rsid w:val="00B34F59"/>
    <w:rsid w:val="00B3520D"/>
    <w:rsid w:val="00B3540C"/>
    <w:rsid w:val="00B3541F"/>
    <w:rsid w:val="00B3571A"/>
    <w:rsid w:val="00B3579C"/>
    <w:rsid w:val="00B35807"/>
    <w:rsid w:val="00B3584F"/>
    <w:rsid w:val="00B35A86"/>
    <w:rsid w:val="00B360BB"/>
    <w:rsid w:val="00B36122"/>
    <w:rsid w:val="00B361C5"/>
    <w:rsid w:val="00B362BE"/>
    <w:rsid w:val="00B36303"/>
    <w:rsid w:val="00B365C9"/>
    <w:rsid w:val="00B36681"/>
    <w:rsid w:val="00B36684"/>
    <w:rsid w:val="00B367B7"/>
    <w:rsid w:val="00B3695B"/>
    <w:rsid w:val="00B36A7C"/>
    <w:rsid w:val="00B36C18"/>
    <w:rsid w:val="00B36CF8"/>
    <w:rsid w:val="00B371BB"/>
    <w:rsid w:val="00B372D2"/>
    <w:rsid w:val="00B375CF"/>
    <w:rsid w:val="00B375D8"/>
    <w:rsid w:val="00B3787C"/>
    <w:rsid w:val="00B37A15"/>
    <w:rsid w:val="00B37AD4"/>
    <w:rsid w:val="00B37AF0"/>
    <w:rsid w:val="00B37B56"/>
    <w:rsid w:val="00B37D09"/>
    <w:rsid w:val="00B37DFF"/>
    <w:rsid w:val="00B40055"/>
    <w:rsid w:val="00B4030E"/>
    <w:rsid w:val="00B403E8"/>
    <w:rsid w:val="00B40CC2"/>
    <w:rsid w:val="00B40DA7"/>
    <w:rsid w:val="00B40EC1"/>
    <w:rsid w:val="00B41153"/>
    <w:rsid w:val="00B411B9"/>
    <w:rsid w:val="00B41305"/>
    <w:rsid w:val="00B41377"/>
    <w:rsid w:val="00B416E8"/>
    <w:rsid w:val="00B41E32"/>
    <w:rsid w:val="00B41F89"/>
    <w:rsid w:val="00B41FAB"/>
    <w:rsid w:val="00B42209"/>
    <w:rsid w:val="00B42492"/>
    <w:rsid w:val="00B42753"/>
    <w:rsid w:val="00B42896"/>
    <w:rsid w:val="00B42B7B"/>
    <w:rsid w:val="00B42CA1"/>
    <w:rsid w:val="00B43188"/>
    <w:rsid w:val="00B43260"/>
    <w:rsid w:val="00B4368F"/>
    <w:rsid w:val="00B4376F"/>
    <w:rsid w:val="00B437C5"/>
    <w:rsid w:val="00B43A26"/>
    <w:rsid w:val="00B43B66"/>
    <w:rsid w:val="00B43FE8"/>
    <w:rsid w:val="00B440A4"/>
    <w:rsid w:val="00B4417F"/>
    <w:rsid w:val="00B44935"/>
    <w:rsid w:val="00B45027"/>
    <w:rsid w:val="00B45674"/>
    <w:rsid w:val="00B4586A"/>
    <w:rsid w:val="00B45F7A"/>
    <w:rsid w:val="00B460A7"/>
    <w:rsid w:val="00B460F6"/>
    <w:rsid w:val="00B46132"/>
    <w:rsid w:val="00B46914"/>
    <w:rsid w:val="00B46BFB"/>
    <w:rsid w:val="00B46C03"/>
    <w:rsid w:val="00B46DE4"/>
    <w:rsid w:val="00B46EA8"/>
    <w:rsid w:val="00B46F87"/>
    <w:rsid w:val="00B4790C"/>
    <w:rsid w:val="00B47D23"/>
    <w:rsid w:val="00B47ECD"/>
    <w:rsid w:val="00B50029"/>
    <w:rsid w:val="00B50120"/>
    <w:rsid w:val="00B50314"/>
    <w:rsid w:val="00B503C2"/>
    <w:rsid w:val="00B507C0"/>
    <w:rsid w:val="00B507FD"/>
    <w:rsid w:val="00B50F4A"/>
    <w:rsid w:val="00B51593"/>
    <w:rsid w:val="00B5184A"/>
    <w:rsid w:val="00B51B5A"/>
    <w:rsid w:val="00B51B94"/>
    <w:rsid w:val="00B51EF5"/>
    <w:rsid w:val="00B5248E"/>
    <w:rsid w:val="00B525F1"/>
    <w:rsid w:val="00B5295D"/>
    <w:rsid w:val="00B52B9D"/>
    <w:rsid w:val="00B52CB2"/>
    <w:rsid w:val="00B52D86"/>
    <w:rsid w:val="00B52E6C"/>
    <w:rsid w:val="00B5321A"/>
    <w:rsid w:val="00B53689"/>
    <w:rsid w:val="00B53A56"/>
    <w:rsid w:val="00B53BFE"/>
    <w:rsid w:val="00B53CA9"/>
    <w:rsid w:val="00B53D14"/>
    <w:rsid w:val="00B54051"/>
    <w:rsid w:val="00B543B6"/>
    <w:rsid w:val="00B5476A"/>
    <w:rsid w:val="00B54962"/>
    <w:rsid w:val="00B54A9E"/>
    <w:rsid w:val="00B54B63"/>
    <w:rsid w:val="00B54C6C"/>
    <w:rsid w:val="00B54D3D"/>
    <w:rsid w:val="00B5569E"/>
    <w:rsid w:val="00B55B9A"/>
    <w:rsid w:val="00B55C07"/>
    <w:rsid w:val="00B55CF5"/>
    <w:rsid w:val="00B561A7"/>
    <w:rsid w:val="00B56246"/>
    <w:rsid w:val="00B5631A"/>
    <w:rsid w:val="00B56584"/>
    <w:rsid w:val="00B56651"/>
    <w:rsid w:val="00B56826"/>
    <w:rsid w:val="00B56896"/>
    <w:rsid w:val="00B56D17"/>
    <w:rsid w:val="00B57178"/>
    <w:rsid w:val="00B57184"/>
    <w:rsid w:val="00B5771A"/>
    <w:rsid w:val="00B579A4"/>
    <w:rsid w:val="00B57C0A"/>
    <w:rsid w:val="00B6008A"/>
    <w:rsid w:val="00B60972"/>
    <w:rsid w:val="00B609ED"/>
    <w:rsid w:val="00B60BA9"/>
    <w:rsid w:val="00B60CA1"/>
    <w:rsid w:val="00B60F01"/>
    <w:rsid w:val="00B612BE"/>
    <w:rsid w:val="00B613A5"/>
    <w:rsid w:val="00B613AA"/>
    <w:rsid w:val="00B615E3"/>
    <w:rsid w:val="00B6173A"/>
    <w:rsid w:val="00B61864"/>
    <w:rsid w:val="00B619EC"/>
    <w:rsid w:val="00B61AAD"/>
    <w:rsid w:val="00B61B7D"/>
    <w:rsid w:val="00B61D1B"/>
    <w:rsid w:val="00B61E20"/>
    <w:rsid w:val="00B621EE"/>
    <w:rsid w:val="00B623BA"/>
    <w:rsid w:val="00B624E2"/>
    <w:rsid w:val="00B62809"/>
    <w:rsid w:val="00B633E3"/>
    <w:rsid w:val="00B63BD0"/>
    <w:rsid w:val="00B64008"/>
    <w:rsid w:val="00B64158"/>
    <w:rsid w:val="00B642BE"/>
    <w:rsid w:val="00B642DA"/>
    <w:rsid w:val="00B64315"/>
    <w:rsid w:val="00B643F1"/>
    <w:rsid w:val="00B646DF"/>
    <w:rsid w:val="00B6541D"/>
    <w:rsid w:val="00B65496"/>
    <w:rsid w:val="00B655D9"/>
    <w:rsid w:val="00B656ED"/>
    <w:rsid w:val="00B65C7E"/>
    <w:rsid w:val="00B661CE"/>
    <w:rsid w:val="00B666F1"/>
    <w:rsid w:val="00B6670F"/>
    <w:rsid w:val="00B66AA3"/>
    <w:rsid w:val="00B66AAC"/>
    <w:rsid w:val="00B66F4E"/>
    <w:rsid w:val="00B672CC"/>
    <w:rsid w:val="00B673A7"/>
    <w:rsid w:val="00B678F7"/>
    <w:rsid w:val="00B70190"/>
    <w:rsid w:val="00B7032A"/>
    <w:rsid w:val="00B704F4"/>
    <w:rsid w:val="00B7060C"/>
    <w:rsid w:val="00B707C1"/>
    <w:rsid w:val="00B70B78"/>
    <w:rsid w:val="00B70CC1"/>
    <w:rsid w:val="00B70FD7"/>
    <w:rsid w:val="00B7114E"/>
    <w:rsid w:val="00B7168B"/>
    <w:rsid w:val="00B719B9"/>
    <w:rsid w:val="00B71E85"/>
    <w:rsid w:val="00B71F4C"/>
    <w:rsid w:val="00B7201A"/>
    <w:rsid w:val="00B72199"/>
    <w:rsid w:val="00B72418"/>
    <w:rsid w:val="00B72592"/>
    <w:rsid w:val="00B725F3"/>
    <w:rsid w:val="00B72729"/>
    <w:rsid w:val="00B72906"/>
    <w:rsid w:val="00B72AB0"/>
    <w:rsid w:val="00B7309F"/>
    <w:rsid w:val="00B73820"/>
    <w:rsid w:val="00B73B94"/>
    <w:rsid w:val="00B73E74"/>
    <w:rsid w:val="00B73E7B"/>
    <w:rsid w:val="00B74082"/>
    <w:rsid w:val="00B740D5"/>
    <w:rsid w:val="00B7425E"/>
    <w:rsid w:val="00B74511"/>
    <w:rsid w:val="00B74535"/>
    <w:rsid w:val="00B74548"/>
    <w:rsid w:val="00B74559"/>
    <w:rsid w:val="00B74598"/>
    <w:rsid w:val="00B7480A"/>
    <w:rsid w:val="00B755FD"/>
    <w:rsid w:val="00B759E9"/>
    <w:rsid w:val="00B75B2A"/>
    <w:rsid w:val="00B75D1C"/>
    <w:rsid w:val="00B75ECF"/>
    <w:rsid w:val="00B7610D"/>
    <w:rsid w:val="00B76AE6"/>
    <w:rsid w:val="00B76B34"/>
    <w:rsid w:val="00B77583"/>
    <w:rsid w:val="00B77714"/>
    <w:rsid w:val="00B77807"/>
    <w:rsid w:val="00B7790E"/>
    <w:rsid w:val="00B77C19"/>
    <w:rsid w:val="00B77D5B"/>
    <w:rsid w:val="00B77D93"/>
    <w:rsid w:val="00B77EA3"/>
    <w:rsid w:val="00B800BB"/>
    <w:rsid w:val="00B801BA"/>
    <w:rsid w:val="00B802B0"/>
    <w:rsid w:val="00B805AA"/>
    <w:rsid w:val="00B8084F"/>
    <w:rsid w:val="00B809F1"/>
    <w:rsid w:val="00B80E96"/>
    <w:rsid w:val="00B80FDA"/>
    <w:rsid w:val="00B81569"/>
    <w:rsid w:val="00B8195B"/>
    <w:rsid w:val="00B81CB2"/>
    <w:rsid w:val="00B82417"/>
    <w:rsid w:val="00B828EA"/>
    <w:rsid w:val="00B82A83"/>
    <w:rsid w:val="00B82D97"/>
    <w:rsid w:val="00B82E70"/>
    <w:rsid w:val="00B82E74"/>
    <w:rsid w:val="00B82E85"/>
    <w:rsid w:val="00B82F3A"/>
    <w:rsid w:val="00B83181"/>
    <w:rsid w:val="00B831D1"/>
    <w:rsid w:val="00B833A2"/>
    <w:rsid w:val="00B83B31"/>
    <w:rsid w:val="00B84282"/>
    <w:rsid w:val="00B84541"/>
    <w:rsid w:val="00B8474A"/>
    <w:rsid w:val="00B849D5"/>
    <w:rsid w:val="00B851B0"/>
    <w:rsid w:val="00B85822"/>
    <w:rsid w:val="00B85C95"/>
    <w:rsid w:val="00B85D64"/>
    <w:rsid w:val="00B85F7A"/>
    <w:rsid w:val="00B8692A"/>
    <w:rsid w:val="00B86945"/>
    <w:rsid w:val="00B869E9"/>
    <w:rsid w:val="00B86A6B"/>
    <w:rsid w:val="00B86DB0"/>
    <w:rsid w:val="00B86E58"/>
    <w:rsid w:val="00B86EA9"/>
    <w:rsid w:val="00B8722B"/>
    <w:rsid w:val="00B8730F"/>
    <w:rsid w:val="00B874C6"/>
    <w:rsid w:val="00B879A4"/>
    <w:rsid w:val="00B879AF"/>
    <w:rsid w:val="00B879C0"/>
    <w:rsid w:val="00B87A4B"/>
    <w:rsid w:val="00B87D67"/>
    <w:rsid w:val="00B87E09"/>
    <w:rsid w:val="00B90032"/>
    <w:rsid w:val="00B90066"/>
    <w:rsid w:val="00B902F3"/>
    <w:rsid w:val="00B90302"/>
    <w:rsid w:val="00B90517"/>
    <w:rsid w:val="00B905B9"/>
    <w:rsid w:val="00B90685"/>
    <w:rsid w:val="00B90821"/>
    <w:rsid w:val="00B90A31"/>
    <w:rsid w:val="00B90FFA"/>
    <w:rsid w:val="00B910E7"/>
    <w:rsid w:val="00B91274"/>
    <w:rsid w:val="00B91969"/>
    <w:rsid w:val="00B91F2F"/>
    <w:rsid w:val="00B92064"/>
    <w:rsid w:val="00B921D6"/>
    <w:rsid w:val="00B92431"/>
    <w:rsid w:val="00B92D0A"/>
    <w:rsid w:val="00B9325C"/>
    <w:rsid w:val="00B932AD"/>
    <w:rsid w:val="00B9339D"/>
    <w:rsid w:val="00B9345F"/>
    <w:rsid w:val="00B934D6"/>
    <w:rsid w:val="00B9371C"/>
    <w:rsid w:val="00B9390D"/>
    <w:rsid w:val="00B93A23"/>
    <w:rsid w:val="00B93C20"/>
    <w:rsid w:val="00B93F19"/>
    <w:rsid w:val="00B93FF4"/>
    <w:rsid w:val="00B9434C"/>
    <w:rsid w:val="00B94619"/>
    <w:rsid w:val="00B947A4"/>
    <w:rsid w:val="00B94BDF"/>
    <w:rsid w:val="00B94CB5"/>
    <w:rsid w:val="00B95019"/>
    <w:rsid w:val="00B9588D"/>
    <w:rsid w:val="00B95B38"/>
    <w:rsid w:val="00B95EFB"/>
    <w:rsid w:val="00B9604F"/>
    <w:rsid w:val="00B9610B"/>
    <w:rsid w:val="00B96310"/>
    <w:rsid w:val="00B9645E"/>
    <w:rsid w:val="00B96572"/>
    <w:rsid w:val="00B9657D"/>
    <w:rsid w:val="00B9659C"/>
    <w:rsid w:val="00B967DF"/>
    <w:rsid w:val="00B96924"/>
    <w:rsid w:val="00B96952"/>
    <w:rsid w:val="00B969DD"/>
    <w:rsid w:val="00B96CE9"/>
    <w:rsid w:val="00B96D07"/>
    <w:rsid w:val="00B96D22"/>
    <w:rsid w:val="00B971AB"/>
    <w:rsid w:val="00B977CE"/>
    <w:rsid w:val="00B9782C"/>
    <w:rsid w:val="00B97AE9"/>
    <w:rsid w:val="00B97C25"/>
    <w:rsid w:val="00B97D48"/>
    <w:rsid w:val="00BA02F6"/>
    <w:rsid w:val="00BA05A0"/>
    <w:rsid w:val="00BA0893"/>
    <w:rsid w:val="00BA0B3C"/>
    <w:rsid w:val="00BA0C32"/>
    <w:rsid w:val="00BA0C98"/>
    <w:rsid w:val="00BA1810"/>
    <w:rsid w:val="00BA1C4E"/>
    <w:rsid w:val="00BA1E9C"/>
    <w:rsid w:val="00BA1FA3"/>
    <w:rsid w:val="00BA20CE"/>
    <w:rsid w:val="00BA20D6"/>
    <w:rsid w:val="00BA25D4"/>
    <w:rsid w:val="00BA265C"/>
    <w:rsid w:val="00BA29D2"/>
    <w:rsid w:val="00BA2D2C"/>
    <w:rsid w:val="00BA303E"/>
    <w:rsid w:val="00BA319D"/>
    <w:rsid w:val="00BA3273"/>
    <w:rsid w:val="00BA359B"/>
    <w:rsid w:val="00BA370F"/>
    <w:rsid w:val="00BA37BE"/>
    <w:rsid w:val="00BA3E2C"/>
    <w:rsid w:val="00BA428E"/>
    <w:rsid w:val="00BA46F7"/>
    <w:rsid w:val="00BA4BB6"/>
    <w:rsid w:val="00BA4C9B"/>
    <w:rsid w:val="00BA5B84"/>
    <w:rsid w:val="00BA5BC6"/>
    <w:rsid w:val="00BA5C51"/>
    <w:rsid w:val="00BA5CC1"/>
    <w:rsid w:val="00BA6142"/>
    <w:rsid w:val="00BA6511"/>
    <w:rsid w:val="00BA6725"/>
    <w:rsid w:val="00BA6D17"/>
    <w:rsid w:val="00BA6D45"/>
    <w:rsid w:val="00BA7353"/>
    <w:rsid w:val="00BA7355"/>
    <w:rsid w:val="00BA73DC"/>
    <w:rsid w:val="00BA7559"/>
    <w:rsid w:val="00BA7728"/>
    <w:rsid w:val="00BA777E"/>
    <w:rsid w:val="00BA78E0"/>
    <w:rsid w:val="00BA7EA0"/>
    <w:rsid w:val="00BB008E"/>
    <w:rsid w:val="00BB0098"/>
    <w:rsid w:val="00BB0250"/>
    <w:rsid w:val="00BB06B0"/>
    <w:rsid w:val="00BB077F"/>
    <w:rsid w:val="00BB0D77"/>
    <w:rsid w:val="00BB0DBC"/>
    <w:rsid w:val="00BB1070"/>
    <w:rsid w:val="00BB157C"/>
    <w:rsid w:val="00BB1979"/>
    <w:rsid w:val="00BB1C1E"/>
    <w:rsid w:val="00BB1F4C"/>
    <w:rsid w:val="00BB20AA"/>
    <w:rsid w:val="00BB2108"/>
    <w:rsid w:val="00BB2168"/>
    <w:rsid w:val="00BB22CB"/>
    <w:rsid w:val="00BB27FA"/>
    <w:rsid w:val="00BB2BEE"/>
    <w:rsid w:val="00BB2C0D"/>
    <w:rsid w:val="00BB2C4F"/>
    <w:rsid w:val="00BB2C65"/>
    <w:rsid w:val="00BB2D8D"/>
    <w:rsid w:val="00BB3459"/>
    <w:rsid w:val="00BB3AF1"/>
    <w:rsid w:val="00BB3E86"/>
    <w:rsid w:val="00BB40BC"/>
    <w:rsid w:val="00BB45C6"/>
    <w:rsid w:val="00BB45EB"/>
    <w:rsid w:val="00BB47A7"/>
    <w:rsid w:val="00BB4836"/>
    <w:rsid w:val="00BB4AFD"/>
    <w:rsid w:val="00BB4C8C"/>
    <w:rsid w:val="00BB4F75"/>
    <w:rsid w:val="00BB5309"/>
    <w:rsid w:val="00BB54E1"/>
    <w:rsid w:val="00BB5C5C"/>
    <w:rsid w:val="00BB5DA7"/>
    <w:rsid w:val="00BB5ECF"/>
    <w:rsid w:val="00BB60E8"/>
    <w:rsid w:val="00BB64E2"/>
    <w:rsid w:val="00BB65D4"/>
    <w:rsid w:val="00BB6A57"/>
    <w:rsid w:val="00BB6C50"/>
    <w:rsid w:val="00BB7049"/>
    <w:rsid w:val="00BB71D0"/>
    <w:rsid w:val="00BB73F6"/>
    <w:rsid w:val="00BB771A"/>
    <w:rsid w:val="00BB7778"/>
    <w:rsid w:val="00BB77C7"/>
    <w:rsid w:val="00BB7984"/>
    <w:rsid w:val="00BB7A2F"/>
    <w:rsid w:val="00BB7A96"/>
    <w:rsid w:val="00BB7C38"/>
    <w:rsid w:val="00BB7DB5"/>
    <w:rsid w:val="00BB7E57"/>
    <w:rsid w:val="00BC0045"/>
    <w:rsid w:val="00BC009B"/>
    <w:rsid w:val="00BC0199"/>
    <w:rsid w:val="00BC0464"/>
    <w:rsid w:val="00BC0807"/>
    <w:rsid w:val="00BC080D"/>
    <w:rsid w:val="00BC085E"/>
    <w:rsid w:val="00BC0E1F"/>
    <w:rsid w:val="00BC17B3"/>
    <w:rsid w:val="00BC188F"/>
    <w:rsid w:val="00BC1918"/>
    <w:rsid w:val="00BC1B6A"/>
    <w:rsid w:val="00BC1B9C"/>
    <w:rsid w:val="00BC1C9C"/>
    <w:rsid w:val="00BC1D6D"/>
    <w:rsid w:val="00BC236E"/>
    <w:rsid w:val="00BC246D"/>
    <w:rsid w:val="00BC2B77"/>
    <w:rsid w:val="00BC2BE5"/>
    <w:rsid w:val="00BC2D26"/>
    <w:rsid w:val="00BC2D3D"/>
    <w:rsid w:val="00BC2EDE"/>
    <w:rsid w:val="00BC365A"/>
    <w:rsid w:val="00BC4087"/>
    <w:rsid w:val="00BC40F6"/>
    <w:rsid w:val="00BC44E1"/>
    <w:rsid w:val="00BC46C1"/>
    <w:rsid w:val="00BC4809"/>
    <w:rsid w:val="00BC4879"/>
    <w:rsid w:val="00BC4C5D"/>
    <w:rsid w:val="00BC5120"/>
    <w:rsid w:val="00BC552D"/>
    <w:rsid w:val="00BC59B0"/>
    <w:rsid w:val="00BC5B73"/>
    <w:rsid w:val="00BC5E38"/>
    <w:rsid w:val="00BC5ED7"/>
    <w:rsid w:val="00BC6088"/>
    <w:rsid w:val="00BC6177"/>
    <w:rsid w:val="00BC6491"/>
    <w:rsid w:val="00BC6847"/>
    <w:rsid w:val="00BC689C"/>
    <w:rsid w:val="00BC6C33"/>
    <w:rsid w:val="00BC6E6D"/>
    <w:rsid w:val="00BC6EAD"/>
    <w:rsid w:val="00BC6F8B"/>
    <w:rsid w:val="00BC7179"/>
    <w:rsid w:val="00BC736D"/>
    <w:rsid w:val="00BC74EC"/>
    <w:rsid w:val="00BC76A0"/>
    <w:rsid w:val="00BC7B2C"/>
    <w:rsid w:val="00BC7C6A"/>
    <w:rsid w:val="00BC7D6D"/>
    <w:rsid w:val="00BC7F7B"/>
    <w:rsid w:val="00BD04BF"/>
    <w:rsid w:val="00BD06DC"/>
    <w:rsid w:val="00BD0804"/>
    <w:rsid w:val="00BD092E"/>
    <w:rsid w:val="00BD0943"/>
    <w:rsid w:val="00BD0954"/>
    <w:rsid w:val="00BD0A84"/>
    <w:rsid w:val="00BD0B27"/>
    <w:rsid w:val="00BD0B44"/>
    <w:rsid w:val="00BD0DC3"/>
    <w:rsid w:val="00BD12AB"/>
    <w:rsid w:val="00BD1380"/>
    <w:rsid w:val="00BD14C9"/>
    <w:rsid w:val="00BD15ED"/>
    <w:rsid w:val="00BD17DA"/>
    <w:rsid w:val="00BD182C"/>
    <w:rsid w:val="00BD19D8"/>
    <w:rsid w:val="00BD19DB"/>
    <w:rsid w:val="00BD19E0"/>
    <w:rsid w:val="00BD1A14"/>
    <w:rsid w:val="00BD1C8E"/>
    <w:rsid w:val="00BD1C93"/>
    <w:rsid w:val="00BD1D7B"/>
    <w:rsid w:val="00BD1E13"/>
    <w:rsid w:val="00BD211C"/>
    <w:rsid w:val="00BD21C3"/>
    <w:rsid w:val="00BD2229"/>
    <w:rsid w:val="00BD24AA"/>
    <w:rsid w:val="00BD2505"/>
    <w:rsid w:val="00BD25AE"/>
    <w:rsid w:val="00BD26AC"/>
    <w:rsid w:val="00BD29EF"/>
    <w:rsid w:val="00BD2A81"/>
    <w:rsid w:val="00BD2D69"/>
    <w:rsid w:val="00BD31A6"/>
    <w:rsid w:val="00BD3293"/>
    <w:rsid w:val="00BD34BF"/>
    <w:rsid w:val="00BD3D03"/>
    <w:rsid w:val="00BD3D4E"/>
    <w:rsid w:val="00BD3D57"/>
    <w:rsid w:val="00BD3D58"/>
    <w:rsid w:val="00BD3F53"/>
    <w:rsid w:val="00BD405C"/>
    <w:rsid w:val="00BD4290"/>
    <w:rsid w:val="00BD42ED"/>
    <w:rsid w:val="00BD4AAF"/>
    <w:rsid w:val="00BD4BAB"/>
    <w:rsid w:val="00BD4BD2"/>
    <w:rsid w:val="00BD5462"/>
    <w:rsid w:val="00BD55C5"/>
    <w:rsid w:val="00BD570C"/>
    <w:rsid w:val="00BD57CA"/>
    <w:rsid w:val="00BD57E8"/>
    <w:rsid w:val="00BD5950"/>
    <w:rsid w:val="00BD5F66"/>
    <w:rsid w:val="00BD61D9"/>
    <w:rsid w:val="00BD63DE"/>
    <w:rsid w:val="00BD6432"/>
    <w:rsid w:val="00BD6544"/>
    <w:rsid w:val="00BD676A"/>
    <w:rsid w:val="00BD67CF"/>
    <w:rsid w:val="00BD68B1"/>
    <w:rsid w:val="00BD69A8"/>
    <w:rsid w:val="00BD6BCF"/>
    <w:rsid w:val="00BD6C45"/>
    <w:rsid w:val="00BD6DDE"/>
    <w:rsid w:val="00BD6E9A"/>
    <w:rsid w:val="00BD7100"/>
    <w:rsid w:val="00BD7153"/>
    <w:rsid w:val="00BD79DF"/>
    <w:rsid w:val="00BE040C"/>
    <w:rsid w:val="00BE0771"/>
    <w:rsid w:val="00BE0931"/>
    <w:rsid w:val="00BE0B77"/>
    <w:rsid w:val="00BE0E81"/>
    <w:rsid w:val="00BE10D0"/>
    <w:rsid w:val="00BE1108"/>
    <w:rsid w:val="00BE123B"/>
    <w:rsid w:val="00BE13D6"/>
    <w:rsid w:val="00BE13DD"/>
    <w:rsid w:val="00BE13DF"/>
    <w:rsid w:val="00BE1456"/>
    <w:rsid w:val="00BE19FF"/>
    <w:rsid w:val="00BE1AEE"/>
    <w:rsid w:val="00BE1B39"/>
    <w:rsid w:val="00BE1B46"/>
    <w:rsid w:val="00BE26DE"/>
    <w:rsid w:val="00BE27FB"/>
    <w:rsid w:val="00BE2D09"/>
    <w:rsid w:val="00BE2DCA"/>
    <w:rsid w:val="00BE2FB6"/>
    <w:rsid w:val="00BE3312"/>
    <w:rsid w:val="00BE3E4F"/>
    <w:rsid w:val="00BE4051"/>
    <w:rsid w:val="00BE42A1"/>
    <w:rsid w:val="00BE4631"/>
    <w:rsid w:val="00BE479E"/>
    <w:rsid w:val="00BE4869"/>
    <w:rsid w:val="00BE50AA"/>
    <w:rsid w:val="00BE5216"/>
    <w:rsid w:val="00BE521A"/>
    <w:rsid w:val="00BE5403"/>
    <w:rsid w:val="00BE57F6"/>
    <w:rsid w:val="00BE5809"/>
    <w:rsid w:val="00BE5915"/>
    <w:rsid w:val="00BE59A2"/>
    <w:rsid w:val="00BE5C52"/>
    <w:rsid w:val="00BE5D39"/>
    <w:rsid w:val="00BE5D58"/>
    <w:rsid w:val="00BE5E2E"/>
    <w:rsid w:val="00BE61B5"/>
    <w:rsid w:val="00BE61FB"/>
    <w:rsid w:val="00BE6590"/>
    <w:rsid w:val="00BE67EB"/>
    <w:rsid w:val="00BE6B98"/>
    <w:rsid w:val="00BE6CC3"/>
    <w:rsid w:val="00BE6E50"/>
    <w:rsid w:val="00BE6F7E"/>
    <w:rsid w:val="00BE7A89"/>
    <w:rsid w:val="00BE7BD4"/>
    <w:rsid w:val="00BE7F10"/>
    <w:rsid w:val="00BF00C9"/>
    <w:rsid w:val="00BF05F1"/>
    <w:rsid w:val="00BF06D9"/>
    <w:rsid w:val="00BF06E7"/>
    <w:rsid w:val="00BF0836"/>
    <w:rsid w:val="00BF0F5E"/>
    <w:rsid w:val="00BF1218"/>
    <w:rsid w:val="00BF165E"/>
    <w:rsid w:val="00BF1870"/>
    <w:rsid w:val="00BF1AAC"/>
    <w:rsid w:val="00BF1B5E"/>
    <w:rsid w:val="00BF1D8D"/>
    <w:rsid w:val="00BF209D"/>
    <w:rsid w:val="00BF2372"/>
    <w:rsid w:val="00BF2390"/>
    <w:rsid w:val="00BF242B"/>
    <w:rsid w:val="00BF2A35"/>
    <w:rsid w:val="00BF2A8A"/>
    <w:rsid w:val="00BF2AC7"/>
    <w:rsid w:val="00BF2AE7"/>
    <w:rsid w:val="00BF2C4D"/>
    <w:rsid w:val="00BF2F7A"/>
    <w:rsid w:val="00BF337F"/>
    <w:rsid w:val="00BF33AB"/>
    <w:rsid w:val="00BF3648"/>
    <w:rsid w:val="00BF37A7"/>
    <w:rsid w:val="00BF3AED"/>
    <w:rsid w:val="00BF41F5"/>
    <w:rsid w:val="00BF47E3"/>
    <w:rsid w:val="00BF495B"/>
    <w:rsid w:val="00BF4F0E"/>
    <w:rsid w:val="00BF4F66"/>
    <w:rsid w:val="00BF4FBE"/>
    <w:rsid w:val="00BF506F"/>
    <w:rsid w:val="00BF5163"/>
    <w:rsid w:val="00BF5606"/>
    <w:rsid w:val="00BF5A94"/>
    <w:rsid w:val="00BF5B20"/>
    <w:rsid w:val="00BF5D60"/>
    <w:rsid w:val="00BF6127"/>
    <w:rsid w:val="00BF643A"/>
    <w:rsid w:val="00BF6E05"/>
    <w:rsid w:val="00BF73E5"/>
    <w:rsid w:val="00BF75E0"/>
    <w:rsid w:val="00BF7861"/>
    <w:rsid w:val="00BF7862"/>
    <w:rsid w:val="00BF7A03"/>
    <w:rsid w:val="00BF7DEC"/>
    <w:rsid w:val="00C002BD"/>
    <w:rsid w:val="00C00A01"/>
    <w:rsid w:val="00C00B10"/>
    <w:rsid w:val="00C00C1A"/>
    <w:rsid w:val="00C00EF8"/>
    <w:rsid w:val="00C0112A"/>
    <w:rsid w:val="00C012E2"/>
    <w:rsid w:val="00C01300"/>
    <w:rsid w:val="00C0136E"/>
    <w:rsid w:val="00C013AF"/>
    <w:rsid w:val="00C0156B"/>
    <w:rsid w:val="00C01615"/>
    <w:rsid w:val="00C01729"/>
    <w:rsid w:val="00C01C7D"/>
    <w:rsid w:val="00C0289F"/>
    <w:rsid w:val="00C02967"/>
    <w:rsid w:val="00C02A59"/>
    <w:rsid w:val="00C02B16"/>
    <w:rsid w:val="00C02D5C"/>
    <w:rsid w:val="00C0352C"/>
    <w:rsid w:val="00C03586"/>
    <w:rsid w:val="00C036FA"/>
    <w:rsid w:val="00C0377C"/>
    <w:rsid w:val="00C03915"/>
    <w:rsid w:val="00C03A79"/>
    <w:rsid w:val="00C03B3C"/>
    <w:rsid w:val="00C03B4E"/>
    <w:rsid w:val="00C03F84"/>
    <w:rsid w:val="00C0423D"/>
    <w:rsid w:val="00C042FA"/>
    <w:rsid w:val="00C043C2"/>
    <w:rsid w:val="00C045EB"/>
    <w:rsid w:val="00C04642"/>
    <w:rsid w:val="00C04B89"/>
    <w:rsid w:val="00C04BF7"/>
    <w:rsid w:val="00C04C29"/>
    <w:rsid w:val="00C04E60"/>
    <w:rsid w:val="00C05054"/>
    <w:rsid w:val="00C055B4"/>
    <w:rsid w:val="00C0563C"/>
    <w:rsid w:val="00C05A1A"/>
    <w:rsid w:val="00C05A21"/>
    <w:rsid w:val="00C05E8C"/>
    <w:rsid w:val="00C0615D"/>
    <w:rsid w:val="00C0641C"/>
    <w:rsid w:val="00C0654C"/>
    <w:rsid w:val="00C06557"/>
    <w:rsid w:val="00C06A14"/>
    <w:rsid w:val="00C06C3F"/>
    <w:rsid w:val="00C06CD9"/>
    <w:rsid w:val="00C07087"/>
    <w:rsid w:val="00C0744A"/>
    <w:rsid w:val="00C0744D"/>
    <w:rsid w:val="00C076C2"/>
    <w:rsid w:val="00C076C9"/>
    <w:rsid w:val="00C07A54"/>
    <w:rsid w:val="00C07D9A"/>
    <w:rsid w:val="00C07E0B"/>
    <w:rsid w:val="00C07FDD"/>
    <w:rsid w:val="00C108B3"/>
    <w:rsid w:val="00C10DC6"/>
    <w:rsid w:val="00C114E9"/>
    <w:rsid w:val="00C11578"/>
    <w:rsid w:val="00C11B70"/>
    <w:rsid w:val="00C11D48"/>
    <w:rsid w:val="00C11DD4"/>
    <w:rsid w:val="00C11E3C"/>
    <w:rsid w:val="00C11FB8"/>
    <w:rsid w:val="00C12334"/>
    <w:rsid w:val="00C12521"/>
    <w:rsid w:val="00C12BDB"/>
    <w:rsid w:val="00C12BDD"/>
    <w:rsid w:val="00C13006"/>
    <w:rsid w:val="00C13378"/>
    <w:rsid w:val="00C13721"/>
    <w:rsid w:val="00C1372C"/>
    <w:rsid w:val="00C13B35"/>
    <w:rsid w:val="00C13CEB"/>
    <w:rsid w:val="00C13D85"/>
    <w:rsid w:val="00C13EFF"/>
    <w:rsid w:val="00C141F7"/>
    <w:rsid w:val="00C14416"/>
    <w:rsid w:val="00C14726"/>
    <w:rsid w:val="00C14770"/>
    <w:rsid w:val="00C147B8"/>
    <w:rsid w:val="00C14942"/>
    <w:rsid w:val="00C14B92"/>
    <w:rsid w:val="00C14DA0"/>
    <w:rsid w:val="00C14ED0"/>
    <w:rsid w:val="00C151CF"/>
    <w:rsid w:val="00C15277"/>
    <w:rsid w:val="00C1537D"/>
    <w:rsid w:val="00C1543C"/>
    <w:rsid w:val="00C15493"/>
    <w:rsid w:val="00C15695"/>
    <w:rsid w:val="00C15967"/>
    <w:rsid w:val="00C15A48"/>
    <w:rsid w:val="00C16045"/>
    <w:rsid w:val="00C1620D"/>
    <w:rsid w:val="00C16608"/>
    <w:rsid w:val="00C16BF4"/>
    <w:rsid w:val="00C16C3E"/>
    <w:rsid w:val="00C16DFE"/>
    <w:rsid w:val="00C1717A"/>
    <w:rsid w:val="00C17313"/>
    <w:rsid w:val="00C1771B"/>
    <w:rsid w:val="00C17859"/>
    <w:rsid w:val="00C17894"/>
    <w:rsid w:val="00C179B8"/>
    <w:rsid w:val="00C17BD7"/>
    <w:rsid w:val="00C17CE9"/>
    <w:rsid w:val="00C17DD8"/>
    <w:rsid w:val="00C17EF5"/>
    <w:rsid w:val="00C17F8B"/>
    <w:rsid w:val="00C200E3"/>
    <w:rsid w:val="00C201A7"/>
    <w:rsid w:val="00C204B8"/>
    <w:rsid w:val="00C205FB"/>
    <w:rsid w:val="00C206FD"/>
    <w:rsid w:val="00C2094C"/>
    <w:rsid w:val="00C2096F"/>
    <w:rsid w:val="00C209D8"/>
    <w:rsid w:val="00C20C25"/>
    <w:rsid w:val="00C21E6A"/>
    <w:rsid w:val="00C21F18"/>
    <w:rsid w:val="00C21F62"/>
    <w:rsid w:val="00C224D6"/>
    <w:rsid w:val="00C22C0A"/>
    <w:rsid w:val="00C22DC7"/>
    <w:rsid w:val="00C22F2A"/>
    <w:rsid w:val="00C231A3"/>
    <w:rsid w:val="00C238EB"/>
    <w:rsid w:val="00C23A55"/>
    <w:rsid w:val="00C24419"/>
    <w:rsid w:val="00C25174"/>
    <w:rsid w:val="00C25E19"/>
    <w:rsid w:val="00C25EE2"/>
    <w:rsid w:val="00C262AE"/>
    <w:rsid w:val="00C263D6"/>
    <w:rsid w:val="00C2654B"/>
    <w:rsid w:val="00C26C9D"/>
    <w:rsid w:val="00C2723F"/>
    <w:rsid w:val="00C274B0"/>
    <w:rsid w:val="00C27AEB"/>
    <w:rsid w:val="00C30790"/>
    <w:rsid w:val="00C307C6"/>
    <w:rsid w:val="00C31056"/>
    <w:rsid w:val="00C31201"/>
    <w:rsid w:val="00C313B7"/>
    <w:rsid w:val="00C316D9"/>
    <w:rsid w:val="00C31994"/>
    <w:rsid w:val="00C31B3E"/>
    <w:rsid w:val="00C320C3"/>
    <w:rsid w:val="00C320EC"/>
    <w:rsid w:val="00C323EA"/>
    <w:rsid w:val="00C3250D"/>
    <w:rsid w:val="00C32587"/>
    <w:rsid w:val="00C328B4"/>
    <w:rsid w:val="00C328B8"/>
    <w:rsid w:val="00C329D0"/>
    <w:rsid w:val="00C32A16"/>
    <w:rsid w:val="00C32AD2"/>
    <w:rsid w:val="00C32F12"/>
    <w:rsid w:val="00C335C1"/>
    <w:rsid w:val="00C336DE"/>
    <w:rsid w:val="00C33792"/>
    <w:rsid w:val="00C33976"/>
    <w:rsid w:val="00C33A2D"/>
    <w:rsid w:val="00C33A5C"/>
    <w:rsid w:val="00C33AD3"/>
    <w:rsid w:val="00C33C17"/>
    <w:rsid w:val="00C33CD6"/>
    <w:rsid w:val="00C33F8E"/>
    <w:rsid w:val="00C344B5"/>
    <w:rsid w:val="00C3455E"/>
    <w:rsid w:val="00C34575"/>
    <w:rsid w:val="00C34836"/>
    <w:rsid w:val="00C34956"/>
    <w:rsid w:val="00C34D56"/>
    <w:rsid w:val="00C34D77"/>
    <w:rsid w:val="00C34E5E"/>
    <w:rsid w:val="00C34EF4"/>
    <w:rsid w:val="00C356B2"/>
    <w:rsid w:val="00C356BA"/>
    <w:rsid w:val="00C35771"/>
    <w:rsid w:val="00C3578B"/>
    <w:rsid w:val="00C35829"/>
    <w:rsid w:val="00C36028"/>
    <w:rsid w:val="00C36029"/>
    <w:rsid w:val="00C360F8"/>
    <w:rsid w:val="00C361C1"/>
    <w:rsid w:val="00C36248"/>
    <w:rsid w:val="00C36277"/>
    <w:rsid w:val="00C36AEB"/>
    <w:rsid w:val="00C36C0E"/>
    <w:rsid w:val="00C36C63"/>
    <w:rsid w:val="00C36E8A"/>
    <w:rsid w:val="00C371EF"/>
    <w:rsid w:val="00C37850"/>
    <w:rsid w:val="00C37926"/>
    <w:rsid w:val="00C37C9D"/>
    <w:rsid w:val="00C408E1"/>
    <w:rsid w:val="00C40C54"/>
    <w:rsid w:val="00C413AA"/>
    <w:rsid w:val="00C41551"/>
    <w:rsid w:val="00C416FB"/>
    <w:rsid w:val="00C41824"/>
    <w:rsid w:val="00C419C3"/>
    <w:rsid w:val="00C41F38"/>
    <w:rsid w:val="00C41F42"/>
    <w:rsid w:val="00C421B5"/>
    <w:rsid w:val="00C421C8"/>
    <w:rsid w:val="00C42426"/>
    <w:rsid w:val="00C4258C"/>
    <w:rsid w:val="00C4281A"/>
    <w:rsid w:val="00C42A95"/>
    <w:rsid w:val="00C43360"/>
    <w:rsid w:val="00C436FC"/>
    <w:rsid w:val="00C43C21"/>
    <w:rsid w:val="00C444D0"/>
    <w:rsid w:val="00C44578"/>
    <w:rsid w:val="00C44586"/>
    <w:rsid w:val="00C44967"/>
    <w:rsid w:val="00C449D0"/>
    <w:rsid w:val="00C44C5F"/>
    <w:rsid w:val="00C44E05"/>
    <w:rsid w:val="00C44EBF"/>
    <w:rsid w:val="00C456D2"/>
    <w:rsid w:val="00C45BF3"/>
    <w:rsid w:val="00C45CDE"/>
    <w:rsid w:val="00C45D2D"/>
    <w:rsid w:val="00C45D72"/>
    <w:rsid w:val="00C45D7F"/>
    <w:rsid w:val="00C4637B"/>
    <w:rsid w:val="00C463DD"/>
    <w:rsid w:val="00C463F6"/>
    <w:rsid w:val="00C46B91"/>
    <w:rsid w:val="00C46C2E"/>
    <w:rsid w:val="00C46CF6"/>
    <w:rsid w:val="00C470F5"/>
    <w:rsid w:val="00C47364"/>
    <w:rsid w:val="00C473CC"/>
    <w:rsid w:val="00C47599"/>
    <w:rsid w:val="00C47C4E"/>
    <w:rsid w:val="00C47FC4"/>
    <w:rsid w:val="00C504D7"/>
    <w:rsid w:val="00C50606"/>
    <w:rsid w:val="00C50651"/>
    <w:rsid w:val="00C50969"/>
    <w:rsid w:val="00C50B1C"/>
    <w:rsid w:val="00C50C12"/>
    <w:rsid w:val="00C50EF2"/>
    <w:rsid w:val="00C51025"/>
    <w:rsid w:val="00C510EE"/>
    <w:rsid w:val="00C5111B"/>
    <w:rsid w:val="00C51523"/>
    <w:rsid w:val="00C51543"/>
    <w:rsid w:val="00C51562"/>
    <w:rsid w:val="00C51597"/>
    <w:rsid w:val="00C5181F"/>
    <w:rsid w:val="00C51917"/>
    <w:rsid w:val="00C5196A"/>
    <w:rsid w:val="00C51987"/>
    <w:rsid w:val="00C51A91"/>
    <w:rsid w:val="00C51B24"/>
    <w:rsid w:val="00C51BEB"/>
    <w:rsid w:val="00C51CA2"/>
    <w:rsid w:val="00C51EB3"/>
    <w:rsid w:val="00C51EFF"/>
    <w:rsid w:val="00C52006"/>
    <w:rsid w:val="00C5225F"/>
    <w:rsid w:val="00C52379"/>
    <w:rsid w:val="00C5240C"/>
    <w:rsid w:val="00C52DB0"/>
    <w:rsid w:val="00C52E24"/>
    <w:rsid w:val="00C5313C"/>
    <w:rsid w:val="00C53215"/>
    <w:rsid w:val="00C53417"/>
    <w:rsid w:val="00C5359B"/>
    <w:rsid w:val="00C53765"/>
    <w:rsid w:val="00C5376C"/>
    <w:rsid w:val="00C5428F"/>
    <w:rsid w:val="00C54609"/>
    <w:rsid w:val="00C546C3"/>
    <w:rsid w:val="00C54755"/>
    <w:rsid w:val="00C54765"/>
    <w:rsid w:val="00C54AF7"/>
    <w:rsid w:val="00C550BF"/>
    <w:rsid w:val="00C550D4"/>
    <w:rsid w:val="00C5534F"/>
    <w:rsid w:val="00C559D1"/>
    <w:rsid w:val="00C55BB0"/>
    <w:rsid w:val="00C55C17"/>
    <w:rsid w:val="00C55C2F"/>
    <w:rsid w:val="00C55C69"/>
    <w:rsid w:val="00C55F3D"/>
    <w:rsid w:val="00C55F9E"/>
    <w:rsid w:val="00C560A7"/>
    <w:rsid w:val="00C5624B"/>
    <w:rsid w:val="00C5632C"/>
    <w:rsid w:val="00C563EF"/>
    <w:rsid w:val="00C564E1"/>
    <w:rsid w:val="00C56A85"/>
    <w:rsid w:val="00C56D9C"/>
    <w:rsid w:val="00C57086"/>
    <w:rsid w:val="00C57C0E"/>
    <w:rsid w:val="00C57C9B"/>
    <w:rsid w:val="00C57D38"/>
    <w:rsid w:val="00C57D92"/>
    <w:rsid w:val="00C57E9D"/>
    <w:rsid w:val="00C601DF"/>
    <w:rsid w:val="00C60A89"/>
    <w:rsid w:val="00C60EAA"/>
    <w:rsid w:val="00C610B5"/>
    <w:rsid w:val="00C61375"/>
    <w:rsid w:val="00C61502"/>
    <w:rsid w:val="00C61B16"/>
    <w:rsid w:val="00C61C59"/>
    <w:rsid w:val="00C61EDC"/>
    <w:rsid w:val="00C61F1A"/>
    <w:rsid w:val="00C62030"/>
    <w:rsid w:val="00C6205D"/>
    <w:rsid w:val="00C6211D"/>
    <w:rsid w:val="00C624E6"/>
    <w:rsid w:val="00C624F1"/>
    <w:rsid w:val="00C6252B"/>
    <w:rsid w:val="00C626AC"/>
    <w:rsid w:val="00C62A97"/>
    <w:rsid w:val="00C62EF0"/>
    <w:rsid w:val="00C62F03"/>
    <w:rsid w:val="00C6312C"/>
    <w:rsid w:val="00C6317F"/>
    <w:rsid w:val="00C632B2"/>
    <w:rsid w:val="00C63558"/>
    <w:rsid w:val="00C636BA"/>
    <w:rsid w:val="00C63756"/>
    <w:rsid w:val="00C63ADD"/>
    <w:rsid w:val="00C63B47"/>
    <w:rsid w:val="00C63D47"/>
    <w:rsid w:val="00C63E17"/>
    <w:rsid w:val="00C63F4E"/>
    <w:rsid w:val="00C63FE9"/>
    <w:rsid w:val="00C64A6F"/>
    <w:rsid w:val="00C64B61"/>
    <w:rsid w:val="00C64E24"/>
    <w:rsid w:val="00C650E6"/>
    <w:rsid w:val="00C65156"/>
    <w:rsid w:val="00C65432"/>
    <w:rsid w:val="00C6546B"/>
    <w:rsid w:val="00C65626"/>
    <w:rsid w:val="00C6587C"/>
    <w:rsid w:val="00C65A95"/>
    <w:rsid w:val="00C6610D"/>
    <w:rsid w:val="00C66453"/>
    <w:rsid w:val="00C664D5"/>
    <w:rsid w:val="00C66654"/>
    <w:rsid w:val="00C6666B"/>
    <w:rsid w:val="00C66A0A"/>
    <w:rsid w:val="00C66A58"/>
    <w:rsid w:val="00C66B7B"/>
    <w:rsid w:val="00C66C7F"/>
    <w:rsid w:val="00C66DBD"/>
    <w:rsid w:val="00C674E7"/>
    <w:rsid w:val="00C6760C"/>
    <w:rsid w:val="00C676C1"/>
    <w:rsid w:val="00C678B8"/>
    <w:rsid w:val="00C679D3"/>
    <w:rsid w:val="00C67C97"/>
    <w:rsid w:val="00C67E54"/>
    <w:rsid w:val="00C67E9E"/>
    <w:rsid w:val="00C701BD"/>
    <w:rsid w:val="00C703B0"/>
    <w:rsid w:val="00C703F7"/>
    <w:rsid w:val="00C707B5"/>
    <w:rsid w:val="00C709C8"/>
    <w:rsid w:val="00C70A59"/>
    <w:rsid w:val="00C70B30"/>
    <w:rsid w:val="00C70D7E"/>
    <w:rsid w:val="00C70FD4"/>
    <w:rsid w:val="00C71005"/>
    <w:rsid w:val="00C71926"/>
    <w:rsid w:val="00C719D0"/>
    <w:rsid w:val="00C71C6C"/>
    <w:rsid w:val="00C720A6"/>
    <w:rsid w:val="00C7215D"/>
    <w:rsid w:val="00C72331"/>
    <w:rsid w:val="00C7271C"/>
    <w:rsid w:val="00C729E1"/>
    <w:rsid w:val="00C72CD7"/>
    <w:rsid w:val="00C72F6F"/>
    <w:rsid w:val="00C73391"/>
    <w:rsid w:val="00C73402"/>
    <w:rsid w:val="00C734A2"/>
    <w:rsid w:val="00C73579"/>
    <w:rsid w:val="00C73653"/>
    <w:rsid w:val="00C73C08"/>
    <w:rsid w:val="00C73C39"/>
    <w:rsid w:val="00C73F62"/>
    <w:rsid w:val="00C7441B"/>
    <w:rsid w:val="00C7452E"/>
    <w:rsid w:val="00C74C77"/>
    <w:rsid w:val="00C74CA8"/>
    <w:rsid w:val="00C7533A"/>
    <w:rsid w:val="00C753B8"/>
    <w:rsid w:val="00C75647"/>
    <w:rsid w:val="00C7577F"/>
    <w:rsid w:val="00C75A28"/>
    <w:rsid w:val="00C75DA9"/>
    <w:rsid w:val="00C764A3"/>
    <w:rsid w:val="00C764F8"/>
    <w:rsid w:val="00C7683D"/>
    <w:rsid w:val="00C76BA3"/>
    <w:rsid w:val="00C76CF8"/>
    <w:rsid w:val="00C77034"/>
    <w:rsid w:val="00C77620"/>
    <w:rsid w:val="00C7789C"/>
    <w:rsid w:val="00C77A85"/>
    <w:rsid w:val="00C77F9C"/>
    <w:rsid w:val="00C80361"/>
    <w:rsid w:val="00C80367"/>
    <w:rsid w:val="00C80C26"/>
    <w:rsid w:val="00C80C4F"/>
    <w:rsid w:val="00C80C9A"/>
    <w:rsid w:val="00C80CDA"/>
    <w:rsid w:val="00C80E3D"/>
    <w:rsid w:val="00C81015"/>
    <w:rsid w:val="00C81097"/>
    <w:rsid w:val="00C810B6"/>
    <w:rsid w:val="00C81186"/>
    <w:rsid w:val="00C81537"/>
    <w:rsid w:val="00C816B9"/>
    <w:rsid w:val="00C818B2"/>
    <w:rsid w:val="00C8193C"/>
    <w:rsid w:val="00C8196F"/>
    <w:rsid w:val="00C81970"/>
    <w:rsid w:val="00C81B89"/>
    <w:rsid w:val="00C82495"/>
    <w:rsid w:val="00C827BB"/>
    <w:rsid w:val="00C82A9E"/>
    <w:rsid w:val="00C82B11"/>
    <w:rsid w:val="00C82EDC"/>
    <w:rsid w:val="00C82F89"/>
    <w:rsid w:val="00C83095"/>
    <w:rsid w:val="00C830EB"/>
    <w:rsid w:val="00C832D4"/>
    <w:rsid w:val="00C8339F"/>
    <w:rsid w:val="00C83764"/>
    <w:rsid w:val="00C8394E"/>
    <w:rsid w:val="00C83D12"/>
    <w:rsid w:val="00C8409C"/>
    <w:rsid w:val="00C842AF"/>
    <w:rsid w:val="00C8439A"/>
    <w:rsid w:val="00C8439F"/>
    <w:rsid w:val="00C844A4"/>
    <w:rsid w:val="00C84616"/>
    <w:rsid w:val="00C846B8"/>
    <w:rsid w:val="00C8480E"/>
    <w:rsid w:val="00C848F1"/>
    <w:rsid w:val="00C84E38"/>
    <w:rsid w:val="00C84ECF"/>
    <w:rsid w:val="00C8532D"/>
    <w:rsid w:val="00C85366"/>
    <w:rsid w:val="00C855E4"/>
    <w:rsid w:val="00C857A8"/>
    <w:rsid w:val="00C859E1"/>
    <w:rsid w:val="00C85C7A"/>
    <w:rsid w:val="00C85D76"/>
    <w:rsid w:val="00C86202"/>
    <w:rsid w:val="00C86266"/>
    <w:rsid w:val="00C862AD"/>
    <w:rsid w:val="00C862C4"/>
    <w:rsid w:val="00C868F8"/>
    <w:rsid w:val="00C86FBA"/>
    <w:rsid w:val="00C87540"/>
    <w:rsid w:val="00C87599"/>
    <w:rsid w:val="00C879AD"/>
    <w:rsid w:val="00C87A27"/>
    <w:rsid w:val="00C87A51"/>
    <w:rsid w:val="00C87AFF"/>
    <w:rsid w:val="00C87CC1"/>
    <w:rsid w:val="00C90306"/>
    <w:rsid w:val="00C90319"/>
    <w:rsid w:val="00C903F2"/>
    <w:rsid w:val="00C908C0"/>
    <w:rsid w:val="00C90C99"/>
    <w:rsid w:val="00C90D17"/>
    <w:rsid w:val="00C9142D"/>
    <w:rsid w:val="00C91499"/>
    <w:rsid w:val="00C91927"/>
    <w:rsid w:val="00C919B1"/>
    <w:rsid w:val="00C91C98"/>
    <w:rsid w:val="00C91F74"/>
    <w:rsid w:val="00C923BF"/>
    <w:rsid w:val="00C924D6"/>
    <w:rsid w:val="00C9261A"/>
    <w:rsid w:val="00C92D79"/>
    <w:rsid w:val="00C93587"/>
    <w:rsid w:val="00C93A82"/>
    <w:rsid w:val="00C93BF7"/>
    <w:rsid w:val="00C93E07"/>
    <w:rsid w:val="00C9475A"/>
    <w:rsid w:val="00C94D5C"/>
    <w:rsid w:val="00C94F11"/>
    <w:rsid w:val="00C94F9C"/>
    <w:rsid w:val="00C94FB4"/>
    <w:rsid w:val="00C94FD9"/>
    <w:rsid w:val="00C952F7"/>
    <w:rsid w:val="00C959D5"/>
    <w:rsid w:val="00C95B2A"/>
    <w:rsid w:val="00C96380"/>
    <w:rsid w:val="00C96AC6"/>
    <w:rsid w:val="00C96AE4"/>
    <w:rsid w:val="00C96E87"/>
    <w:rsid w:val="00C97714"/>
    <w:rsid w:val="00CA0307"/>
    <w:rsid w:val="00CA0351"/>
    <w:rsid w:val="00CA049F"/>
    <w:rsid w:val="00CA05F0"/>
    <w:rsid w:val="00CA0678"/>
    <w:rsid w:val="00CA0753"/>
    <w:rsid w:val="00CA07ED"/>
    <w:rsid w:val="00CA0943"/>
    <w:rsid w:val="00CA0D23"/>
    <w:rsid w:val="00CA1083"/>
    <w:rsid w:val="00CA10EB"/>
    <w:rsid w:val="00CA1149"/>
    <w:rsid w:val="00CA115D"/>
    <w:rsid w:val="00CA1499"/>
    <w:rsid w:val="00CA179D"/>
    <w:rsid w:val="00CA1989"/>
    <w:rsid w:val="00CA1C83"/>
    <w:rsid w:val="00CA1F9E"/>
    <w:rsid w:val="00CA2098"/>
    <w:rsid w:val="00CA2138"/>
    <w:rsid w:val="00CA2148"/>
    <w:rsid w:val="00CA2653"/>
    <w:rsid w:val="00CA2688"/>
    <w:rsid w:val="00CA29EA"/>
    <w:rsid w:val="00CA358B"/>
    <w:rsid w:val="00CA35BE"/>
    <w:rsid w:val="00CA36D0"/>
    <w:rsid w:val="00CA3820"/>
    <w:rsid w:val="00CA3AC4"/>
    <w:rsid w:val="00CA3B75"/>
    <w:rsid w:val="00CA3C3E"/>
    <w:rsid w:val="00CA43FD"/>
    <w:rsid w:val="00CA44A4"/>
    <w:rsid w:val="00CA4696"/>
    <w:rsid w:val="00CA4CE8"/>
    <w:rsid w:val="00CA5134"/>
    <w:rsid w:val="00CA540C"/>
    <w:rsid w:val="00CA569E"/>
    <w:rsid w:val="00CA5864"/>
    <w:rsid w:val="00CA58DC"/>
    <w:rsid w:val="00CA58FC"/>
    <w:rsid w:val="00CA62B1"/>
    <w:rsid w:val="00CA67AB"/>
    <w:rsid w:val="00CA67E6"/>
    <w:rsid w:val="00CA6C98"/>
    <w:rsid w:val="00CA6D99"/>
    <w:rsid w:val="00CA6DFB"/>
    <w:rsid w:val="00CA6E90"/>
    <w:rsid w:val="00CA728D"/>
    <w:rsid w:val="00CA72A1"/>
    <w:rsid w:val="00CA7347"/>
    <w:rsid w:val="00CA74B1"/>
    <w:rsid w:val="00CA7647"/>
    <w:rsid w:val="00CA76E8"/>
    <w:rsid w:val="00CA7941"/>
    <w:rsid w:val="00CA7FE4"/>
    <w:rsid w:val="00CB006E"/>
    <w:rsid w:val="00CB0093"/>
    <w:rsid w:val="00CB00A2"/>
    <w:rsid w:val="00CB026B"/>
    <w:rsid w:val="00CB02E0"/>
    <w:rsid w:val="00CB0366"/>
    <w:rsid w:val="00CB04D1"/>
    <w:rsid w:val="00CB0530"/>
    <w:rsid w:val="00CB07A0"/>
    <w:rsid w:val="00CB07F5"/>
    <w:rsid w:val="00CB0A78"/>
    <w:rsid w:val="00CB0CF5"/>
    <w:rsid w:val="00CB0E59"/>
    <w:rsid w:val="00CB0FB1"/>
    <w:rsid w:val="00CB1019"/>
    <w:rsid w:val="00CB1020"/>
    <w:rsid w:val="00CB1319"/>
    <w:rsid w:val="00CB14C1"/>
    <w:rsid w:val="00CB1525"/>
    <w:rsid w:val="00CB1604"/>
    <w:rsid w:val="00CB17FD"/>
    <w:rsid w:val="00CB18DA"/>
    <w:rsid w:val="00CB2052"/>
    <w:rsid w:val="00CB21F6"/>
    <w:rsid w:val="00CB222D"/>
    <w:rsid w:val="00CB240C"/>
    <w:rsid w:val="00CB24D5"/>
    <w:rsid w:val="00CB24ED"/>
    <w:rsid w:val="00CB251B"/>
    <w:rsid w:val="00CB29B7"/>
    <w:rsid w:val="00CB2A3E"/>
    <w:rsid w:val="00CB2AC5"/>
    <w:rsid w:val="00CB2D70"/>
    <w:rsid w:val="00CB303D"/>
    <w:rsid w:val="00CB3228"/>
    <w:rsid w:val="00CB3547"/>
    <w:rsid w:val="00CB3657"/>
    <w:rsid w:val="00CB3950"/>
    <w:rsid w:val="00CB3B3A"/>
    <w:rsid w:val="00CB4075"/>
    <w:rsid w:val="00CB4174"/>
    <w:rsid w:val="00CB42FA"/>
    <w:rsid w:val="00CB4755"/>
    <w:rsid w:val="00CB4990"/>
    <w:rsid w:val="00CB4C78"/>
    <w:rsid w:val="00CB4C7B"/>
    <w:rsid w:val="00CB4CB2"/>
    <w:rsid w:val="00CB4ED2"/>
    <w:rsid w:val="00CB53C1"/>
    <w:rsid w:val="00CB5A29"/>
    <w:rsid w:val="00CB5ED7"/>
    <w:rsid w:val="00CB60A6"/>
    <w:rsid w:val="00CB60E5"/>
    <w:rsid w:val="00CB64A1"/>
    <w:rsid w:val="00CB6A3F"/>
    <w:rsid w:val="00CB6C2F"/>
    <w:rsid w:val="00CB6CD6"/>
    <w:rsid w:val="00CB6E0C"/>
    <w:rsid w:val="00CB70C3"/>
    <w:rsid w:val="00CB71FD"/>
    <w:rsid w:val="00CB746C"/>
    <w:rsid w:val="00CB765A"/>
    <w:rsid w:val="00CB77A7"/>
    <w:rsid w:val="00CB7A72"/>
    <w:rsid w:val="00CB7E14"/>
    <w:rsid w:val="00CB7E1D"/>
    <w:rsid w:val="00CB7E7B"/>
    <w:rsid w:val="00CB7F29"/>
    <w:rsid w:val="00CB7FB8"/>
    <w:rsid w:val="00CC006A"/>
    <w:rsid w:val="00CC04C4"/>
    <w:rsid w:val="00CC05E7"/>
    <w:rsid w:val="00CC0DDC"/>
    <w:rsid w:val="00CC114D"/>
    <w:rsid w:val="00CC156A"/>
    <w:rsid w:val="00CC16AD"/>
    <w:rsid w:val="00CC19DF"/>
    <w:rsid w:val="00CC1D8E"/>
    <w:rsid w:val="00CC25D4"/>
    <w:rsid w:val="00CC2728"/>
    <w:rsid w:val="00CC2A1C"/>
    <w:rsid w:val="00CC2D35"/>
    <w:rsid w:val="00CC2D68"/>
    <w:rsid w:val="00CC307D"/>
    <w:rsid w:val="00CC340B"/>
    <w:rsid w:val="00CC3606"/>
    <w:rsid w:val="00CC3725"/>
    <w:rsid w:val="00CC4246"/>
    <w:rsid w:val="00CC491F"/>
    <w:rsid w:val="00CC4A3D"/>
    <w:rsid w:val="00CC4A4A"/>
    <w:rsid w:val="00CC4AE9"/>
    <w:rsid w:val="00CC4B76"/>
    <w:rsid w:val="00CC4D7B"/>
    <w:rsid w:val="00CC4E7E"/>
    <w:rsid w:val="00CC52AB"/>
    <w:rsid w:val="00CC5365"/>
    <w:rsid w:val="00CC57C0"/>
    <w:rsid w:val="00CC5C14"/>
    <w:rsid w:val="00CC5E3A"/>
    <w:rsid w:val="00CC5F8C"/>
    <w:rsid w:val="00CC60ED"/>
    <w:rsid w:val="00CC6180"/>
    <w:rsid w:val="00CC6534"/>
    <w:rsid w:val="00CC65E9"/>
    <w:rsid w:val="00CC6AB4"/>
    <w:rsid w:val="00CC6B6F"/>
    <w:rsid w:val="00CC6B8B"/>
    <w:rsid w:val="00CC6B95"/>
    <w:rsid w:val="00CC6DB6"/>
    <w:rsid w:val="00CC6FBE"/>
    <w:rsid w:val="00CC735A"/>
    <w:rsid w:val="00CC7505"/>
    <w:rsid w:val="00CC77AF"/>
    <w:rsid w:val="00CC7939"/>
    <w:rsid w:val="00CC79E2"/>
    <w:rsid w:val="00CC7AE2"/>
    <w:rsid w:val="00CD0308"/>
    <w:rsid w:val="00CD061E"/>
    <w:rsid w:val="00CD0688"/>
    <w:rsid w:val="00CD07C7"/>
    <w:rsid w:val="00CD0830"/>
    <w:rsid w:val="00CD0D83"/>
    <w:rsid w:val="00CD0E30"/>
    <w:rsid w:val="00CD177A"/>
    <w:rsid w:val="00CD1A72"/>
    <w:rsid w:val="00CD1BB9"/>
    <w:rsid w:val="00CD21EE"/>
    <w:rsid w:val="00CD24B3"/>
    <w:rsid w:val="00CD2966"/>
    <w:rsid w:val="00CD2AB2"/>
    <w:rsid w:val="00CD2F3B"/>
    <w:rsid w:val="00CD34A4"/>
    <w:rsid w:val="00CD375E"/>
    <w:rsid w:val="00CD3E18"/>
    <w:rsid w:val="00CD423D"/>
    <w:rsid w:val="00CD425D"/>
    <w:rsid w:val="00CD4318"/>
    <w:rsid w:val="00CD498E"/>
    <w:rsid w:val="00CD499B"/>
    <w:rsid w:val="00CD4C26"/>
    <w:rsid w:val="00CD4EE4"/>
    <w:rsid w:val="00CD4FC6"/>
    <w:rsid w:val="00CD5088"/>
    <w:rsid w:val="00CD5117"/>
    <w:rsid w:val="00CD5303"/>
    <w:rsid w:val="00CD53AD"/>
    <w:rsid w:val="00CD53E4"/>
    <w:rsid w:val="00CD568A"/>
    <w:rsid w:val="00CD57B8"/>
    <w:rsid w:val="00CD5836"/>
    <w:rsid w:val="00CD589F"/>
    <w:rsid w:val="00CD5A14"/>
    <w:rsid w:val="00CD5DA3"/>
    <w:rsid w:val="00CD60D7"/>
    <w:rsid w:val="00CD66DC"/>
    <w:rsid w:val="00CD6861"/>
    <w:rsid w:val="00CD6C0F"/>
    <w:rsid w:val="00CD6DF9"/>
    <w:rsid w:val="00CD6FC4"/>
    <w:rsid w:val="00CD70B2"/>
    <w:rsid w:val="00CD742B"/>
    <w:rsid w:val="00CD7473"/>
    <w:rsid w:val="00CD74F4"/>
    <w:rsid w:val="00CD7704"/>
    <w:rsid w:val="00CD78C1"/>
    <w:rsid w:val="00CD797C"/>
    <w:rsid w:val="00CD7E2A"/>
    <w:rsid w:val="00CE0496"/>
    <w:rsid w:val="00CE08BE"/>
    <w:rsid w:val="00CE1055"/>
    <w:rsid w:val="00CE1139"/>
    <w:rsid w:val="00CE129F"/>
    <w:rsid w:val="00CE151C"/>
    <w:rsid w:val="00CE177C"/>
    <w:rsid w:val="00CE1813"/>
    <w:rsid w:val="00CE20E8"/>
    <w:rsid w:val="00CE2118"/>
    <w:rsid w:val="00CE235B"/>
    <w:rsid w:val="00CE2463"/>
    <w:rsid w:val="00CE266C"/>
    <w:rsid w:val="00CE285C"/>
    <w:rsid w:val="00CE2A49"/>
    <w:rsid w:val="00CE2AE1"/>
    <w:rsid w:val="00CE2B6A"/>
    <w:rsid w:val="00CE2E37"/>
    <w:rsid w:val="00CE324D"/>
    <w:rsid w:val="00CE3931"/>
    <w:rsid w:val="00CE39C7"/>
    <w:rsid w:val="00CE3A55"/>
    <w:rsid w:val="00CE3CDB"/>
    <w:rsid w:val="00CE4376"/>
    <w:rsid w:val="00CE4711"/>
    <w:rsid w:val="00CE4739"/>
    <w:rsid w:val="00CE4951"/>
    <w:rsid w:val="00CE4A0E"/>
    <w:rsid w:val="00CE4E6F"/>
    <w:rsid w:val="00CE507F"/>
    <w:rsid w:val="00CE5660"/>
    <w:rsid w:val="00CE6086"/>
    <w:rsid w:val="00CE634A"/>
    <w:rsid w:val="00CE6434"/>
    <w:rsid w:val="00CE678D"/>
    <w:rsid w:val="00CE6A62"/>
    <w:rsid w:val="00CE6A79"/>
    <w:rsid w:val="00CE70FA"/>
    <w:rsid w:val="00CE71E7"/>
    <w:rsid w:val="00CE73A8"/>
    <w:rsid w:val="00CE782E"/>
    <w:rsid w:val="00CE7BF6"/>
    <w:rsid w:val="00CE7C3E"/>
    <w:rsid w:val="00CF00C9"/>
    <w:rsid w:val="00CF03A6"/>
    <w:rsid w:val="00CF042B"/>
    <w:rsid w:val="00CF0A87"/>
    <w:rsid w:val="00CF0AB3"/>
    <w:rsid w:val="00CF12B2"/>
    <w:rsid w:val="00CF1412"/>
    <w:rsid w:val="00CF1542"/>
    <w:rsid w:val="00CF1B4D"/>
    <w:rsid w:val="00CF1CA4"/>
    <w:rsid w:val="00CF1D53"/>
    <w:rsid w:val="00CF1D56"/>
    <w:rsid w:val="00CF213E"/>
    <w:rsid w:val="00CF2399"/>
    <w:rsid w:val="00CF274B"/>
    <w:rsid w:val="00CF27CD"/>
    <w:rsid w:val="00CF27D1"/>
    <w:rsid w:val="00CF293B"/>
    <w:rsid w:val="00CF2B15"/>
    <w:rsid w:val="00CF2B93"/>
    <w:rsid w:val="00CF2BBC"/>
    <w:rsid w:val="00CF2BD0"/>
    <w:rsid w:val="00CF2BE2"/>
    <w:rsid w:val="00CF2D1A"/>
    <w:rsid w:val="00CF32C6"/>
    <w:rsid w:val="00CF33F6"/>
    <w:rsid w:val="00CF3402"/>
    <w:rsid w:val="00CF34D6"/>
    <w:rsid w:val="00CF3685"/>
    <w:rsid w:val="00CF3979"/>
    <w:rsid w:val="00CF3A55"/>
    <w:rsid w:val="00CF4192"/>
    <w:rsid w:val="00CF4264"/>
    <w:rsid w:val="00CF42E7"/>
    <w:rsid w:val="00CF4AF2"/>
    <w:rsid w:val="00CF50C0"/>
    <w:rsid w:val="00CF52AE"/>
    <w:rsid w:val="00CF531D"/>
    <w:rsid w:val="00CF53F4"/>
    <w:rsid w:val="00CF552C"/>
    <w:rsid w:val="00CF562F"/>
    <w:rsid w:val="00CF56C8"/>
    <w:rsid w:val="00CF5860"/>
    <w:rsid w:val="00CF5B0C"/>
    <w:rsid w:val="00CF5EB9"/>
    <w:rsid w:val="00CF6032"/>
    <w:rsid w:val="00CF656F"/>
    <w:rsid w:val="00CF65C9"/>
    <w:rsid w:val="00CF6A72"/>
    <w:rsid w:val="00CF6BDE"/>
    <w:rsid w:val="00CF6C55"/>
    <w:rsid w:val="00CF6D7D"/>
    <w:rsid w:val="00CF6F60"/>
    <w:rsid w:val="00CF718D"/>
    <w:rsid w:val="00CF71AC"/>
    <w:rsid w:val="00CF71F8"/>
    <w:rsid w:val="00CF7634"/>
    <w:rsid w:val="00CF7809"/>
    <w:rsid w:val="00CF782D"/>
    <w:rsid w:val="00CF7B6D"/>
    <w:rsid w:val="00CF7BBA"/>
    <w:rsid w:val="00CF7D25"/>
    <w:rsid w:val="00CF7ECA"/>
    <w:rsid w:val="00D00709"/>
    <w:rsid w:val="00D009A5"/>
    <w:rsid w:val="00D00B9E"/>
    <w:rsid w:val="00D00DA2"/>
    <w:rsid w:val="00D00E75"/>
    <w:rsid w:val="00D010CF"/>
    <w:rsid w:val="00D01283"/>
    <w:rsid w:val="00D01377"/>
    <w:rsid w:val="00D01446"/>
    <w:rsid w:val="00D0155F"/>
    <w:rsid w:val="00D01575"/>
    <w:rsid w:val="00D01623"/>
    <w:rsid w:val="00D01966"/>
    <w:rsid w:val="00D01970"/>
    <w:rsid w:val="00D019F1"/>
    <w:rsid w:val="00D01E9D"/>
    <w:rsid w:val="00D020EA"/>
    <w:rsid w:val="00D021E1"/>
    <w:rsid w:val="00D022E9"/>
    <w:rsid w:val="00D0234C"/>
    <w:rsid w:val="00D02383"/>
    <w:rsid w:val="00D023D3"/>
    <w:rsid w:val="00D02425"/>
    <w:rsid w:val="00D02845"/>
    <w:rsid w:val="00D02A96"/>
    <w:rsid w:val="00D02E42"/>
    <w:rsid w:val="00D02F56"/>
    <w:rsid w:val="00D03216"/>
    <w:rsid w:val="00D03277"/>
    <w:rsid w:val="00D033A6"/>
    <w:rsid w:val="00D035A3"/>
    <w:rsid w:val="00D0365C"/>
    <w:rsid w:val="00D0377E"/>
    <w:rsid w:val="00D04018"/>
    <w:rsid w:val="00D0404A"/>
    <w:rsid w:val="00D040F5"/>
    <w:rsid w:val="00D04321"/>
    <w:rsid w:val="00D043BA"/>
    <w:rsid w:val="00D04B0F"/>
    <w:rsid w:val="00D04F13"/>
    <w:rsid w:val="00D04F29"/>
    <w:rsid w:val="00D0517D"/>
    <w:rsid w:val="00D0535A"/>
    <w:rsid w:val="00D053DA"/>
    <w:rsid w:val="00D05681"/>
    <w:rsid w:val="00D05691"/>
    <w:rsid w:val="00D05B61"/>
    <w:rsid w:val="00D05C12"/>
    <w:rsid w:val="00D05CD6"/>
    <w:rsid w:val="00D05DF5"/>
    <w:rsid w:val="00D06138"/>
    <w:rsid w:val="00D061BE"/>
    <w:rsid w:val="00D063B0"/>
    <w:rsid w:val="00D06659"/>
    <w:rsid w:val="00D06940"/>
    <w:rsid w:val="00D06BF5"/>
    <w:rsid w:val="00D06BFC"/>
    <w:rsid w:val="00D06D3E"/>
    <w:rsid w:val="00D06EEA"/>
    <w:rsid w:val="00D06FBB"/>
    <w:rsid w:val="00D070DA"/>
    <w:rsid w:val="00D072A9"/>
    <w:rsid w:val="00D072BF"/>
    <w:rsid w:val="00D075CC"/>
    <w:rsid w:val="00D07717"/>
    <w:rsid w:val="00D07A6C"/>
    <w:rsid w:val="00D07CF2"/>
    <w:rsid w:val="00D1029B"/>
    <w:rsid w:val="00D1049B"/>
    <w:rsid w:val="00D10661"/>
    <w:rsid w:val="00D10CF7"/>
    <w:rsid w:val="00D10ED6"/>
    <w:rsid w:val="00D11253"/>
    <w:rsid w:val="00D11541"/>
    <w:rsid w:val="00D11CF4"/>
    <w:rsid w:val="00D12050"/>
    <w:rsid w:val="00D120AD"/>
    <w:rsid w:val="00D12162"/>
    <w:rsid w:val="00D1246E"/>
    <w:rsid w:val="00D12518"/>
    <w:rsid w:val="00D1263C"/>
    <w:rsid w:val="00D12A27"/>
    <w:rsid w:val="00D12D88"/>
    <w:rsid w:val="00D1338D"/>
    <w:rsid w:val="00D133E7"/>
    <w:rsid w:val="00D136FB"/>
    <w:rsid w:val="00D1374A"/>
    <w:rsid w:val="00D138F5"/>
    <w:rsid w:val="00D138FB"/>
    <w:rsid w:val="00D13DA6"/>
    <w:rsid w:val="00D140D5"/>
    <w:rsid w:val="00D143DC"/>
    <w:rsid w:val="00D144C2"/>
    <w:rsid w:val="00D146B5"/>
    <w:rsid w:val="00D14C83"/>
    <w:rsid w:val="00D14DE3"/>
    <w:rsid w:val="00D15016"/>
    <w:rsid w:val="00D1510B"/>
    <w:rsid w:val="00D15373"/>
    <w:rsid w:val="00D15D4E"/>
    <w:rsid w:val="00D16021"/>
    <w:rsid w:val="00D160CF"/>
    <w:rsid w:val="00D1611C"/>
    <w:rsid w:val="00D16406"/>
    <w:rsid w:val="00D16684"/>
    <w:rsid w:val="00D16F7B"/>
    <w:rsid w:val="00D1704B"/>
    <w:rsid w:val="00D17439"/>
    <w:rsid w:val="00D17769"/>
    <w:rsid w:val="00D1786F"/>
    <w:rsid w:val="00D17A86"/>
    <w:rsid w:val="00D17E1A"/>
    <w:rsid w:val="00D17EF5"/>
    <w:rsid w:val="00D205DA"/>
    <w:rsid w:val="00D20878"/>
    <w:rsid w:val="00D20999"/>
    <w:rsid w:val="00D20A9E"/>
    <w:rsid w:val="00D20FF1"/>
    <w:rsid w:val="00D21661"/>
    <w:rsid w:val="00D219B3"/>
    <w:rsid w:val="00D21ADD"/>
    <w:rsid w:val="00D21BB5"/>
    <w:rsid w:val="00D21C52"/>
    <w:rsid w:val="00D22281"/>
    <w:rsid w:val="00D2242B"/>
    <w:rsid w:val="00D224BD"/>
    <w:rsid w:val="00D22563"/>
    <w:rsid w:val="00D22604"/>
    <w:rsid w:val="00D227E2"/>
    <w:rsid w:val="00D22B3C"/>
    <w:rsid w:val="00D22BE8"/>
    <w:rsid w:val="00D22DEC"/>
    <w:rsid w:val="00D234A9"/>
    <w:rsid w:val="00D236D3"/>
    <w:rsid w:val="00D23741"/>
    <w:rsid w:val="00D23749"/>
    <w:rsid w:val="00D23A3D"/>
    <w:rsid w:val="00D23D9D"/>
    <w:rsid w:val="00D24213"/>
    <w:rsid w:val="00D24223"/>
    <w:rsid w:val="00D24265"/>
    <w:rsid w:val="00D249A7"/>
    <w:rsid w:val="00D2528C"/>
    <w:rsid w:val="00D253B0"/>
    <w:rsid w:val="00D2576C"/>
    <w:rsid w:val="00D2597D"/>
    <w:rsid w:val="00D25D1A"/>
    <w:rsid w:val="00D25D3D"/>
    <w:rsid w:val="00D269A9"/>
    <w:rsid w:val="00D26BCC"/>
    <w:rsid w:val="00D2715E"/>
    <w:rsid w:val="00D272BD"/>
    <w:rsid w:val="00D278A0"/>
    <w:rsid w:val="00D279E3"/>
    <w:rsid w:val="00D27A18"/>
    <w:rsid w:val="00D27D1A"/>
    <w:rsid w:val="00D27FC5"/>
    <w:rsid w:val="00D30094"/>
    <w:rsid w:val="00D300BA"/>
    <w:rsid w:val="00D30189"/>
    <w:rsid w:val="00D30359"/>
    <w:rsid w:val="00D305AF"/>
    <w:rsid w:val="00D30938"/>
    <w:rsid w:val="00D30C3F"/>
    <w:rsid w:val="00D30E08"/>
    <w:rsid w:val="00D30F7E"/>
    <w:rsid w:val="00D30FA8"/>
    <w:rsid w:val="00D30FD5"/>
    <w:rsid w:val="00D3120C"/>
    <w:rsid w:val="00D31361"/>
    <w:rsid w:val="00D3179A"/>
    <w:rsid w:val="00D31808"/>
    <w:rsid w:val="00D31A56"/>
    <w:rsid w:val="00D31A5D"/>
    <w:rsid w:val="00D32114"/>
    <w:rsid w:val="00D3212A"/>
    <w:rsid w:val="00D321D6"/>
    <w:rsid w:val="00D321F5"/>
    <w:rsid w:val="00D32303"/>
    <w:rsid w:val="00D32651"/>
    <w:rsid w:val="00D328BB"/>
    <w:rsid w:val="00D329C1"/>
    <w:rsid w:val="00D32C14"/>
    <w:rsid w:val="00D32C1E"/>
    <w:rsid w:val="00D32E8F"/>
    <w:rsid w:val="00D32FC5"/>
    <w:rsid w:val="00D33140"/>
    <w:rsid w:val="00D333D6"/>
    <w:rsid w:val="00D3389D"/>
    <w:rsid w:val="00D338B0"/>
    <w:rsid w:val="00D33BAB"/>
    <w:rsid w:val="00D33D29"/>
    <w:rsid w:val="00D33E4B"/>
    <w:rsid w:val="00D34368"/>
    <w:rsid w:val="00D344B0"/>
    <w:rsid w:val="00D3467A"/>
    <w:rsid w:val="00D34A22"/>
    <w:rsid w:val="00D34A31"/>
    <w:rsid w:val="00D34A60"/>
    <w:rsid w:val="00D34F42"/>
    <w:rsid w:val="00D34FF4"/>
    <w:rsid w:val="00D3514C"/>
    <w:rsid w:val="00D3547C"/>
    <w:rsid w:val="00D35660"/>
    <w:rsid w:val="00D3586B"/>
    <w:rsid w:val="00D35C56"/>
    <w:rsid w:val="00D36271"/>
    <w:rsid w:val="00D36273"/>
    <w:rsid w:val="00D3636E"/>
    <w:rsid w:val="00D365E0"/>
    <w:rsid w:val="00D3670C"/>
    <w:rsid w:val="00D36A0D"/>
    <w:rsid w:val="00D36A12"/>
    <w:rsid w:val="00D36C30"/>
    <w:rsid w:val="00D36CE9"/>
    <w:rsid w:val="00D36D04"/>
    <w:rsid w:val="00D36F1C"/>
    <w:rsid w:val="00D36F48"/>
    <w:rsid w:val="00D37159"/>
    <w:rsid w:val="00D37335"/>
    <w:rsid w:val="00D375B3"/>
    <w:rsid w:val="00D3781A"/>
    <w:rsid w:val="00D378A0"/>
    <w:rsid w:val="00D37EB4"/>
    <w:rsid w:val="00D4000B"/>
    <w:rsid w:val="00D4041D"/>
    <w:rsid w:val="00D40710"/>
    <w:rsid w:val="00D409CD"/>
    <w:rsid w:val="00D40D2C"/>
    <w:rsid w:val="00D40F32"/>
    <w:rsid w:val="00D40FA0"/>
    <w:rsid w:val="00D41553"/>
    <w:rsid w:val="00D41CAE"/>
    <w:rsid w:val="00D41F33"/>
    <w:rsid w:val="00D41FDC"/>
    <w:rsid w:val="00D42330"/>
    <w:rsid w:val="00D42370"/>
    <w:rsid w:val="00D42978"/>
    <w:rsid w:val="00D42AFC"/>
    <w:rsid w:val="00D42E9C"/>
    <w:rsid w:val="00D42F05"/>
    <w:rsid w:val="00D4316F"/>
    <w:rsid w:val="00D431C2"/>
    <w:rsid w:val="00D431FA"/>
    <w:rsid w:val="00D432FA"/>
    <w:rsid w:val="00D435A1"/>
    <w:rsid w:val="00D43D89"/>
    <w:rsid w:val="00D43F1A"/>
    <w:rsid w:val="00D44265"/>
    <w:rsid w:val="00D4437E"/>
    <w:rsid w:val="00D443E6"/>
    <w:rsid w:val="00D44580"/>
    <w:rsid w:val="00D44629"/>
    <w:rsid w:val="00D44B9B"/>
    <w:rsid w:val="00D45143"/>
    <w:rsid w:val="00D4551C"/>
    <w:rsid w:val="00D455F7"/>
    <w:rsid w:val="00D45795"/>
    <w:rsid w:val="00D459E6"/>
    <w:rsid w:val="00D45B7D"/>
    <w:rsid w:val="00D45D39"/>
    <w:rsid w:val="00D45FC9"/>
    <w:rsid w:val="00D45FD2"/>
    <w:rsid w:val="00D46523"/>
    <w:rsid w:val="00D46600"/>
    <w:rsid w:val="00D46687"/>
    <w:rsid w:val="00D46919"/>
    <w:rsid w:val="00D46D73"/>
    <w:rsid w:val="00D473C5"/>
    <w:rsid w:val="00D475AE"/>
    <w:rsid w:val="00D47B97"/>
    <w:rsid w:val="00D47E59"/>
    <w:rsid w:val="00D501F5"/>
    <w:rsid w:val="00D502AD"/>
    <w:rsid w:val="00D50398"/>
    <w:rsid w:val="00D50694"/>
    <w:rsid w:val="00D507E9"/>
    <w:rsid w:val="00D50A46"/>
    <w:rsid w:val="00D51197"/>
    <w:rsid w:val="00D512D3"/>
    <w:rsid w:val="00D51620"/>
    <w:rsid w:val="00D51743"/>
    <w:rsid w:val="00D5186E"/>
    <w:rsid w:val="00D51916"/>
    <w:rsid w:val="00D51BA9"/>
    <w:rsid w:val="00D51F53"/>
    <w:rsid w:val="00D5213E"/>
    <w:rsid w:val="00D522AC"/>
    <w:rsid w:val="00D52302"/>
    <w:rsid w:val="00D524F1"/>
    <w:rsid w:val="00D52783"/>
    <w:rsid w:val="00D527CB"/>
    <w:rsid w:val="00D52C03"/>
    <w:rsid w:val="00D52FD0"/>
    <w:rsid w:val="00D52FD7"/>
    <w:rsid w:val="00D53008"/>
    <w:rsid w:val="00D5304C"/>
    <w:rsid w:val="00D532EE"/>
    <w:rsid w:val="00D53775"/>
    <w:rsid w:val="00D537B6"/>
    <w:rsid w:val="00D53BD3"/>
    <w:rsid w:val="00D540A3"/>
    <w:rsid w:val="00D54552"/>
    <w:rsid w:val="00D54A4F"/>
    <w:rsid w:val="00D54B2F"/>
    <w:rsid w:val="00D54CFB"/>
    <w:rsid w:val="00D553C8"/>
    <w:rsid w:val="00D5548C"/>
    <w:rsid w:val="00D55584"/>
    <w:rsid w:val="00D55A69"/>
    <w:rsid w:val="00D55A74"/>
    <w:rsid w:val="00D55B06"/>
    <w:rsid w:val="00D55C54"/>
    <w:rsid w:val="00D55C59"/>
    <w:rsid w:val="00D55E01"/>
    <w:rsid w:val="00D55FDD"/>
    <w:rsid w:val="00D5619C"/>
    <w:rsid w:val="00D56575"/>
    <w:rsid w:val="00D565D7"/>
    <w:rsid w:val="00D56682"/>
    <w:rsid w:val="00D56732"/>
    <w:rsid w:val="00D569E0"/>
    <w:rsid w:val="00D57899"/>
    <w:rsid w:val="00D57916"/>
    <w:rsid w:val="00D57EA1"/>
    <w:rsid w:val="00D6000C"/>
    <w:rsid w:val="00D60045"/>
    <w:rsid w:val="00D600F6"/>
    <w:rsid w:val="00D60474"/>
    <w:rsid w:val="00D6052E"/>
    <w:rsid w:val="00D60663"/>
    <w:rsid w:val="00D60695"/>
    <w:rsid w:val="00D6069D"/>
    <w:rsid w:val="00D6071F"/>
    <w:rsid w:val="00D60AF8"/>
    <w:rsid w:val="00D60CB3"/>
    <w:rsid w:val="00D60CF9"/>
    <w:rsid w:val="00D60FE1"/>
    <w:rsid w:val="00D612ED"/>
    <w:rsid w:val="00D615DF"/>
    <w:rsid w:val="00D61BBB"/>
    <w:rsid w:val="00D61C71"/>
    <w:rsid w:val="00D61EA9"/>
    <w:rsid w:val="00D61EB8"/>
    <w:rsid w:val="00D61ECF"/>
    <w:rsid w:val="00D61F39"/>
    <w:rsid w:val="00D6256F"/>
    <w:rsid w:val="00D62B53"/>
    <w:rsid w:val="00D62C3A"/>
    <w:rsid w:val="00D62D30"/>
    <w:rsid w:val="00D62E9E"/>
    <w:rsid w:val="00D62ED8"/>
    <w:rsid w:val="00D62FCB"/>
    <w:rsid w:val="00D63486"/>
    <w:rsid w:val="00D63561"/>
    <w:rsid w:val="00D63938"/>
    <w:rsid w:val="00D63B68"/>
    <w:rsid w:val="00D63C3F"/>
    <w:rsid w:val="00D63E03"/>
    <w:rsid w:val="00D6416F"/>
    <w:rsid w:val="00D6422D"/>
    <w:rsid w:val="00D64626"/>
    <w:rsid w:val="00D64CB1"/>
    <w:rsid w:val="00D6527C"/>
    <w:rsid w:val="00D6545B"/>
    <w:rsid w:val="00D65B0A"/>
    <w:rsid w:val="00D6611B"/>
    <w:rsid w:val="00D66195"/>
    <w:rsid w:val="00D66266"/>
    <w:rsid w:val="00D664A1"/>
    <w:rsid w:val="00D66525"/>
    <w:rsid w:val="00D66795"/>
    <w:rsid w:val="00D667BF"/>
    <w:rsid w:val="00D66E7E"/>
    <w:rsid w:val="00D66FE7"/>
    <w:rsid w:val="00D66FFB"/>
    <w:rsid w:val="00D6712E"/>
    <w:rsid w:val="00D6715D"/>
    <w:rsid w:val="00D6777D"/>
    <w:rsid w:val="00D6780A"/>
    <w:rsid w:val="00D6781F"/>
    <w:rsid w:val="00D67A75"/>
    <w:rsid w:val="00D67C50"/>
    <w:rsid w:val="00D67FD1"/>
    <w:rsid w:val="00D70035"/>
    <w:rsid w:val="00D70570"/>
    <w:rsid w:val="00D705EA"/>
    <w:rsid w:val="00D70639"/>
    <w:rsid w:val="00D706AE"/>
    <w:rsid w:val="00D709A2"/>
    <w:rsid w:val="00D709B9"/>
    <w:rsid w:val="00D70CC9"/>
    <w:rsid w:val="00D70D47"/>
    <w:rsid w:val="00D7103F"/>
    <w:rsid w:val="00D71342"/>
    <w:rsid w:val="00D715DA"/>
    <w:rsid w:val="00D718E0"/>
    <w:rsid w:val="00D719D0"/>
    <w:rsid w:val="00D71B67"/>
    <w:rsid w:val="00D71D24"/>
    <w:rsid w:val="00D71EA6"/>
    <w:rsid w:val="00D7202D"/>
    <w:rsid w:val="00D7259A"/>
    <w:rsid w:val="00D727B6"/>
    <w:rsid w:val="00D728C7"/>
    <w:rsid w:val="00D72E2D"/>
    <w:rsid w:val="00D72EFD"/>
    <w:rsid w:val="00D72FD9"/>
    <w:rsid w:val="00D73146"/>
    <w:rsid w:val="00D73333"/>
    <w:rsid w:val="00D7337E"/>
    <w:rsid w:val="00D73458"/>
    <w:rsid w:val="00D736FF"/>
    <w:rsid w:val="00D73706"/>
    <w:rsid w:val="00D739D0"/>
    <w:rsid w:val="00D73A66"/>
    <w:rsid w:val="00D73ADA"/>
    <w:rsid w:val="00D74139"/>
    <w:rsid w:val="00D743EA"/>
    <w:rsid w:val="00D74C1D"/>
    <w:rsid w:val="00D74CF9"/>
    <w:rsid w:val="00D74E0B"/>
    <w:rsid w:val="00D74EB8"/>
    <w:rsid w:val="00D75158"/>
    <w:rsid w:val="00D751D9"/>
    <w:rsid w:val="00D75354"/>
    <w:rsid w:val="00D75369"/>
    <w:rsid w:val="00D7542D"/>
    <w:rsid w:val="00D754DB"/>
    <w:rsid w:val="00D75532"/>
    <w:rsid w:val="00D75627"/>
    <w:rsid w:val="00D7564E"/>
    <w:rsid w:val="00D75A38"/>
    <w:rsid w:val="00D75E01"/>
    <w:rsid w:val="00D75EAA"/>
    <w:rsid w:val="00D75F54"/>
    <w:rsid w:val="00D76059"/>
    <w:rsid w:val="00D76139"/>
    <w:rsid w:val="00D767F2"/>
    <w:rsid w:val="00D76B73"/>
    <w:rsid w:val="00D77463"/>
    <w:rsid w:val="00D77598"/>
    <w:rsid w:val="00D776FB"/>
    <w:rsid w:val="00D778A9"/>
    <w:rsid w:val="00D77ACA"/>
    <w:rsid w:val="00D80105"/>
    <w:rsid w:val="00D801E1"/>
    <w:rsid w:val="00D807BA"/>
    <w:rsid w:val="00D807CD"/>
    <w:rsid w:val="00D80E63"/>
    <w:rsid w:val="00D80EDE"/>
    <w:rsid w:val="00D81AA6"/>
    <w:rsid w:val="00D81BF0"/>
    <w:rsid w:val="00D81CEC"/>
    <w:rsid w:val="00D81DD6"/>
    <w:rsid w:val="00D81E44"/>
    <w:rsid w:val="00D81E95"/>
    <w:rsid w:val="00D81EE6"/>
    <w:rsid w:val="00D8238B"/>
    <w:rsid w:val="00D8246F"/>
    <w:rsid w:val="00D825AF"/>
    <w:rsid w:val="00D82608"/>
    <w:rsid w:val="00D82AEC"/>
    <w:rsid w:val="00D82DDC"/>
    <w:rsid w:val="00D831CD"/>
    <w:rsid w:val="00D83723"/>
    <w:rsid w:val="00D8372E"/>
    <w:rsid w:val="00D83938"/>
    <w:rsid w:val="00D839C5"/>
    <w:rsid w:val="00D83B01"/>
    <w:rsid w:val="00D83B1E"/>
    <w:rsid w:val="00D83D87"/>
    <w:rsid w:val="00D83E24"/>
    <w:rsid w:val="00D841CA"/>
    <w:rsid w:val="00D843F4"/>
    <w:rsid w:val="00D84521"/>
    <w:rsid w:val="00D84720"/>
    <w:rsid w:val="00D847C8"/>
    <w:rsid w:val="00D848C0"/>
    <w:rsid w:val="00D84979"/>
    <w:rsid w:val="00D84BAA"/>
    <w:rsid w:val="00D84BCF"/>
    <w:rsid w:val="00D84D67"/>
    <w:rsid w:val="00D84D69"/>
    <w:rsid w:val="00D85172"/>
    <w:rsid w:val="00D853F7"/>
    <w:rsid w:val="00D85AF8"/>
    <w:rsid w:val="00D85E8D"/>
    <w:rsid w:val="00D860E1"/>
    <w:rsid w:val="00D8616F"/>
    <w:rsid w:val="00D865DA"/>
    <w:rsid w:val="00D866F9"/>
    <w:rsid w:val="00D86ADA"/>
    <w:rsid w:val="00D86D67"/>
    <w:rsid w:val="00D86EED"/>
    <w:rsid w:val="00D87589"/>
    <w:rsid w:val="00D87665"/>
    <w:rsid w:val="00D8784F"/>
    <w:rsid w:val="00D87F1F"/>
    <w:rsid w:val="00D87F52"/>
    <w:rsid w:val="00D90365"/>
    <w:rsid w:val="00D90484"/>
    <w:rsid w:val="00D904B8"/>
    <w:rsid w:val="00D9074A"/>
    <w:rsid w:val="00D90B38"/>
    <w:rsid w:val="00D90E05"/>
    <w:rsid w:val="00D90EB0"/>
    <w:rsid w:val="00D90FA1"/>
    <w:rsid w:val="00D91071"/>
    <w:rsid w:val="00D912E6"/>
    <w:rsid w:val="00D918CF"/>
    <w:rsid w:val="00D919B8"/>
    <w:rsid w:val="00D91A68"/>
    <w:rsid w:val="00D91CFA"/>
    <w:rsid w:val="00D92076"/>
    <w:rsid w:val="00D929C2"/>
    <w:rsid w:val="00D92C2A"/>
    <w:rsid w:val="00D92CF6"/>
    <w:rsid w:val="00D92F92"/>
    <w:rsid w:val="00D9302A"/>
    <w:rsid w:val="00D93233"/>
    <w:rsid w:val="00D93318"/>
    <w:rsid w:val="00D9335A"/>
    <w:rsid w:val="00D9352D"/>
    <w:rsid w:val="00D939CB"/>
    <w:rsid w:val="00D93CAF"/>
    <w:rsid w:val="00D93FB0"/>
    <w:rsid w:val="00D9440C"/>
    <w:rsid w:val="00D94547"/>
    <w:rsid w:val="00D945D4"/>
    <w:rsid w:val="00D948E1"/>
    <w:rsid w:val="00D949ED"/>
    <w:rsid w:val="00D94B7C"/>
    <w:rsid w:val="00D94C20"/>
    <w:rsid w:val="00D94D19"/>
    <w:rsid w:val="00D94DCA"/>
    <w:rsid w:val="00D94FD8"/>
    <w:rsid w:val="00D952E8"/>
    <w:rsid w:val="00D95696"/>
    <w:rsid w:val="00D95BB5"/>
    <w:rsid w:val="00D95FD4"/>
    <w:rsid w:val="00D96198"/>
    <w:rsid w:val="00D9642B"/>
    <w:rsid w:val="00D96975"/>
    <w:rsid w:val="00D969D1"/>
    <w:rsid w:val="00D96C68"/>
    <w:rsid w:val="00D96C6D"/>
    <w:rsid w:val="00D96F4D"/>
    <w:rsid w:val="00D974F1"/>
    <w:rsid w:val="00D97B61"/>
    <w:rsid w:val="00D97D11"/>
    <w:rsid w:val="00DA005C"/>
    <w:rsid w:val="00DA067A"/>
    <w:rsid w:val="00DA0D3B"/>
    <w:rsid w:val="00DA0D58"/>
    <w:rsid w:val="00DA0E36"/>
    <w:rsid w:val="00DA0F38"/>
    <w:rsid w:val="00DA17A9"/>
    <w:rsid w:val="00DA17E7"/>
    <w:rsid w:val="00DA19B8"/>
    <w:rsid w:val="00DA1D7E"/>
    <w:rsid w:val="00DA1DAC"/>
    <w:rsid w:val="00DA1E89"/>
    <w:rsid w:val="00DA1F3A"/>
    <w:rsid w:val="00DA1F7D"/>
    <w:rsid w:val="00DA284F"/>
    <w:rsid w:val="00DA28C3"/>
    <w:rsid w:val="00DA2AB8"/>
    <w:rsid w:val="00DA2C43"/>
    <w:rsid w:val="00DA2E56"/>
    <w:rsid w:val="00DA2F99"/>
    <w:rsid w:val="00DA3185"/>
    <w:rsid w:val="00DA33D9"/>
    <w:rsid w:val="00DA3589"/>
    <w:rsid w:val="00DA376C"/>
    <w:rsid w:val="00DA37C4"/>
    <w:rsid w:val="00DA3808"/>
    <w:rsid w:val="00DA3814"/>
    <w:rsid w:val="00DA3984"/>
    <w:rsid w:val="00DA409D"/>
    <w:rsid w:val="00DA4403"/>
    <w:rsid w:val="00DA4715"/>
    <w:rsid w:val="00DA49AC"/>
    <w:rsid w:val="00DA4A8A"/>
    <w:rsid w:val="00DA4C82"/>
    <w:rsid w:val="00DA5015"/>
    <w:rsid w:val="00DA511C"/>
    <w:rsid w:val="00DA5231"/>
    <w:rsid w:val="00DA5284"/>
    <w:rsid w:val="00DA52B6"/>
    <w:rsid w:val="00DA5573"/>
    <w:rsid w:val="00DA5574"/>
    <w:rsid w:val="00DA5D0A"/>
    <w:rsid w:val="00DA5E86"/>
    <w:rsid w:val="00DA6178"/>
    <w:rsid w:val="00DA61FB"/>
    <w:rsid w:val="00DA6491"/>
    <w:rsid w:val="00DA65C4"/>
    <w:rsid w:val="00DA65C9"/>
    <w:rsid w:val="00DA6DC1"/>
    <w:rsid w:val="00DA6DFF"/>
    <w:rsid w:val="00DA7162"/>
    <w:rsid w:val="00DA72A9"/>
    <w:rsid w:val="00DA74D7"/>
    <w:rsid w:val="00DA7510"/>
    <w:rsid w:val="00DA7833"/>
    <w:rsid w:val="00DA7A22"/>
    <w:rsid w:val="00DA7CD9"/>
    <w:rsid w:val="00DB0157"/>
    <w:rsid w:val="00DB01DC"/>
    <w:rsid w:val="00DB0306"/>
    <w:rsid w:val="00DB060A"/>
    <w:rsid w:val="00DB076A"/>
    <w:rsid w:val="00DB0D4F"/>
    <w:rsid w:val="00DB112F"/>
    <w:rsid w:val="00DB18BB"/>
    <w:rsid w:val="00DB1BFE"/>
    <w:rsid w:val="00DB1C9D"/>
    <w:rsid w:val="00DB1FBA"/>
    <w:rsid w:val="00DB24F4"/>
    <w:rsid w:val="00DB2AFB"/>
    <w:rsid w:val="00DB2D0C"/>
    <w:rsid w:val="00DB2E7D"/>
    <w:rsid w:val="00DB2E8D"/>
    <w:rsid w:val="00DB2F96"/>
    <w:rsid w:val="00DB2FAA"/>
    <w:rsid w:val="00DB30C5"/>
    <w:rsid w:val="00DB32AC"/>
    <w:rsid w:val="00DB338D"/>
    <w:rsid w:val="00DB3794"/>
    <w:rsid w:val="00DB37FF"/>
    <w:rsid w:val="00DB390F"/>
    <w:rsid w:val="00DB3A29"/>
    <w:rsid w:val="00DB3AF0"/>
    <w:rsid w:val="00DB3B66"/>
    <w:rsid w:val="00DB3F3B"/>
    <w:rsid w:val="00DB415C"/>
    <w:rsid w:val="00DB498E"/>
    <w:rsid w:val="00DB4AF3"/>
    <w:rsid w:val="00DB4BEC"/>
    <w:rsid w:val="00DB5150"/>
    <w:rsid w:val="00DB5222"/>
    <w:rsid w:val="00DB53FA"/>
    <w:rsid w:val="00DB6452"/>
    <w:rsid w:val="00DB648D"/>
    <w:rsid w:val="00DB675C"/>
    <w:rsid w:val="00DB68A1"/>
    <w:rsid w:val="00DB6B33"/>
    <w:rsid w:val="00DB6BE0"/>
    <w:rsid w:val="00DB6D21"/>
    <w:rsid w:val="00DB6D43"/>
    <w:rsid w:val="00DB6D56"/>
    <w:rsid w:val="00DB6DCE"/>
    <w:rsid w:val="00DB711E"/>
    <w:rsid w:val="00DB727A"/>
    <w:rsid w:val="00DB748E"/>
    <w:rsid w:val="00DB79C6"/>
    <w:rsid w:val="00DB7BD6"/>
    <w:rsid w:val="00DB7F44"/>
    <w:rsid w:val="00DC01B8"/>
    <w:rsid w:val="00DC0253"/>
    <w:rsid w:val="00DC0447"/>
    <w:rsid w:val="00DC04A8"/>
    <w:rsid w:val="00DC05B5"/>
    <w:rsid w:val="00DC068C"/>
    <w:rsid w:val="00DC0D2C"/>
    <w:rsid w:val="00DC138A"/>
    <w:rsid w:val="00DC13ED"/>
    <w:rsid w:val="00DC14CD"/>
    <w:rsid w:val="00DC16E4"/>
    <w:rsid w:val="00DC1809"/>
    <w:rsid w:val="00DC184C"/>
    <w:rsid w:val="00DC1B84"/>
    <w:rsid w:val="00DC1BAA"/>
    <w:rsid w:val="00DC1CF6"/>
    <w:rsid w:val="00DC1ED5"/>
    <w:rsid w:val="00DC209C"/>
    <w:rsid w:val="00DC21E4"/>
    <w:rsid w:val="00DC21F1"/>
    <w:rsid w:val="00DC222A"/>
    <w:rsid w:val="00DC2280"/>
    <w:rsid w:val="00DC2656"/>
    <w:rsid w:val="00DC272E"/>
    <w:rsid w:val="00DC281A"/>
    <w:rsid w:val="00DC2ABF"/>
    <w:rsid w:val="00DC2B59"/>
    <w:rsid w:val="00DC3205"/>
    <w:rsid w:val="00DC3581"/>
    <w:rsid w:val="00DC3B03"/>
    <w:rsid w:val="00DC3BE7"/>
    <w:rsid w:val="00DC3F31"/>
    <w:rsid w:val="00DC3F9E"/>
    <w:rsid w:val="00DC40A8"/>
    <w:rsid w:val="00DC4119"/>
    <w:rsid w:val="00DC46CB"/>
    <w:rsid w:val="00DC48DF"/>
    <w:rsid w:val="00DC492D"/>
    <w:rsid w:val="00DC4954"/>
    <w:rsid w:val="00DC4D0F"/>
    <w:rsid w:val="00DC4E4A"/>
    <w:rsid w:val="00DC520F"/>
    <w:rsid w:val="00DC5507"/>
    <w:rsid w:val="00DC55F4"/>
    <w:rsid w:val="00DC568E"/>
    <w:rsid w:val="00DC5882"/>
    <w:rsid w:val="00DC5914"/>
    <w:rsid w:val="00DC5A1A"/>
    <w:rsid w:val="00DC5A90"/>
    <w:rsid w:val="00DC5C2F"/>
    <w:rsid w:val="00DC5E74"/>
    <w:rsid w:val="00DC5EEB"/>
    <w:rsid w:val="00DC5FF2"/>
    <w:rsid w:val="00DC64CB"/>
    <w:rsid w:val="00DC6733"/>
    <w:rsid w:val="00DC67A6"/>
    <w:rsid w:val="00DC6CC6"/>
    <w:rsid w:val="00DC6DB8"/>
    <w:rsid w:val="00DC7283"/>
    <w:rsid w:val="00DC7329"/>
    <w:rsid w:val="00DC73A5"/>
    <w:rsid w:val="00DC7468"/>
    <w:rsid w:val="00DC7619"/>
    <w:rsid w:val="00DC79BF"/>
    <w:rsid w:val="00DC7A3A"/>
    <w:rsid w:val="00DC7AD6"/>
    <w:rsid w:val="00DC7FD8"/>
    <w:rsid w:val="00DD0037"/>
    <w:rsid w:val="00DD006D"/>
    <w:rsid w:val="00DD0276"/>
    <w:rsid w:val="00DD04FF"/>
    <w:rsid w:val="00DD06E8"/>
    <w:rsid w:val="00DD0879"/>
    <w:rsid w:val="00DD0A67"/>
    <w:rsid w:val="00DD0F1C"/>
    <w:rsid w:val="00DD186D"/>
    <w:rsid w:val="00DD1963"/>
    <w:rsid w:val="00DD1996"/>
    <w:rsid w:val="00DD19C5"/>
    <w:rsid w:val="00DD1E80"/>
    <w:rsid w:val="00DD1F2E"/>
    <w:rsid w:val="00DD21B0"/>
    <w:rsid w:val="00DD21D9"/>
    <w:rsid w:val="00DD2710"/>
    <w:rsid w:val="00DD2921"/>
    <w:rsid w:val="00DD29ED"/>
    <w:rsid w:val="00DD2BDD"/>
    <w:rsid w:val="00DD2EFF"/>
    <w:rsid w:val="00DD2F12"/>
    <w:rsid w:val="00DD3285"/>
    <w:rsid w:val="00DD3305"/>
    <w:rsid w:val="00DD35C5"/>
    <w:rsid w:val="00DD3783"/>
    <w:rsid w:val="00DD41F1"/>
    <w:rsid w:val="00DD46F5"/>
    <w:rsid w:val="00DD4747"/>
    <w:rsid w:val="00DD4B6C"/>
    <w:rsid w:val="00DD4E30"/>
    <w:rsid w:val="00DD518D"/>
    <w:rsid w:val="00DD551A"/>
    <w:rsid w:val="00DD55ED"/>
    <w:rsid w:val="00DD58AF"/>
    <w:rsid w:val="00DD5ACD"/>
    <w:rsid w:val="00DD5B0B"/>
    <w:rsid w:val="00DD612F"/>
    <w:rsid w:val="00DD6153"/>
    <w:rsid w:val="00DD6B82"/>
    <w:rsid w:val="00DD6C49"/>
    <w:rsid w:val="00DD6FB5"/>
    <w:rsid w:val="00DD71C9"/>
    <w:rsid w:val="00DD7310"/>
    <w:rsid w:val="00DD73B4"/>
    <w:rsid w:val="00DD76E5"/>
    <w:rsid w:val="00DD7859"/>
    <w:rsid w:val="00DD7A55"/>
    <w:rsid w:val="00DD7C1D"/>
    <w:rsid w:val="00DD7EB3"/>
    <w:rsid w:val="00DE0102"/>
    <w:rsid w:val="00DE01DD"/>
    <w:rsid w:val="00DE036E"/>
    <w:rsid w:val="00DE0468"/>
    <w:rsid w:val="00DE0477"/>
    <w:rsid w:val="00DE061C"/>
    <w:rsid w:val="00DE0750"/>
    <w:rsid w:val="00DE078F"/>
    <w:rsid w:val="00DE088C"/>
    <w:rsid w:val="00DE08EF"/>
    <w:rsid w:val="00DE0DEF"/>
    <w:rsid w:val="00DE1329"/>
    <w:rsid w:val="00DE1364"/>
    <w:rsid w:val="00DE1380"/>
    <w:rsid w:val="00DE1810"/>
    <w:rsid w:val="00DE24DB"/>
    <w:rsid w:val="00DE2A5D"/>
    <w:rsid w:val="00DE2ACD"/>
    <w:rsid w:val="00DE3560"/>
    <w:rsid w:val="00DE37C0"/>
    <w:rsid w:val="00DE3DBF"/>
    <w:rsid w:val="00DE3F43"/>
    <w:rsid w:val="00DE43CE"/>
    <w:rsid w:val="00DE4410"/>
    <w:rsid w:val="00DE44DC"/>
    <w:rsid w:val="00DE44FC"/>
    <w:rsid w:val="00DE4547"/>
    <w:rsid w:val="00DE45E1"/>
    <w:rsid w:val="00DE471A"/>
    <w:rsid w:val="00DE49B4"/>
    <w:rsid w:val="00DE49BD"/>
    <w:rsid w:val="00DE4A3E"/>
    <w:rsid w:val="00DE502D"/>
    <w:rsid w:val="00DE5066"/>
    <w:rsid w:val="00DE5835"/>
    <w:rsid w:val="00DE5E0F"/>
    <w:rsid w:val="00DE5EA8"/>
    <w:rsid w:val="00DE5EFB"/>
    <w:rsid w:val="00DE5F78"/>
    <w:rsid w:val="00DE63B5"/>
    <w:rsid w:val="00DE64DB"/>
    <w:rsid w:val="00DE65D0"/>
    <w:rsid w:val="00DE662C"/>
    <w:rsid w:val="00DE6704"/>
    <w:rsid w:val="00DE6F99"/>
    <w:rsid w:val="00DE70D1"/>
    <w:rsid w:val="00DE74AA"/>
    <w:rsid w:val="00DE7510"/>
    <w:rsid w:val="00DE7633"/>
    <w:rsid w:val="00DE7873"/>
    <w:rsid w:val="00DE7C3C"/>
    <w:rsid w:val="00DE7F7D"/>
    <w:rsid w:val="00DE7FC7"/>
    <w:rsid w:val="00DF0227"/>
    <w:rsid w:val="00DF04DE"/>
    <w:rsid w:val="00DF081C"/>
    <w:rsid w:val="00DF0B0B"/>
    <w:rsid w:val="00DF0B6D"/>
    <w:rsid w:val="00DF0CE6"/>
    <w:rsid w:val="00DF0DD4"/>
    <w:rsid w:val="00DF12C3"/>
    <w:rsid w:val="00DF1375"/>
    <w:rsid w:val="00DF1421"/>
    <w:rsid w:val="00DF1477"/>
    <w:rsid w:val="00DF16F4"/>
    <w:rsid w:val="00DF1A55"/>
    <w:rsid w:val="00DF1ADA"/>
    <w:rsid w:val="00DF1C40"/>
    <w:rsid w:val="00DF1CF4"/>
    <w:rsid w:val="00DF1F4B"/>
    <w:rsid w:val="00DF2065"/>
    <w:rsid w:val="00DF220C"/>
    <w:rsid w:val="00DF23D6"/>
    <w:rsid w:val="00DF2535"/>
    <w:rsid w:val="00DF2553"/>
    <w:rsid w:val="00DF258A"/>
    <w:rsid w:val="00DF282C"/>
    <w:rsid w:val="00DF2A42"/>
    <w:rsid w:val="00DF2F56"/>
    <w:rsid w:val="00DF38CB"/>
    <w:rsid w:val="00DF3DDB"/>
    <w:rsid w:val="00DF3F45"/>
    <w:rsid w:val="00DF4166"/>
    <w:rsid w:val="00DF4496"/>
    <w:rsid w:val="00DF4503"/>
    <w:rsid w:val="00DF4D05"/>
    <w:rsid w:val="00DF5145"/>
    <w:rsid w:val="00DF56D6"/>
    <w:rsid w:val="00DF5CD1"/>
    <w:rsid w:val="00DF6369"/>
    <w:rsid w:val="00DF674F"/>
    <w:rsid w:val="00DF6760"/>
    <w:rsid w:val="00DF689C"/>
    <w:rsid w:val="00DF6B2A"/>
    <w:rsid w:val="00DF6B9B"/>
    <w:rsid w:val="00DF6DE0"/>
    <w:rsid w:val="00DF6ED3"/>
    <w:rsid w:val="00DF6FB7"/>
    <w:rsid w:val="00DF748D"/>
    <w:rsid w:val="00DF75B0"/>
    <w:rsid w:val="00DF7609"/>
    <w:rsid w:val="00DF7837"/>
    <w:rsid w:val="00DF7898"/>
    <w:rsid w:val="00DF7972"/>
    <w:rsid w:val="00DF7BBB"/>
    <w:rsid w:val="00DF7D8D"/>
    <w:rsid w:val="00DF7FDD"/>
    <w:rsid w:val="00E004C2"/>
    <w:rsid w:val="00E00D30"/>
    <w:rsid w:val="00E00D39"/>
    <w:rsid w:val="00E00FA1"/>
    <w:rsid w:val="00E01074"/>
    <w:rsid w:val="00E013FC"/>
    <w:rsid w:val="00E019DF"/>
    <w:rsid w:val="00E01C93"/>
    <w:rsid w:val="00E01DF7"/>
    <w:rsid w:val="00E01F60"/>
    <w:rsid w:val="00E01FC5"/>
    <w:rsid w:val="00E0220E"/>
    <w:rsid w:val="00E022BD"/>
    <w:rsid w:val="00E022D9"/>
    <w:rsid w:val="00E023A2"/>
    <w:rsid w:val="00E023A8"/>
    <w:rsid w:val="00E02672"/>
    <w:rsid w:val="00E02746"/>
    <w:rsid w:val="00E02D43"/>
    <w:rsid w:val="00E02FDE"/>
    <w:rsid w:val="00E03404"/>
    <w:rsid w:val="00E03494"/>
    <w:rsid w:val="00E039CC"/>
    <w:rsid w:val="00E03ADF"/>
    <w:rsid w:val="00E03B00"/>
    <w:rsid w:val="00E03CB4"/>
    <w:rsid w:val="00E03CD4"/>
    <w:rsid w:val="00E03F6D"/>
    <w:rsid w:val="00E04075"/>
    <w:rsid w:val="00E0462B"/>
    <w:rsid w:val="00E04731"/>
    <w:rsid w:val="00E0482F"/>
    <w:rsid w:val="00E0588A"/>
    <w:rsid w:val="00E05D62"/>
    <w:rsid w:val="00E05EAC"/>
    <w:rsid w:val="00E061EA"/>
    <w:rsid w:val="00E0630B"/>
    <w:rsid w:val="00E06510"/>
    <w:rsid w:val="00E069D8"/>
    <w:rsid w:val="00E06CB4"/>
    <w:rsid w:val="00E06DDF"/>
    <w:rsid w:val="00E06F86"/>
    <w:rsid w:val="00E07397"/>
    <w:rsid w:val="00E07755"/>
    <w:rsid w:val="00E077E6"/>
    <w:rsid w:val="00E077EE"/>
    <w:rsid w:val="00E078FE"/>
    <w:rsid w:val="00E07B75"/>
    <w:rsid w:val="00E07D02"/>
    <w:rsid w:val="00E07D79"/>
    <w:rsid w:val="00E07EC2"/>
    <w:rsid w:val="00E100DF"/>
    <w:rsid w:val="00E1025E"/>
    <w:rsid w:val="00E10281"/>
    <w:rsid w:val="00E10749"/>
    <w:rsid w:val="00E10965"/>
    <w:rsid w:val="00E10987"/>
    <w:rsid w:val="00E10D25"/>
    <w:rsid w:val="00E10D70"/>
    <w:rsid w:val="00E110A8"/>
    <w:rsid w:val="00E113B1"/>
    <w:rsid w:val="00E116EF"/>
    <w:rsid w:val="00E119AC"/>
    <w:rsid w:val="00E11CDD"/>
    <w:rsid w:val="00E11FB5"/>
    <w:rsid w:val="00E12058"/>
    <w:rsid w:val="00E12293"/>
    <w:rsid w:val="00E12495"/>
    <w:rsid w:val="00E124F7"/>
    <w:rsid w:val="00E12546"/>
    <w:rsid w:val="00E125E7"/>
    <w:rsid w:val="00E126BD"/>
    <w:rsid w:val="00E126F1"/>
    <w:rsid w:val="00E1280E"/>
    <w:rsid w:val="00E129E0"/>
    <w:rsid w:val="00E12ED1"/>
    <w:rsid w:val="00E13379"/>
    <w:rsid w:val="00E140E4"/>
    <w:rsid w:val="00E1429E"/>
    <w:rsid w:val="00E14638"/>
    <w:rsid w:val="00E1465B"/>
    <w:rsid w:val="00E146F0"/>
    <w:rsid w:val="00E14758"/>
    <w:rsid w:val="00E147BE"/>
    <w:rsid w:val="00E14964"/>
    <w:rsid w:val="00E14EDF"/>
    <w:rsid w:val="00E1507A"/>
    <w:rsid w:val="00E151EF"/>
    <w:rsid w:val="00E151F6"/>
    <w:rsid w:val="00E1521C"/>
    <w:rsid w:val="00E154BD"/>
    <w:rsid w:val="00E15535"/>
    <w:rsid w:val="00E159D6"/>
    <w:rsid w:val="00E1622A"/>
    <w:rsid w:val="00E162C7"/>
    <w:rsid w:val="00E166C5"/>
    <w:rsid w:val="00E16796"/>
    <w:rsid w:val="00E1680B"/>
    <w:rsid w:val="00E169ED"/>
    <w:rsid w:val="00E16B95"/>
    <w:rsid w:val="00E16B96"/>
    <w:rsid w:val="00E16C66"/>
    <w:rsid w:val="00E16C8D"/>
    <w:rsid w:val="00E17064"/>
    <w:rsid w:val="00E17222"/>
    <w:rsid w:val="00E17268"/>
    <w:rsid w:val="00E1729D"/>
    <w:rsid w:val="00E17444"/>
    <w:rsid w:val="00E17776"/>
    <w:rsid w:val="00E1790A"/>
    <w:rsid w:val="00E17A09"/>
    <w:rsid w:val="00E17C4B"/>
    <w:rsid w:val="00E17FC7"/>
    <w:rsid w:val="00E201CC"/>
    <w:rsid w:val="00E204A3"/>
    <w:rsid w:val="00E205AD"/>
    <w:rsid w:val="00E205C3"/>
    <w:rsid w:val="00E2075F"/>
    <w:rsid w:val="00E20C7E"/>
    <w:rsid w:val="00E20E76"/>
    <w:rsid w:val="00E211E9"/>
    <w:rsid w:val="00E216D5"/>
    <w:rsid w:val="00E21817"/>
    <w:rsid w:val="00E218DA"/>
    <w:rsid w:val="00E2197D"/>
    <w:rsid w:val="00E21A60"/>
    <w:rsid w:val="00E21C2C"/>
    <w:rsid w:val="00E22195"/>
    <w:rsid w:val="00E22433"/>
    <w:rsid w:val="00E22F03"/>
    <w:rsid w:val="00E230AB"/>
    <w:rsid w:val="00E237EC"/>
    <w:rsid w:val="00E23D72"/>
    <w:rsid w:val="00E2400C"/>
    <w:rsid w:val="00E243D7"/>
    <w:rsid w:val="00E2469F"/>
    <w:rsid w:val="00E246BF"/>
    <w:rsid w:val="00E2472E"/>
    <w:rsid w:val="00E24749"/>
    <w:rsid w:val="00E24858"/>
    <w:rsid w:val="00E248F2"/>
    <w:rsid w:val="00E249C1"/>
    <w:rsid w:val="00E24A1A"/>
    <w:rsid w:val="00E24A93"/>
    <w:rsid w:val="00E24D27"/>
    <w:rsid w:val="00E24DDD"/>
    <w:rsid w:val="00E250CB"/>
    <w:rsid w:val="00E25168"/>
    <w:rsid w:val="00E25451"/>
    <w:rsid w:val="00E257FF"/>
    <w:rsid w:val="00E25AE3"/>
    <w:rsid w:val="00E25EE6"/>
    <w:rsid w:val="00E25EF7"/>
    <w:rsid w:val="00E25F73"/>
    <w:rsid w:val="00E26279"/>
    <w:rsid w:val="00E264B9"/>
    <w:rsid w:val="00E26574"/>
    <w:rsid w:val="00E26638"/>
    <w:rsid w:val="00E266BA"/>
    <w:rsid w:val="00E266FA"/>
    <w:rsid w:val="00E26733"/>
    <w:rsid w:val="00E268EB"/>
    <w:rsid w:val="00E270E3"/>
    <w:rsid w:val="00E270F4"/>
    <w:rsid w:val="00E274A7"/>
    <w:rsid w:val="00E278DC"/>
    <w:rsid w:val="00E2795D"/>
    <w:rsid w:val="00E27A1D"/>
    <w:rsid w:val="00E27A1F"/>
    <w:rsid w:val="00E27E0F"/>
    <w:rsid w:val="00E27F80"/>
    <w:rsid w:val="00E3027D"/>
    <w:rsid w:val="00E30379"/>
    <w:rsid w:val="00E3040F"/>
    <w:rsid w:val="00E30412"/>
    <w:rsid w:val="00E308E7"/>
    <w:rsid w:val="00E3093B"/>
    <w:rsid w:val="00E309E7"/>
    <w:rsid w:val="00E31132"/>
    <w:rsid w:val="00E3162F"/>
    <w:rsid w:val="00E3185A"/>
    <w:rsid w:val="00E31A11"/>
    <w:rsid w:val="00E31A38"/>
    <w:rsid w:val="00E31D12"/>
    <w:rsid w:val="00E3219C"/>
    <w:rsid w:val="00E323DC"/>
    <w:rsid w:val="00E3255E"/>
    <w:rsid w:val="00E3266E"/>
    <w:rsid w:val="00E32812"/>
    <w:rsid w:val="00E328B7"/>
    <w:rsid w:val="00E3296D"/>
    <w:rsid w:val="00E32ACD"/>
    <w:rsid w:val="00E32E18"/>
    <w:rsid w:val="00E32E62"/>
    <w:rsid w:val="00E32EF3"/>
    <w:rsid w:val="00E3321F"/>
    <w:rsid w:val="00E334BC"/>
    <w:rsid w:val="00E33510"/>
    <w:rsid w:val="00E3372B"/>
    <w:rsid w:val="00E33CF5"/>
    <w:rsid w:val="00E33D6D"/>
    <w:rsid w:val="00E342D4"/>
    <w:rsid w:val="00E342D7"/>
    <w:rsid w:val="00E343D3"/>
    <w:rsid w:val="00E344B5"/>
    <w:rsid w:val="00E344FC"/>
    <w:rsid w:val="00E349A4"/>
    <w:rsid w:val="00E349AE"/>
    <w:rsid w:val="00E34A79"/>
    <w:rsid w:val="00E34A97"/>
    <w:rsid w:val="00E34ADD"/>
    <w:rsid w:val="00E34B19"/>
    <w:rsid w:val="00E34BBA"/>
    <w:rsid w:val="00E34CB5"/>
    <w:rsid w:val="00E3518C"/>
    <w:rsid w:val="00E353DB"/>
    <w:rsid w:val="00E35475"/>
    <w:rsid w:val="00E35512"/>
    <w:rsid w:val="00E35825"/>
    <w:rsid w:val="00E35843"/>
    <w:rsid w:val="00E35A4B"/>
    <w:rsid w:val="00E35A60"/>
    <w:rsid w:val="00E35D01"/>
    <w:rsid w:val="00E36682"/>
    <w:rsid w:val="00E366E0"/>
    <w:rsid w:val="00E3685C"/>
    <w:rsid w:val="00E36AF0"/>
    <w:rsid w:val="00E36DB0"/>
    <w:rsid w:val="00E370DA"/>
    <w:rsid w:val="00E37172"/>
    <w:rsid w:val="00E37898"/>
    <w:rsid w:val="00E378D0"/>
    <w:rsid w:val="00E37970"/>
    <w:rsid w:val="00E37CCA"/>
    <w:rsid w:val="00E37F1A"/>
    <w:rsid w:val="00E40AD5"/>
    <w:rsid w:val="00E40F9D"/>
    <w:rsid w:val="00E41072"/>
    <w:rsid w:val="00E41279"/>
    <w:rsid w:val="00E415B3"/>
    <w:rsid w:val="00E4180A"/>
    <w:rsid w:val="00E4187D"/>
    <w:rsid w:val="00E41E8A"/>
    <w:rsid w:val="00E42B44"/>
    <w:rsid w:val="00E42F0D"/>
    <w:rsid w:val="00E42FC5"/>
    <w:rsid w:val="00E43375"/>
    <w:rsid w:val="00E435D8"/>
    <w:rsid w:val="00E43603"/>
    <w:rsid w:val="00E4385C"/>
    <w:rsid w:val="00E43983"/>
    <w:rsid w:val="00E439E7"/>
    <w:rsid w:val="00E43A71"/>
    <w:rsid w:val="00E43FCA"/>
    <w:rsid w:val="00E4419C"/>
    <w:rsid w:val="00E441B1"/>
    <w:rsid w:val="00E446EA"/>
    <w:rsid w:val="00E44997"/>
    <w:rsid w:val="00E44C33"/>
    <w:rsid w:val="00E450D5"/>
    <w:rsid w:val="00E45122"/>
    <w:rsid w:val="00E453CC"/>
    <w:rsid w:val="00E45886"/>
    <w:rsid w:val="00E4598D"/>
    <w:rsid w:val="00E459B0"/>
    <w:rsid w:val="00E45C41"/>
    <w:rsid w:val="00E4602C"/>
    <w:rsid w:val="00E46518"/>
    <w:rsid w:val="00E467E7"/>
    <w:rsid w:val="00E4685A"/>
    <w:rsid w:val="00E46E06"/>
    <w:rsid w:val="00E46EE4"/>
    <w:rsid w:val="00E47374"/>
    <w:rsid w:val="00E4757A"/>
    <w:rsid w:val="00E476AD"/>
    <w:rsid w:val="00E47B56"/>
    <w:rsid w:val="00E47D6C"/>
    <w:rsid w:val="00E47EF6"/>
    <w:rsid w:val="00E50119"/>
    <w:rsid w:val="00E50153"/>
    <w:rsid w:val="00E50270"/>
    <w:rsid w:val="00E505AD"/>
    <w:rsid w:val="00E5089E"/>
    <w:rsid w:val="00E50E12"/>
    <w:rsid w:val="00E51179"/>
    <w:rsid w:val="00E5177A"/>
    <w:rsid w:val="00E517F1"/>
    <w:rsid w:val="00E5185A"/>
    <w:rsid w:val="00E51ACB"/>
    <w:rsid w:val="00E51DA9"/>
    <w:rsid w:val="00E51E97"/>
    <w:rsid w:val="00E52043"/>
    <w:rsid w:val="00E52047"/>
    <w:rsid w:val="00E521AA"/>
    <w:rsid w:val="00E522C8"/>
    <w:rsid w:val="00E526E6"/>
    <w:rsid w:val="00E52A88"/>
    <w:rsid w:val="00E52AFE"/>
    <w:rsid w:val="00E52B39"/>
    <w:rsid w:val="00E52C04"/>
    <w:rsid w:val="00E5314B"/>
    <w:rsid w:val="00E5334F"/>
    <w:rsid w:val="00E5357B"/>
    <w:rsid w:val="00E5390E"/>
    <w:rsid w:val="00E53BD4"/>
    <w:rsid w:val="00E53EA8"/>
    <w:rsid w:val="00E5414D"/>
    <w:rsid w:val="00E54210"/>
    <w:rsid w:val="00E5431A"/>
    <w:rsid w:val="00E54337"/>
    <w:rsid w:val="00E548E5"/>
    <w:rsid w:val="00E54D6F"/>
    <w:rsid w:val="00E54FAD"/>
    <w:rsid w:val="00E5517D"/>
    <w:rsid w:val="00E55547"/>
    <w:rsid w:val="00E5566D"/>
    <w:rsid w:val="00E559CC"/>
    <w:rsid w:val="00E55E7D"/>
    <w:rsid w:val="00E55EBD"/>
    <w:rsid w:val="00E56308"/>
    <w:rsid w:val="00E56540"/>
    <w:rsid w:val="00E568A1"/>
    <w:rsid w:val="00E56BF6"/>
    <w:rsid w:val="00E56D1A"/>
    <w:rsid w:val="00E56EA4"/>
    <w:rsid w:val="00E57189"/>
    <w:rsid w:val="00E578DA"/>
    <w:rsid w:val="00E5791A"/>
    <w:rsid w:val="00E57C26"/>
    <w:rsid w:val="00E57DF5"/>
    <w:rsid w:val="00E605A1"/>
    <w:rsid w:val="00E60808"/>
    <w:rsid w:val="00E609D3"/>
    <w:rsid w:val="00E60E75"/>
    <w:rsid w:val="00E6121E"/>
    <w:rsid w:val="00E614C0"/>
    <w:rsid w:val="00E61668"/>
    <w:rsid w:val="00E61C05"/>
    <w:rsid w:val="00E61E4E"/>
    <w:rsid w:val="00E61E50"/>
    <w:rsid w:val="00E6204F"/>
    <w:rsid w:val="00E6213A"/>
    <w:rsid w:val="00E621FF"/>
    <w:rsid w:val="00E6276D"/>
    <w:rsid w:val="00E62BF5"/>
    <w:rsid w:val="00E62C06"/>
    <w:rsid w:val="00E62E6A"/>
    <w:rsid w:val="00E6307A"/>
    <w:rsid w:val="00E630E7"/>
    <w:rsid w:val="00E63371"/>
    <w:rsid w:val="00E6347E"/>
    <w:rsid w:val="00E6355B"/>
    <w:rsid w:val="00E63612"/>
    <w:rsid w:val="00E63887"/>
    <w:rsid w:val="00E63A41"/>
    <w:rsid w:val="00E63B3B"/>
    <w:rsid w:val="00E63B46"/>
    <w:rsid w:val="00E63C3F"/>
    <w:rsid w:val="00E63F3A"/>
    <w:rsid w:val="00E640D1"/>
    <w:rsid w:val="00E641AB"/>
    <w:rsid w:val="00E64235"/>
    <w:rsid w:val="00E64334"/>
    <w:rsid w:val="00E6450C"/>
    <w:rsid w:val="00E64572"/>
    <w:rsid w:val="00E647B4"/>
    <w:rsid w:val="00E64BA3"/>
    <w:rsid w:val="00E64C22"/>
    <w:rsid w:val="00E64D7A"/>
    <w:rsid w:val="00E6513A"/>
    <w:rsid w:val="00E653C1"/>
    <w:rsid w:val="00E65616"/>
    <w:rsid w:val="00E6599B"/>
    <w:rsid w:val="00E65AA4"/>
    <w:rsid w:val="00E65ABA"/>
    <w:rsid w:val="00E661C2"/>
    <w:rsid w:val="00E66479"/>
    <w:rsid w:val="00E66532"/>
    <w:rsid w:val="00E669BC"/>
    <w:rsid w:val="00E669C1"/>
    <w:rsid w:val="00E66B3D"/>
    <w:rsid w:val="00E670B8"/>
    <w:rsid w:val="00E677CB"/>
    <w:rsid w:val="00E67819"/>
    <w:rsid w:val="00E6785D"/>
    <w:rsid w:val="00E679E1"/>
    <w:rsid w:val="00E67C37"/>
    <w:rsid w:val="00E67C3F"/>
    <w:rsid w:val="00E70080"/>
    <w:rsid w:val="00E70093"/>
    <w:rsid w:val="00E70176"/>
    <w:rsid w:val="00E706B5"/>
    <w:rsid w:val="00E707EC"/>
    <w:rsid w:val="00E70956"/>
    <w:rsid w:val="00E70C95"/>
    <w:rsid w:val="00E70E69"/>
    <w:rsid w:val="00E70E98"/>
    <w:rsid w:val="00E70EFD"/>
    <w:rsid w:val="00E710CC"/>
    <w:rsid w:val="00E7116D"/>
    <w:rsid w:val="00E711BE"/>
    <w:rsid w:val="00E71488"/>
    <w:rsid w:val="00E717A7"/>
    <w:rsid w:val="00E71983"/>
    <w:rsid w:val="00E71C2B"/>
    <w:rsid w:val="00E71D1B"/>
    <w:rsid w:val="00E71D4C"/>
    <w:rsid w:val="00E71EBE"/>
    <w:rsid w:val="00E71EEF"/>
    <w:rsid w:val="00E7274B"/>
    <w:rsid w:val="00E728BF"/>
    <w:rsid w:val="00E72A42"/>
    <w:rsid w:val="00E730E0"/>
    <w:rsid w:val="00E731D9"/>
    <w:rsid w:val="00E734B0"/>
    <w:rsid w:val="00E7365D"/>
    <w:rsid w:val="00E736EA"/>
    <w:rsid w:val="00E73958"/>
    <w:rsid w:val="00E73AC5"/>
    <w:rsid w:val="00E73D0B"/>
    <w:rsid w:val="00E74206"/>
    <w:rsid w:val="00E74B6A"/>
    <w:rsid w:val="00E750E3"/>
    <w:rsid w:val="00E75423"/>
    <w:rsid w:val="00E754C8"/>
    <w:rsid w:val="00E755F6"/>
    <w:rsid w:val="00E756C5"/>
    <w:rsid w:val="00E75736"/>
    <w:rsid w:val="00E75B46"/>
    <w:rsid w:val="00E75B5E"/>
    <w:rsid w:val="00E75BDE"/>
    <w:rsid w:val="00E75DAB"/>
    <w:rsid w:val="00E75E75"/>
    <w:rsid w:val="00E76051"/>
    <w:rsid w:val="00E76132"/>
    <w:rsid w:val="00E76286"/>
    <w:rsid w:val="00E76424"/>
    <w:rsid w:val="00E7693F"/>
    <w:rsid w:val="00E76C9B"/>
    <w:rsid w:val="00E76D83"/>
    <w:rsid w:val="00E771CE"/>
    <w:rsid w:val="00E77762"/>
    <w:rsid w:val="00E77A84"/>
    <w:rsid w:val="00E77BB9"/>
    <w:rsid w:val="00E77C3F"/>
    <w:rsid w:val="00E8007B"/>
    <w:rsid w:val="00E800F5"/>
    <w:rsid w:val="00E8057B"/>
    <w:rsid w:val="00E80768"/>
    <w:rsid w:val="00E808AF"/>
    <w:rsid w:val="00E80BF0"/>
    <w:rsid w:val="00E80F9A"/>
    <w:rsid w:val="00E8180A"/>
    <w:rsid w:val="00E81B07"/>
    <w:rsid w:val="00E81BA0"/>
    <w:rsid w:val="00E81C9C"/>
    <w:rsid w:val="00E81DA9"/>
    <w:rsid w:val="00E824B5"/>
    <w:rsid w:val="00E82A0F"/>
    <w:rsid w:val="00E82EBE"/>
    <w:rsid w:val="00E8309D"/>
    <w:rsid w:val="00E830D5"/>
    <w:rsid w:val="00E8340E"/>
    <w:rsid w:val="00E83604"/>
    <w:rsid w:val="00E8366C"/>
    <w:rsid w:val="00E83843"/>
    <w:rsid w:val="00E83E80"/>
    <w:rsid w:val="00E84333"/>
    <w:rsid w:val="00E84385"/>
    <w:rsid w:val="00E84799"/>
    <w:rsid w:val="00E847CD"/>
    <w:rsid w:val="00E8484A"/>
    <w:rsid w:val="00E84A56"/>
    <w:rsid w:val="00E84B70"/>
    <w:rsid w:val="00E84BB6"/>
    <w:rsid w:val="00E84C25"/>
    <w:rsid w:val="00E84CE2"/>
    <w:rsid w:val="00E84D54"/>
    <w:rsid w:val="00E84E9B"/>
    <w:rsid w:val="00E84FF2"/>
    <w:rsid w:val="00E85218"/>
    <w:rsid w:val="00E853E9"/>
    <w:rsid w:val="00E85599"/>
    <w:rsid w:val="00E856C6"/>
    <w:rsid w:val="00E85737"/>
    <w:rsid w:val="00E861D3"/>
    <w:rsid w:val="00E8625C"/>
    <w:rsid w:val="00E86631"/>
    <w:rsid w:val="00E8671B"/>
    <w:rsid w:val="00E86741"/>
    <w:rsid w:val="00E867A4"/>
    <w:rsid w:val="00E86C9C"/>
    <w:rsid w:val="00E87343"/>
    <w:rsid w:val="00E87655"/>
    <w:rsid w:val="00E8766B"/>
    <w:rsid w:val="00E900D4"/>
    <w:rsid w:val="00E90344"/>
    <w:rsid w:val="00E90504"/>
    <w:rsid w:val="00E90666"/>
    <w:rsid w:val="00E90AD0"/>
    <w:rsid w:val="00E90BAC"/>
    <w:rsid w:val="00E90CBB"/>
    <w:rsid w:val="00E91998"/>
    <w:rsid w:val="00E91A41"/>
    <w:rsid w:val="00E921CE"/>
    <w:rsid w:val="00E9220F"/>
    <w:rsid w:val="00E92240"/>
    <w:rsid w:val="00E923E4"/>
    <w:rsid w:val="00E925AC"/>
    <w:rsid w:val="00E92873"/>
    <w:rsid w:val="00E92A36"/>
    <w:rsid w:val="00E92C6D"/>
    <w:rsid w:val="00E92D4C"/>
    <w:rsid w:val="00E92DFC"/>
    <w:rsid w:val="00E92F81"/>
    <w:rsid w:val="00E9354A"/>
    <w:rsid w:val="00E936F6"/>
    <w:rsid w:val="00E9376F"/>
    <w:rsid w:val="00E93835"/>
    <w:rsid w:val="00E93934"/>
    <w:rsid w:val="00E9393A"/>
    <w:rsid w:val="00E93A9D"/>
    <w:rsid w:val="00E93CB7"/>
    <w:rsid w:val="00E93CBF"/>
    <w:rsid w:val="00E93DE1"/>
    <w:rsid w:val="00E93E27"/>
    <w:rsid w:val="00E93E90"/>
    <w:rsid w:val="00E9472B"/>
    <w:rsid w:val="00E94825"/>
    <w:rsid w:val="00E94D04"/>
    <w:rsid w:val="00E95368"/>
    <w:rsid w:val="00E9574C"/>
    <w:rsid w:val="00E95A1A"/>
    <w:rsid w:val="00E95B68"/>
    <w:rsid w:val="00E95D9C"/>
    <w:rsid w:val="00E9613C"/>
    <w:rsid w:val="00E9633C"/>
    <w:rsid w:val="00E9641C"/>
    <w:rsid w:val="00E9697C"/>
    <w:rsid w:val="00E96A82"/>
    <w:rsid w:val="00E96BF3"/>
    <w:rsid w:val="00E96CCA"/>
    <w:rsid w:val="00E96D26"/>
    <w:rsid w:val="00E96DBD"/>
    <w:rsid w:val="00E9708F"/>
    <w:rsid w:val="00E970DA"/>
    <w:rsid w:val="00E974FA"/>
    <w:rsid w:val="00E97C39"/>
    <w:rsid w:val="00E97CE0"/>
    <w:rsid w:val="00E97F31"/>
    <w:rsid w:val="00EA0004"/>
    <w:rsid w:val="00EA00C2"/>
    <w:rsid w:val="00EA00EE"/>
    <w:rsid w:val="00EA02A1"/>
    <w:rsid w:val="00EA02DC"/>
    <w:rsid w:val="00EA07B4"/>
    <w:rsid w:val="00EA0821"/>
    <w:rsid w:val="00EA0AF2"/>
    <w:rsid w:val="00EA0F59"/>
    <w:rsid w:val="00EA1447"/>
    <w:rsid w:val="00EA1588"/>
    <w:rsid w:val="00EA168D"/>
    <w:rsid w:val="00EA17F1"/>
    <w:rsid w:val="00EA18E8"/>
    <w:rsid w:val="00EA1C52"/>
    <w:rsid w:val="00EA1D64"/>
    <w:rsid w:val="00EA237D"/>
    <w:rsid w:val="00EA23C9"/>
    <w:rsid w:val="00EA24D6"/>
    <w:rsid w:val="00EA28D8"/>
    <w:rsid w:val="00EA2BE4"/>
    <w:rsid w:val="00EA2FF0"/>
    <w:rsid w:val="00EA30A0"/>
    <w:rsid w:val="00EA31F3"/>
    <w:rsid w:val="00EA3225"/>
    <w:rsid w:val="00EA3A61"/>
    <w:rsid w:val="00EA3C17"/>
    <w:rsid w:val="00EA3C63"/>
    <w:rsid w:val="00EA3E09"/>
    <w:rsid w:val="00EA42C9"/>
    <w:rsid w:val="00EA4560"/>
    <w:rsid w:val="00EA4716"/>
    <w:rsid w:val="00EA47A3"/>
    <w:rsid w:val="00EA47F1"/>
    <w:rsid w:val="00EA4802"/>
    <w:rsid w:val="00EA4AF0"/>
    <w:rsid w:val="00EA4E61"/>
    <w:rsid w:val="00EA51B6"/>
    <w:rsid w:val="00EA52C2"/>
    <w:rsid w:val="00EA52CC"/>
    <w:rsid w:val="00EA5697"/>
    <w:rsid w:val="00EA56E2"/>
    <w:rsid w:val="00EA57E6"/>
    <w:rsid w:val="00EA5E00"/>
    <w:rsid w:val="00EA5F08"/>
    <w:rsid w:val="00EA60C7"/>
    <w:rsid w:val="00EA662B"/>
    <w:rsid w:val="00EA6899"/>
    <w:rsid w:val="00EA704F"/>
    <w:rsid w:val="00EA70E2"/>
    <w:rsid w:val="00EA712A"/>
    <w:rsid w:val="00EA7191"/>
    <w:rsid w:val="00EA7341"/>
    <w:rsid w:val="00EA73FC"/>
    <w:rsid w:val="00EA75D2"/>
    <w:rsid w:val="00EA771D"/>
    <w:rsid w:val="00EA7A40"/>
    <w:rsid w:val="00EA7BD2"/>
    <w:rsid w:val="00EB007C"/>
    <w:rsid w:val="00EB0AB7"/>
    <w:rsid w:val="00EB0B13"/>
    <w:rsid w:val="00EB0CD7"/>
    <w:rsid w:val="00EB0FA2"/>
    <w:rsid w:val="00EB1075"/>
    <w:rsid w:val="00EB11D0"/>
    <w:rsid w:val="00EB14B6"/>
    <w:rsid w:val="00EB17AE"/>
    <w:rsid w:val="00EB198B"/>
    <w:rsid w:val="00EB1DCE"/>
    <w:rsid w:val="00EB25D6"/>
    <w:rsid w:val="00EB26FB"/>
    <w:rsid w:val="00EB2768"/>
    <w:rsid w:val="00EB2BAA"/>
    <w:rsid w:val="00EB2C5A"/>
    <w:rsid w:val="00EB2DDD"/>
    <w:rsid w:val="00EB2E91"/>
    <w:rsid w:val="00EB311D"/>
    <w:rsid w:val="00EB3284"/>
    <w:rsid w:val="00EB34EF"/>
    <w:rsid w:val="00EB3613"/>
    <w:rsid w:val="00EB3686"/>
    <w:rsid w:val="00EB3901"/>
    <w:rsid w:val="00EB4019"/>
    <w:rsid w:val="00EB4086"/>
    <w:rsid w:val="00EB4126"/>
    <w:rsid w:val="00EB4276"/>
    <w:rsid w:val="00EB476F"/>
    <w:rsid w:val="00EB48A2"/>
    <w:rsid w:val="00EB48DC"/>
    <w:rsid w:val="00EB4923"/>
    <w:rsid w:val="00EB4ABF"/>
    <w:rsid w:val="00EB4C40"/>
    <w:rsid w:val="00EB4E62"/>
    <w:rsid w:val="00EB532D"/>
    <w:rsid w:val="00EB553C"/>
    <w:rsid w:val="00EB575A"/>
    <w:rsid w:val="00EB5840"/>
    <w:rsid w:val="00EB58A7"/>
    <w:rsid w:val="00EB5A73"/>
    <w:rsid w:val="00EB5AB5"/>
    <w:rsid w:val="00EB5E8E"/>
    <w:rsid w:val="00EB5FBD"/>
    <w:rsid w:val="00EB64DC"/>
    <w:rsid w:val="00EB68DB"/>
    <w:rsid w:val="00EB6C2B"/>
    <w:rsid w:val="00EB6CD1"/>
    <w:rsid w:val="00EB6D4B"/>
    <w:rsid w:val="00EB6DAF"/>
    <w:rsid w:val="00EB6E73"/>
    <w:rsid w:val="00EB6EF7"/>
    <w:rsid w:val="00EB7404"/>
    <w:rsid w:val="00EB742D"/>
    <w:rsid w:val="00EB7AED"/>
    <w:rsid w:val="00EB7BBB"/>
    <w:rsid w:val="00EB7E6A"/>
    <w:rsid w:val="00EB7F18"/>
    <w:rsid w:val="00EB7F6D"/>
    <w:rsid w:val="00EC01DE"/>
    <w:rsid w:val="00EC030D"/>
    <w:rsid w:val="00EC052E"/>
    <w:rsid w:val="00EC0BB1"/>
    <w:rsid w:val="00EC0F26"/>
    <w:rsid w:val="00EC0FE9"/>
    <w:rsid w:val="00EC12AD"/>
    <w:rsid w:val="00EC146C"/>
    <w:rsid w:val="00EC1C4F"/>
    <w:rsid w:val="00EC1E40"/>
    <w:rsid w:val="00EC2178"/>
    <w:rsid w:val="00EC21EF"/>
    <w:rsid w:val="00EC24F0"/>
    <w:rsid w:val="00EC2980"/>
    <w:rsid w:val="00EC29BA"/>
    <w:rsid w:val="00EC2B68"/>
    <w:rsid w:val="00EC2B82"/>
    <w:rsid w:val="00EC2CFB"/>
    <w:rsid w:val="00EC33B0"/>
    <w:rsid w:val="00EC3753"/>
    <w:rsid w:val="00EC39FB"/>
    <w:rsid w:val="00EC3CD0"/>
    <w:rsid w:val="00EC3D4C"/>
    <w:rsid w:val="00EC4DEB"/>
    <w:rsid w:val="00EC52AE"/>
    <w:rsid w:val="00EC5725"/>
    <w:rsid w:val="00EC57D7"/>
    <w:rsid w:val="00EC5897"/>
    <w:rsid w:val="00EC5CE8"/>
    <w:rsid w:val="00EC5D5E"/>
    <w:rsid w:val="00EC5E6E"/>
    <w:rsid w:val="00EC692B"/>
    <w:rsid w:val="00EC6DE7"/>
    <w:rsid w:val="00EC6F4B"/>
    <w:rsid w:val="00EC7108"/>
    <w:rsid w:val="00EC764F"/>
    <w:rsid w:val="00EC7717"/>
    <w:rsid w:val="00EC771B"/>
    <w:rsid w:val="00EC7C27"/>
    <w:rsid w:val="00EC7DB1"/>
    <w:rsid w:val="00EC7EAC"/>
    <w:rsid w:val="00EC7FED"/>
    <w:rsid w:val="00ED022F"/>
    <w:rsid w:val="00ED06E8"/>
    <w:rsid w:val="00ED07A8"/>
    <w:rsid w:val="00ED0A99"/>
    <w:rsid w:val="00ED0B7E"/>
    <w:rsid w:val="00ED0B9C"/>
    <w:rsid w:val="00ED0BF7"/>
    <w:rsid w:val="00ED11B3"/>
    <w:rsid w:val="00ED1290"/>
    <w:rsid w:val="00ED136C"/>
    <w:rsid w:val="00ED1767"/>
    <w:rsid w:val="00ED1D78"/>
    <w:rsid w:val="00ED1D7B"/>
    <w:rsid w:val="00ED1FF8"/>
    <w:rsid w:val="00ED22DF"/>
    <w:rsid w:val="00ED23AE"/>
    <w:rsid w:val="00ED2473"/>
    <w:rsid w:val="00ED2B10"/>
    <w:rsid w:val="00ED2CAD"/>
    <w:rsid w:val="00ED2D64"/>
    <w:rsid w:val="00ED304B"/>
    <w:rsid w:val="00ED340E"/>
    <w:rsid w:val="00ED34CD"/>
    <w:rsid w:val="00ED3B91"/>
    <w:rsid w:val="00ED3E6A"/>
    <w:rsid w:val="00ED41A8"/>
    <w:rsid w:val="00ED423F"/>
    <w:rsid w:val="00ED457A"/>
    <w:rsid w:val="00ED4603"/>
    <w:rsid w:val="00ED4B19"/>
    <w:rsid w:val="00ED5324"/>
    <w:rsid w:val="00ED54D1"/>
    <w:rsid w:val="00ED556E"/>
    <w:rsid w:val="00ED5679"/>
    <w:rsid w:val="00ED5839"/>
    <w:rsid w:val="00ED5987"/>
    <w:rsid w:val="00ED5B62"/>
    <w:rsid w:val="00ED5FA7"/>
    <w:rsid w:val="00ED61FA"/>
    <w:rsid w:val="00ED6643"/>
    <w:rsid w:val="00ED68F9"/>
    <w:rsid w:val="00ED692A"/>
    <w:rsid w:val="00ED694F"/>
    <w:rsid w:val="00ED6A08"/>
    <w:rsid w:val="00ED6A59"/>
    <w:rsid w:val="00ED6B58"/>
    <w:rsid w:val="00ED6CD0"/>
    <w:rsid w:val="00ED710C"/>
    <w:rsid w:val="00ED79D1"/>
    <w:rsid w:val="00ED7A59"/>
    <w:rsid w:val="00ED7EE2"/>
    <w:rsid w:val="00EE016B"/>
    <w:rsid w:val="00EE08DA"/>
    <w:rsid w:val="00EE0D63"/>
    <w:rsid w:val="00EE11D6"/>
    <w:rsid w:val="00EE128A"/>
    <w:rsid w:val="00EE1314"/>
    <w:rsid w:val="00EE13D9"/>
    <w:rsid w:val="00EE14F8"/>
    <w:rsid w:val="00EE1CFD"/>
    <w:rsid w:val="00EE1D85"/>
    <w:rsid w:val="00EE1DF0"/>
    <w:rsid w:val="00EE1E54"/>
    <w:rsid w:val="00EE2278"/>
    <w:rsid w:val="00EE2EA4"/>
    <w:rsid w:val="00EE32A7"/>
    <w:rsid w:val="00EE370A"/>
    <w:rsid w:val="00EE3779"/>
    <w:rsid w:val="00EE38B2"/>
    <w:rsid w:val="00EE39CB"/>
    <w:rsid w:val="00EE3AC5"/>
    <w:rsid w:val="00EE3CA9"/>
    <w:rsid w:val="00EE3CFC"/>
    <w:rsid w:val="00EE3D54"/>
    <w:rsid w:val="00EE3D7F"/>
    <w:rsid w:val="00EE3DE1"/>
    <w:rsid w:val="00EE480B"/>
    <w:rsid w:val="00EE48E6"/>
    <w:rsid w:val="00EE4ACE"/>
    <w:rsid w:val="00EE4AFA"/>
    <w:rsid w:val="00EE4BC9"/>
    <w:rsid w:val="00EE4C97"/>
    <w:rsid w:val="00EE4D5A"/>
    <w:rsid w:val="00EE5370"/>
    <w:rsid w:val="00EE54FB"/>
    <w:rsid w:val="00EE5553"/>
    <w:rsid w:val="00EE5728"/>
    <w:rsid w:val="00EE589E"/>
    <w:rsid w:val="00EE58E7"/>
    <w:rsid w:val="00EE5935"/>
    <w:rsid w:val="00EE5C2B"/>
    <w:rsid w:val="00EE6018"/>
    <w:rsid w:val="00EE6341"/>
    <w:rsid w:val="00EE67C0"/>
    <w:rsid w:val="00EE67D5"/>
    <w:rsid w:val="00EE68AE"/>
    <w:rsid w:val="00EE69F0"/>
    <w:rsid w:val="00EE6BF3"/>
    <w:rsid w:val="00EE6C36"/>
    <w:rsid w:val="00EE6C7E"/>
    <w:rsid w:val="00EE6EBB"/>
    <w:rsid w:val="00EE6EBE"/>
    <w:rsid w:val="00EE6ED2"/>
    <w:rsid w:val="00EE746E"/>
    <w:rsid w:val="00EE74B2"/>
    <w:rsid w:val="00EE75A8"/>
    <w:rsid w:val="00EE76EB"/>
    <w:rsid w:val="00EE77C1"/>
    <w:rsid w:val="00EE78FD"/>
    <w:rsid w:val="00EE7C15"/>
    <w:rsid w:val="00EE7E97"/>
    <w:rsid w:val="00EF014F"/>
    <w:rsid w:val="00EF050A"/>
    <w:rsid w:val="00EF0763"/>
    <w:rsid w:val="00EF096A"/>
    <w:rsid w:val="00EF0E90"/>
    <w:rsid w:val="00EF1016"/>
    <w:rsid w:val="00EF1684"/>
    <w:rsid w:val="00EF1AC7"/>
    <w:rsid w:val="00EF1B0C"/>
    <w:rsid w:val="00EF1FAA"/>
    <w:rsid w:val="00EF2136"/>
    <w:rsid w:val="00EF218F"/>
    <w:rsid w:val="00EF251E"/>
    <w:rsid w:val="00EF2EB9"/>
    <w:rsid w:val="00EF31E6"/>
    <w:rsid w:val="00EF3313"/>
    <w:rsid w:val="00EF3748"/>
    <w:rsid w:val="00EF3F99"/>
    <w:rsid w:val="00EF414A"/>
    <w:rsid w:val="00EF4211"/>
    <w:rsid w:val="00EF4228"/>
    <w:rsid w:val="00EF49CE"/>
    <w:rsid w:val="00EF4CEF"/>
    <w:rsid w:val="00EF4F01"/>
    <w:rsid w:val="00EF4F39"/>
    <w:rsid w:val="00EF4FCC"/>
    <w:rsid w:val="00EF51B9"/>
    <w:rsid w:val="00EF59D1"/>
    <w:rsid w:val="00EF5C52"/>
    <w:rsid w:val="00EF5F0B"/>
    <w:rsid w:val="00EF63F9"/>
    <w:rsid w:val="00EF64AA"/>
    <w:rsid w:val="00EF6FC2"/>
    <w:rsid w:val="00EF6FF0"/>
    <w:rsid w:val="00EF72C8"/>
    <w:rsid w:val="00EF771A"/>
    <w:rsid w:val="00EF7748"/>
    <w:rsid w:val="00EF7958"/>
    <w:rsid w:val="00EF79DC"/>
    <w:rsid w:val="00EF7BC6"/>
    <w:rsid w:val="00F000BE"/>
    <w:rsid w:val="00F002AD"/>
    <w:rsid w:val="00F00515"/>
    <w:rsid w:val="00F006F1"/>
    <w:rsid w:val="00F00A49"/>
    <w:rsid w:val="00F00B57"/>
    <w:rsid w:val="00F00CCE"/>
    <w:rsid w:val="00F00DAE"/>
    <w:rsid w:val="00F01758"/>
    <w:rsid w:val="00F01ADE"/>
    <w:rsid w:val="00F01CEA"/>
    <w:rsid w:val="00F02125"/>
    <w:rsid w:val="00F02183"/>
    <w:rsid w:val="00F02215"/>
    <w:rsid w:val="00F022FB"/>
    <w:rsid w:val="00F028D8"/>
    <w:rsid w:val="00F02B7F"/>
    <w:rsid w:val="00F02E14"/>
    <w:rsid w:val="00F03218"/>
    <w:rsid w:val="00F0359A"/>
    <w:rsid w:val="00F035A1"/>
    <w:rsid w:val="00F03A17"/>
    <w:rsid w:val="00F03F27"/>
    <w:rsid w:val="00F0446D"/>
    <w:rsid w:val="00F04535"/>
    <w:rsid w:val="00F045DD"/>
    <w:rsid w:val="00F046CC"/>
    <w:rsid w:val="00F049FC"/>
    <w:rsid w:val="00F0543F"/>
    <w:rsid w:val="00F05482"/>
    <w:rsid w:val="00F054C9"/>
    <w:rsid w:val="00F058BA"/>
    <w:rsid w:val="00F05959"/>
    <w:rsid w:val="00F059C7"/>
    <w:rsid w:val="00F05DAC"/>
    <w:rsid w:val="00F060E3"/>
    <w:rsid w:val="00F06129"/>
    <w:rsid w:val="00F0617E"/>
    <w:rsid w:val="00F062F8"/>
    <w:rsid w:val="00F06365"/>
    <w:rsid w:val="00F0638A"/>
    <w:rsid w:val="00F0658A"/>
    <w:rsid w:val="00F065B9"/>
    <w:rsid w:val="00F06FAD"/>
    <w:rsid w:val="00F074DE"/>
    <w:rsid w:val="00F079C2"/>
    <w:rsid w:val="00F07AB7"/>
    <w:rsid w:val="00F07EB9"/>
    <w:rsid w:val="00F10029"/>
    <w:rsid w:val="00F100A7"/>
    <w:rsid w:val="00F10210"/>
    <w:rsid w:val="00F1029B"/>
    <w:rsid w:val="00F104D9"/>
    <w:rsid w:val="00F106AC"/>
    <w:rsid w:val="00F10D76"/>
    <w:rsid w:val="00F10EB6"/>
    <w:rsid w:val="00F10ED5"/>
    <w:rsid w:val="00F10F04"/>
    <w:rsid w:val="00F10F23"/>
    <w:rsid w:val="00F1123D"/>
    <w:rsid w:val="00F1142D"/>
    <w:rsid w:val="00F11D4D"/>
    <w:rsid w:val="00F11E1B"/>
    <w:rsid w:val="00F11E3C"/>
    <w:rsid w:val="00F11E6B"/>
    <w:rsid w:val="00F122E0"/>
    <w:rsid w:val="00F123DA"/>
    <w:rsid w:val="00F12663"/>
    <w:rsid w:val="00F12BE8"/>
    <w:rsid w:val="00F130D8"/>
    <w:rsid w:val="00F131DB"/>
    <w:rsid w:val="00F131DC"/>
    <w:rsid w:val="00F131FB"/>
    <w:rsid w:val="00F1328F"/>
    <w:rsid w:val="00F13D53"/>
    <w:rsid w:val="00F13DEF"/>
    <w:rsid w:val="00F13F66"/>
    <w:rsid w:val="00F14002"/>
    <w:rsid w:val="00F14173"/>
    <w:rsid w:val="00F1428C"/>
    <w:rsid w:val="00F143D6"/>
    <w:rsid w:val="00F14492"/>
    <w:rsid w:val="00F144AE"/>
    <w:rsid w:val="00F145AB"/>
    <w:rsid w:val="00F14A8E"/>
    <w:rsid w:val="00F14B74"/>
    <w:rsid w:val="00F14BEF"/>
    <w:rsid w:val="00F14D97"/>
    <w:rsid w:val="00F14F19"/>
    <w:rsid w:val="00F15333"/>
    <w:rsid w:val="00F1538C"/>
    <w:rsid w:val="00F157B7"/>
    <w:rsid w:val="00F15F2A"/>
    <w:rsid w:val="00F16134"/>
    <w:rsid w:val="00F16144"/>
    <w:rsid w:val="00F16215"/>
    <w:rsid w:val="00F162F1"/>
    <w:rsid w:val="00F16B73"/>
    <w:rsid w:val="00F16D9B"/>
    <w:rsid w:val="00F179FE"/>
    <w:rsid w:val="00F17A91"/>
    <w:rsid w:val="00F17B8A"/>
    <w:rsid w:val="00F2008C"/>
    <w:rsid w:val="00F20113"/>
    <w:rsid w:val="00F2015D"/>
    <w:rsid w:val="00F20323"/>
    <w:rsid w:val="00F207C3"/>
    <w:rsid w:val="00F20E36"/>
    <w:rsid w:val="00F213C5"/>
    <w:rsid w:val="00F214DD"/>
    <w:rsid w:val="00F21824"/>
    <w:rsid w:val="00F21A35"/>
    <w:rsid w:val="00F21A67"/>
    <w:rsid w:val="00F21F3F"/>
    <w:rsid w:val="00F21FE4"/>
    <w:rsid w:val="00F2204B"/>
    <w:rsid w:val="00F220BE"/>
    <w:rsid w:val="00F225FB"/>
    <w:rsid w:val="00F22725"/>
    <w:rsid w:val="00F22821"/>
    <w:rsid w:val="00F2293E"/>
    <w:rsid w:val="00F22B0F"/>
    <w:rsid w:val="00F22B7E"/>
    <w:rsid w:val="00F22C01"/>
    <w:rsid w:val="00F22E06"/>
    <w:rsid w:val="00F238C3"/>
    <w:rsid w:val="00F239B2"/>
    <w:rsid w:val="00F23A84"/>
    <w:rsid w:val="00F23F65"/>
    <w:rsid w:val="00F24246"/>
    <w:rsid w:val="00F24595"/>
    <w:rsid w:val="00F24752"/>
    <w:rsid w:val="00F2482F"/>
    <w:rsid w:val="00F249F9"/>
    <w:rsid w:val="00F24AEF"/>
    <w:rsid w:val="00F24C36"/>
    <w:rsid w:val="00F25151"/>
    <w:rsid w:val="00F251EE"/>
    <w:rsid w:val="00F25294"/>
    <w:rsid w:val="00F2535E"/>
    <w:rsid w:val="00F253D9"/>
    <w:rsid w:val="00F26035"/>
    <w:rsid w:val="00F26071"/>
    <w:rsid w:val="00F260CA"/>
    <w:rsid w:val="00F260F2"/>
    <w:rsid w:val="00F26190"/>
    <w:rsid w:val="00F269C8"/>
    <w:rsid w:val="00F26F85"/>
    <w:rsid w:val="00F27081"/>
    <w:rsid w:val="00F271BF"/>
    <w:rsid w:val="00F274F6"/>
    <w:rsid w:val="00F27664"/>
    <w:rsid w:val="00F27748"/>
    <w:rsid w:val="00F277AF"/>
    <w:rsid w:val="00F279CE"/>
    <w:rsid w:val="00F27B4F"/>
    <w:rsid w:val="00F27FC5"/>
    <w:rsid w:val="00F30401"/>
    <w:rsid w:val="00F30786"/>
    <w:rsid w:val="00F30E29"/>
    <w:rsid w:val="00F31136"/>
    <w:rsid w:val="00F31591"/>
    <w:rsid w:val="00F31A1C"/>
    <w:rsid w:val="00F31A2A"/>
    <w:rsid w:val="00F31E93"/>
    <w:rsid w:val="00F322D2"/>
    <w:rsid w:val="00F32319"/>
    <w:rsid w:val="00F324D1"/>
    <w:rsid w:val="00F3298C"/>
    <w:rsid w:val="00F32B7F"/>
    <w:rsid w:val="00F32D29"/>
    <w:rsid w:val="00F32D48"/>
    <w:rsid w:val="00F33424"/>
    <w:rsid w:val="00F33874"/>
    <w:rsid w:val="00F33899"/>
    <w:rsid w:val="00F339EE"/>
    <w:rsid w:val="00F33A19"/>
    <w:rsid w:val="00F33B13"/>
    <w:rsid w:val="00F345EB"/>
    <w:rsid w:val="00F349A4"/>
    <w:rsid w:val="00F349A5"/>
    <w:rsid w:val="00F349D4"/>
    <w:rsid w:val="00F34A25"/>
    <w:rsid w:val="00F34AB8"/>
    <w:rsid w:val="00F34B9C"/>
    <w:rsid w:val="00F34D73"/>
    <w:rsid w:val="00F35215"/>
    <w:rsid w:val="00F3575B"/>
    <w:rsid w:val="00F359D4"/>
    <w:rsid w:val="00F35B91"/>
    <w:rsid w:val="00F36065"/>
    <w:rsid w:val="00F36068"/>
    <w:rsid w:val="00F36091"/>
    <w:rsid w:val="00F361E9"/>
    <w:rsid w:val="00F36474"/>
    <w:rsid w:val="00F366A7"/>
    <w:rsid w:val="00F36838"/>
    <w:rsid w:val="00F36B1D"/>
    <w:rsid w:val="00F36D8E"/>
    <w:rsid w:val="00F37165"/>
    <w:rsid w:val="00F371ED"/>
    <w:rsid w:val="00F373CC"/>
    <w:rsid w:val="00F3778E"/>
    <w:rsid w:val="00F37954"/>
    <w:rsid w:val="00F37A39"/>
    <w:rsid w:val="00F37A5E"/>
    <w:rsid w:val="00F37C27"/>
    <w:rsid w:val="00F37CF7"/>
    <w:rsid w:val="00F37F1A"/>
    <w:rsid w:val="00F400B5"/>
    <w:rsid w:val="00F4030C"/>
    <w:rsid w:val="00F4039C"/>
    <w:rsid w:val="00F40460"/>
    <w:rsid w:val="00F404BF"/>
    <w:rsid w:val="00F404CC"/>
    <w:rsid w:val="00F404DB"/>
    <w:rsid w:val="00F40585"/>
    <w:rsid w:val="00F4073D"/>
    <w:rsid w:val="00F40784"/>
    <w:rsid w:val="00F40927"/>
    <w:rsid w:val="00F40D72"/>
    <w:rsid w:val="00F411DD"/>
    <w:rsid w:val="00F411E4"/>
    <w:rsid w:val="00F4154F"/>
    <w:rsid w:val="00F416B3"/>
    <w:rsid w:val="00F416C1"/>
    <w:rsid w:val="00F419CE"/>
    <w:rsid w:val="00F41E25"/>
    <w:rsid w:val="00F42302"/>
    <w:rsid w:val="00F424E5"/>
    <w:rsid w:val="00F426B5"/>
    <w:rsid w:val="00F427C7"/>
    <w:rsid w:val="00F427CA"/>
    <w:rsid w:val="00F42822"/>
    <w:rsid w:val="00F428FE"/>
    <w:rsid w:val="00F42B89"/>
    <w:rsid w:val="00F42CC1"/>
    <w:rsid w:val="00F42E62"/>
    <w:rsid w:val="00F42F82"/>
    <w:rsid w:val="00F430BE"/>
    <w:rsid w:val="00F430F8"/>
    <w:rsid w:val="00F43343"/>
    <w:rsid w:val="00F434C0"/>
    <w:rsid w:val="00F434D5"/>
    <w:rsid w:val="00F434DF"/>
    <w:rsid w:val="00F435A3"/>
    <w:rsid w:val="00F436EE"/>
    <w:rsid w:val="00F4399B"/>
    <w:rsid w:val="00F439CF"/>
    <w:rsid w:val="00F43CBA"/>
    <w:rsid w:val="00F43D93"/>
    <w:rsid w:val="00F4418B"/>
    <w:rsid w:val="00F4490E"/>
    <w:rsid w:val="00F449B6"/>
    <w:rsid w:val="00F44A2A"/>
    <w:rsid w:val="00F44A45"/>
    <w:rsid w:val="00F452C5"/>
    <w:rsid w:val="00F45452"/>
    <w:rsid w:val="00F45522"/>
    <w:rsid w:val="00F4579C"/>
    <w:rsid w:val="00F45C0F"/>
    <w:rsid w:val="00F45F10"/>
    <w:rsid w:val="00F461FD"/>
    <w:rsid w:val="00F463AA"/>
    <w:rsid w:val="00F46487"/>
    <w:rsid w:val="00F466F3"/>
    <w:rsid w:val="00F46773"/>
    <w:rsid w:val="00F46BBD"/>
    <w:rsid w:val="00F4709C"/>
    <w:rsid w:val="00F473C3"/>
    <w:rsid w:val="00F47612"/>
    <w:rsid w:val="00F47766"/>
    <w:rsid w:val="00F477B9"/>
    <w:rsid w:val="00F47847"/>
    <w:rsid w:val="00F47F28"/>
    <w:rsid w:val="00F504C5"/>
    <w:rsid w:val="00F50788"/>
    <w:rsid w:val="00F507A2"/>
    <w:rsid w:val="00F510A4"/>
    <w:rsid w:val="00F5131C"/>
    <w:rsid w:val="00F514B8"/>
    <w:rsid w:val="00F51616"/>
    <w:rsid w:val="00F51932"/>
    <w:rsid w:val="00F51974"/>
    <w:rsid w:val="00F51B72"/>
    <w:rsid w:val="00F51BFC"/>
    <w:rsid w:val="00F5211D"/>
    <w:rsid w:val="00F52298"/>
    <w:rsid w:val="00F522E9"/>
    <w:rsid w:val="00F52677"/>
    <w:rsid w:val="00F526E3"/>
    <w:rsid w:val="00F52A76"/>
    <w:rsid w:val="00F52F75"/>
    <w:rsid w:val="00F52FD5"/>
    <w:rsid w:val="00F53038"/>
    <w:rsid w:val="00F532FA"/>
    <w:rsid w:val="00F5352A"/>
    <w:rsid w:val="00F536B8"/>
    <w:rsid w:val="00F536D7"/>
    <w:rsid w:val="00F538D0"/>
    <w:rsid w:val="00F53AF6"/>
    <w:rsid w:val="00F53B83"/>
    <w:rsid w:val="00F53E8B"/>
    <w:rsid w:val="00F53FA8"/>
    <w:rsid w:val="00F54036"/>
    <w:rsid w:val="00F541ED"/>
    <w:rsid w:val="00F54330"/>
    <w:rsid w:val="00F546DF"/>
    <w:rsid w:val="00F54991"/>
    <w:rsid w:val="00F54AAF"/>
    <w:rsid w:val="00F54AD2"/>
    <w:rsid w:val="00F54B0E"/>
    <w:rsid w:val="00F54C2D"/>
    <w:rsid w:val="00F54C38"/>
    <w:rsid w:val="00F54CF3"/>
    <w:rsid w:val="00F54F03"/>
    <w:rsid w:val="00F5513A"/>
    <w:rsid w:val="00F5534D"/>
    <w:rsid w:val="00F55523"/>
    <w:rsid w:val="00F55958"/>
    <w:rsid w:val="00F55B0A"/>
    <w:rsid w:val="00F55CBB"/>
    <w:rsid w:val="00F55F88"/>
    <w:rsid w:val="00F56873"/>
    <w:rsid w:val="00F5687F"/>
    <w:rsid w:val="00F569BD"/>
    <w:rsid w:val="00F56C0B"/>
    <w:rsid w:val="00F56F0F"/>
    <w:rsid w:val="00F572D6"/>
    <w:rsid w:val="00F576CA"/>
    <w:rsid w:val="00F5797A"/>
    <w:rsid w:val="00F57D2D"/>
    <w:rsid w:val="00F606CF"/>
    <w:rsid w:val="00F608A0"/>
    <w:rsid w:val="00F608A3"/>
    <w:rsid w:val="00F60A6D"/>
    <w:rsid w:val="00F60CC6"/>
    <w:rsid w:val="00F60CE8"/>
    <w:rsid w:val="00F60D33"/>
    <w:rsid w:val="00F61301"/>
    <w:rsid w:val="00F6140E"/>
    <w:rsid w:val="00F615F6"/>
    <w:rsid w:val="00F61B56"/>
    <w:rsid w:val="00F61BB3"/>
    <w:rsid w:val="00F61CE8"/>
    <w:rsid w:val="00F61DC6"/>
    <w:rsid w:val="00F61DFB"/>
    <w:rsid w:val="00F61EC7"/>
    <w:rsid w:val="00F61EF4"/>
    <w:rsid w:val="00F62E2C"/>
    <w:rsid w:val="00F631D9"/>
    <w:rsid w:val="00F63615"/>
    <w:rsid w:val="00F63844"/>
    <w:rsid w:val="00F63925"/>
    <w:rsid w:val="00F6399D"/>
    <w:rsid w:val="00F63B8A"/>
    <w:rsid w:val="00F64057"/>
    <w:rsid w:val="00F64099"/>
    <w:rsid w:val="00F640A8"/>
    <w:rsid w:val="00F64341"/>
    <w:rsid w:val="00F6467A"/>
    <w:rsid w:val="00F646CF"/>
    <w:rsid w:val="00F6471F"/>
    <w:rsid w:val="00F648A2"/>
    <w:rsid w:val="00F64B6A"/>
    <w:rsid w:val="00F64BE2"/>
    <w:rsid w:val="00F65211"/>
    <w:rsid w:val="00F65878"/>
    <w:rsid w:val="00F65DB6"/>
    <w:rsid w:val="00F6648C"/>
    <w:rsid w:val="00F666F0"/>
    <w:rsid w:val="00F66910"/>
    <w:rsid w:val="00F66C0B"/>
    <w:rsid w:val="00F66CD0"/>
    <w:rsid w:val="00F66E38"/>
    <w:rsid w:val="00F66EB5"/>
    <w:rsid w:val="00F67297"/>
    <w:rsid w:val="00F672A6"/>
    <w:rsid w:val="00F672EF"/>
    <w:rsid w:val="00F67574"/>
    <w:rsid w:val="00F677DF"/>
    <w:rsid w:val="00F6797B"/>
    <w:rsid w:val="00F67B36"/>
    <w:rsid w:val="00F67CFC"/>
    <w:rsid w:val="00F67D24"/>
    <w:rsid w:val="00F67DF0"/>
    <w:rsid w:val="00F700BF"/>
    <w:rsid w:val="00F7010B"/>
    <w:rsid w:val="00F7024E"/>
    <w:rsid w:val="00F705FD"/>
    <w:rsid w:val="00F706EC"/>
    <w:rsid w:val="00F70B3E"/>
    <w:rsid w:val="00F70D06"/>
    <w:rsid w:val="00F70DBF"/>
    <w:rsid w:val="00F71181"/>
    <w:rsid w:val="00F71248"/>
    <w:rsid w:val="00F71994"/>
    <w:rsid w:val="00F71AC9"/>
    <w:rsid w:val="00F71F84"/>
    <w:rsid w:val="00F72004"/>
    <w:rsid w:val="00F7209E"/>
    <w:rsid w:val="00F7213E"/>
    <w:rsid w:val="00F725DE"/>
    <w:rsid w:val="00F7268B"/>
    <w:rsid w:val="00F726A9"/>
    <w:rsid w:val="00F729F6"/>
    <w:rsid w:val="00F72DBD"/>
    <w:rsid w:val="00F72F5C"/>
    <w:rsid w:val="00F73177"/>
    <w:rsid w:val="00F734F5"/>
    <w:rsid w:val="00F73570"/>
    <w:rsid w:val="00F735F9"/>
    <w:rsid w:val="00F739A1"/>
    <w:rsid w:val="00F73A1B"/>
    <w:rsid w:val="00F73A8F"/>
    <w:rsid w:val="00F73D0B"/>
    <w:rsid w:val="00F73E90"/>
    <w:rsid w:val="00F74009"/>
    <w:rsid w:val="00F7407F"/>
    <w:rsid w:val="00F74841"/>
    <w:rsid w:val="00F748D5"/>
    <w:rsid w:val="00F74BD2"/>
    <w:rsid w:val="00F74CC3"/>
    <w:rsid w:val="00F75050"/>
    <w:rsid w:val="00F75105"/>
    <w:rsid w:val="00F75147"/>
    <w:rsid w:val="00F75472"/>
    <w:rsid w:val="00F75536"/>
    <w:rsid w:val="00F75625"/>
    <w:rsid w:val="00F757CD"/>
    <w:rsid w:val="00F75BF2"/>
    <w:rsid w:val="00F75EC2"/>
    <w:rsid w:val="00F75FB6"/>
    <w:rsid w:val="00F76097"/>
    <w:rsid w:val="00F76188"/>
    <w:rsid w:val="00F7646B"/>
    <w:rsid w:val="00F7652D"/>
    <w:rsid w:val="00F76771"/>
    <w:rsid w:val="00F76A78"/>
    <w:rsid w:val="00F7702C"/>
    <w:rsid w:val="00F77075"/>
    <w:rsid w:val="00F7752A"/>
    <w:rsid w:val="00F77557"/>
    <w:rsid w:val="00F77675"/>
    <w:rsid w:val="00F778C5"/>
    <w:rsid w:val="00F77B44"/>
    <w:rsid w:val="00F77C92"/>
    <w:rsid w:val="00F77E2F"/>
    <w:rsid w:val="00F77F5B"/>
    <w:rsid w:val="00F80483"/>
    <w:rsid w:val="00F8089C"/>
    <w:rsid w:val="00F80C4D"/>
    <w:rsid w:val="00F81408"/>
    <w:rsid w:val="00F81644"/>
    <w:rsid w:val="00F816F9"/>
    <w:rsid w:val="00F817AF"/>
    <w:rsid w:val="00F828A2"/>
    <w:rsid w:val="00F82AA5"/>
    <w:rsid w:val="00F82E6A"/>
    <w:rsid w:val="00F82F25"/>
    <w:rsid w:val="00F82F28"/>
    <w:rsid w:val="00F82F6F"/>
    <w:rsid w:val="00F831C1"/>
    <w:rsid w:val="00F83800"/>
    <w:rsid w:val="00F838A9"/>
    <w:rsid w:val="00F83935"/>
    <w:rsid w:val="00F83A71"/>
    <w:rsid w:val="00F83BAF"/>
    <w:rsid w:val="00F83F23"/>
    <w:rsid w:val="00F84978"/>
    <w:rsid w:val="00F84A33"/>
    <w:rsid w:val="00F85218"/>
    <w:rsid w:val="00F852B8"/>
    <w:rsid w:val="00F854C1"/>
    <w:rsid w:val="00F856F4"/>
    <w:rsid w:val="00F85CF9"/>
    <w:rsid w:val="00F85D06"/>
    <w:rsid w:val="00F86272"/>
    <w:rsid w:val="00F8628F"/>
    <w:rsid w:val="00F86AE8"/>
    <w:rsid w:val="00F86FA2"/>
    <w:rsid w:val="00F871F6"/>
    <w:rsid w:val="00F872F9"/>
    <w:rsid w:val="00F87305"/>
    <w:rsid w:val="00F8750E"/>
    <w:rsid w:val="00F87546"/>
    <w:rsid w:val="00F87B0B"/>
    <w:rsid w:val="00F90090"/>
    <w:rsid w:val="00F905E4"/>
    <w:rsid w:val="00F90BB1"/>
    <w:rsid w:val="00F9103C"/>
    <w:rsid w:val="00F915B5"/>
    <w:rsid w:val="00F9182A"/>
    <w:rsid w:val="00F91852"/>
    <w:rsid w:val="00F919F1"/>
    <w:rsid w:val="00F91B19"/>
    <w:rsid w:val="00F91D39"/>
    <w:rsid w:val="00F92253"/>
    <w:rsid w:val="00F92857"/>
    <w:rsid w:val="00F928A4"/>
    <w:rsid w:val="00F929ED"/>
    <w:rsid w:val="00F92B7F"/>
    <w:rsid w:val="00F93590"/>
    <w:rsid w:val="00F9376B"/>
    <w:rsid w:val="00F93B90"/>
    <w:rsid w:val="00F93F2C"/>
    <w:rsid w:val="00F9421C"/>
    <w:rsid w:val="00F942CA"/>
    <w:rsid w:val="00F942F2"/>
    <w:rsid w:val="00F94554"/>
    <w:rsid w:val="00F94637"/>
    <w:rsid w:val="00F9484F"/>
    <w:rsid w:val="00F9490E"/>
    <w:rsid w:val="00F94EAD"/>
    <w:rsid w:val="00F9542F"/>
    <w:rsid w:val="00F95C39"/>
    <w:rsid w:val="00F95D5D"/>
    <w:rsid w:val="00F95FDE"/>
    <w:rsid w:val="00F963FF"/>
    <w:rsid w:val="00F967E7"/>
    <w:rsid w:val="00F96820"/>
    <w:rsid w:val="00F968C5"/>
    <w:rsid w:val="00F9694E"/>
    <w:rsid w:val="00F96AEF"/>
    <w:rsid w:val="00F96CBF"/>
    <w:rsid w:val="00F96E28"/>
    <w:rsid w:val="00F96E3E"/>
    <w:rsid w:val="00F97178"/>
    <w:rsid w:val="00F97361"/>
    <w:rsid w:val="00F973FC"/>
    <w:rsid w:val="00F9759A"/>
    <w:rsid w:val="00F977C1"/>
    <w:rsid w:val="00F977FC"/>
    <w:rsid w:val="00F97B32"/>
    <w:rsid w:val="00F97C54"/>
    <w:rsid w:val="00F97CF2"/>
    <w:rsid w:val="00F97FF8"/>
    <w:rsid w:val="00FA0270"/>
    <w:rsid w:val="00FA03F2"/>
    <w:rsid w:val="00FA06C3"/>
    <w:rsid w:val="00FA094E"/>
    <w:rsid w:val="00FA0A35"/>
    <w:rsid w:val="00FA0B47"/>
    <w:rsid w:val="00FA0BB6"/>
    <w:rsid w:val="00FA0C27"/>
    <w:rsid w:val="00FA0C7E"/>
    <w:rsid w:val="00FA0EA2"/>
    <w:rsid w:val="00FA0EED"/>
    <w:rsid w:val="00FA1489"/>
    <w:rsid w:val="00FA1823"/>
    <w:rsid w:val="00FA1982"/>
    <w:rsid w:val="00FA1ED5"/>
    <w:rsid w:val="00FA1F63"/>
    <w:rsid w:val="00FA2303"/>
    <w:rsid w:val="00FA2421"/>
    <w:rsid w:val="00FA25A8"/>
    <w:rsid w:val="00FA270C"/>
    <w:rsid w:val="00FA2BB9"/>
    <w:rsid w:val="00FA2CE6"/>
    <w:rsid w:val="00FA2CF3"/>
    <w:rsid w:val="00FA2E04"/>
    <w:rsid w:val="00FA3004"/>
    <w:rsid w:val="00FA3AA6"/>
    <w:rsid w:val="00FA3C26"/>
    <w:rsid w:val="00FA3DF2"/>
    <w:rsid w:val="00FA3EA4"/>
    <w:rsid w:val="00FA41B8"/>
    <w:rsid w:val="00FA4570"/>
    <w:rsid w:val="00FA46FB"/>
    <w:rsid w:val="00FA4726"/>
    <w:rsid w:val="00FA49CF"/>
    <w:rsid w:val="00FA50A4"/>
    <w:rsid w:val="00FA52A8"/>
    <w:rsid w:val="00FA52E6"/>
    <w:rsid w:val="00FA53D7"/>
    <w:rsid w:val="00FA54D6"/>
    <w:rsid w:val="00FA5966"/>
    <w:rsid w:val="00FA5A15"/>
    <w:rsid w:val="00FA5AC6"/>
    <w:rsid w:val="00FA5E80"/>
    <w:rsid w:val="00FA5FB9"/>
    <w:rsid w:val="00FA622F"/>
    <w:rsid w:val="00FA66D4"/>
    <w:rsid w:val="00FA710A"/>
    <w:rsid w:val="00FA7270"/>
    <w:rsid w:val="00FA72C3"/>
    <w:rsid w:val="00FA74C3"/>
    <w:rsid w:val="00FA780F"/>
    <w:rsid w:val="00FA78DB"/>
    <w:rsid w:val="00FA799C"/>
    <w:rsid w:val="00FA79F3"/>
    <w:rsid w:val="00FA7C85"/>
    <w:rsid w:val="00FA7CB4"/>
    <w:rsid w:val="00FA7DCE"/>
    <w:rsid w:val="00FA7DF7"/>
    <w:rsid w:val="00FA7FFC"/>
    <w:rsid w:val="00FB0248"/>
    <w:rsid w:val="00FB0594"/>
    <w:rsid w:val="00FB0885"/>
    <w:rsid w:val="00FB0A6B"/>
    <w:rsid w:val="00FB0FAC"/>
    <w:rsid w:val="00FB1331"/>
    <w:rsid w:val="00FB17BD"/>
    <w:rsid w:val="00FB19E4"/>
    <w:rsid w:val="00FB1B43"/>
    <w:rsid w:val="00FB1E72"/>
    <w:rsid w:val="00FB2133"/>
    <w:rsid w:val="00FB2223"/>
    <w:rsid w:val="00FB27DA"/>
    <w:rsid w:val="00FB2CF8"/>
    <w:rsid w:val="00FB2DF7"/>
    <w:rsid w:val="00FB3274"/>
    <w:rsid w:val="00FB3555"/>
    <w:rsid w:val="00FB35AC"/>
    <w:rsid w:val="00FB36C9"/>
    <w:rsid w:val="00FB37E4"/>
    <w:rsid w:val="00FB38DB"/>
    <w:rsid w:val="00FB3EFD"/>
    <w:rsid w:val="00FB4912"/>
    <w:rsid w:val="00FB4C8E"/>
    <w:rsid w:val="00FB4CC0"/>
    <w:rsid w:val="00FB4D20"/>
    <w:rsid w:val="00FB5231"/>
    <w:rsid w:val="00FB5901"/>
    <w:rsid w:val="00FB593F"/>
    <w:rsid w:val="00FB598F"/>
    <w:rsid w:val="00FB5E92"/>
    <w:rsid w:val="00FB635A"/>
    <w:rsid w:val="00FB63AF"/>
    <w:rsid w:val="00FB6994"/>
    <w:rsid w:val="00FB6D04"/>
    <w:rsid w:val="00FB6D40"/>
    <w:rsid w:val="00FB70BA"/>
    <w:rsid w:val="00FB72F6"/>
    <w:rsid w:val="00FB7596"/>
    <w:rsid w:val="00FB7BBA"/>
    <w:rsid w:val="00FB7BC4"/>
    <w:rsid w:val="00FB7DD9"/>
    <w:rsid w:val="00FC02B4"/>
    <w:rsid w:val="00FC0766"/>
    <w:rsid w:val="00FC08B8"/>
    <w:rsid w:val="00FC0DB9"/>
    <w:rsid w:val="00FC0E3E"/>
    <w:rsid w:val="00FC12C7"/>
    <w:rsid w:val="00FC13C8"/>
    <w:rsid w:val="00FC1895"/>
    <w:rsid w:val="00FC18C0"/>
    <w:rsid w:val="00FC1E08"/>
    <w:rsid w:val="00FC1FEE"/>
    <w:rsid w:val="00FC22C9"/>
    <w:rsid w:val="00FC2590"/>
    <w:rsid w:val="00FC2751"/>
    <w:rsid w:val="00FC27B0"/>
    <w:rsid w:val="00FC2C26"/>
    <w:rsid w:val="00FC2C2C"/>
    <w:rsid w:val="00FC2D1A"/>
    <w:rsid w:val="00FC2EF1"/>
    <w:rsid w:val="00FC31E9"/>
    <w:rsid w:val="00FC327F"/>
    <w:rsid w:val="00FC3359"/>
    <w:rsid w:val="00FC33AF"/>
    <w:rsid w:val="00FC3718"/>
    <w:rsid w:val="00FC3786"/>
    <w:rsid w:val="00FC3CDC"/>
    <w:rsid w:val="00FC437F"/>
    <w:rsid w:val="00FC44C3"/>
    <w:rsid w:val="00FC4798"/>
    <w:rsid w:val="00FC4805"/>
    <w:rsid w:val="00FC495C"/>
    <w:rsid w:val="00FC4A04"/>
    <w:rsid w:val="00FC4E2D"/>
    <w:rsid w:val="00FC5279"/>
    <w:rsid w:val="00FC5BF8"/>
    <w:rsid w:val="00FC5C5D"/>
    <w:rsid w:val="00FC5E0A"/>
    <w:rsid w:val="00FC61BC"/>
    <w:rsid w:val="00FC654F"/>
    <w:rsid w:val="00FC65A4"/>
    <w:rsid w:val="00FC6640"/>
    <w:rsid w:val="00FC6870"/>
    <w:rsid w:val="00FC6B50"/>
    <w:rsid w:val="00FC6D60"/>
    <w:rsid w:val="00FC6E2C"/>
    <w:rsid w:val="00FC703E"/>
    <w:rsid w:val="00FC70AD"/>
    <w:rsid w:val="00FC70EE"/>
    <w:rsid w:val="00FC7391"/>
    <w:rsid w:val="00FC75CF"/>
    <w:rsid w:val="00FC797B"/>
    <w:rsid w:val="00FC79D5"/>
    <w:rsid w:val="00FC7CBC"/>
    <w:rsid w:val="00FC7D20"/>
    <w:rsid w:val="00FC7DB2"/>
    <w:rsid w:val="00FD010E"/>
    <w:rsid w:val="00FD0382"/>
    <w:rsid w:val="00FD04F7"/>
    <w:rsid w:val="00FD0570"/>
    <w:rsid w:val="00FD0571"/>
    <w:rsid w:val="00FD06B0"/>
    <w:rsid w:val="00FD0A70"/>
    <w:rsid w:val="00FD0A71"/>
    <w:rsid w:val="00FD0AEB"/>
    <w:rsid w:val="00FD0AEF"/>
    <w:rsid w:val="00FD0D9E"/>
    <w:rsid w:val="00FD114A"/>
    <w:rsid w:val="00FD11A7"/>
    <w:rsid w:val="00FD1295"/>
    <w:rsid w:val="00FD133E"/>
    <w:rsid w:val="00FD13C0"/>
    <w:rsid w:val="00FD1501"/>
    <w:rsid w:val="00FD1568"/>
    <w:rsid w:val="00FD1A16"/>
    <w:rsid w:val="00FD24EB"/>
    <w:rsid w:val="00FD2500"/>
    <w:rsid w:val="00FD2577"/>
    <w:rsid w:val="00FD2910"/>
    <w:rsid w:val="00FD2B44"/>
    <w:rsid w:val="00FD2F59"/>
    <w:rsid w:val="00FD42E6"/>
    <w:rsid w:val="00FD4435"/>
    <w:rsid w:val="00FD4496"/>
    <w:rsid w:val="00FD4679"/>
    <w:rsid w:val="00FD4B21"/>
    <w:rsid w:val="00FD5135"/>
    <w:rsid w:val="00FD5293"/>
    <w:rsid w:val="00FD5329"/>
    <w:rsid w:val="00FD58BA"/>
    <w:rsid w:val="00FD5BDE"/>
    <w:rsid w:val="00FD5C0D"/>
    <w:rsid w:val="00FD5CE2"/>
    <w:rsid w:val="00FD5E7C"/>
    <w:rsid w:val="00FD6669"/>
    <w:rsid w:val="00FD67EA"/>
    <w:rsid w:val="00FD6815"/>
    <w:rsid w:val="00FD69BC"/>
    <w:rsid w:val="00FD6BAB"/>
    <w:rsid w:val="00FD6E6D"/>
    <w:rsid w:val="00FD6EC9"/>
    <w:rsid w:val="00FD748A"/>
    <w:rsid w:val="00FD74C7"/>
    <w:rsid w:val="00FD78A0"/>
    <w:rsid w:val="00FD7B73"/>
    <w:rsid w:val="00FD7E32"/>
    <w:rsid w:val="00FE04CE"/>
    <w:rsid w:val="00FE05F3"/>
    <w:rsid w:val="00FE077A"/>
    <w:rsid w:val="00FE0B48"/>
    <w:rsid w:val="00FE0FEB"/>
    <w:rsid w:val="00FE11B9"/>
    <w:rsid w:val="00FE15AA"/>
    <w:rsid w:val="00FE15C8"/>
    <w:rsid w:val="00FE183A"/>
    <w:rsid w:val="00FE1A1E"/>
    <w:rsid w:val="00FE1A2E"/>
    <w:rsid w:val="00FE2205"/>
    <w:rsid w:val="00FE2412"/>
    <w:rsid w:val="00FE2B63"/>
    <w:rsid w:val="00FE30AD"/>
    <w:rsid w:val="00FE3577"/>
    <w:rsid w:val="00FE35B3"/>
    <w:rsid w:val="00FE3674"/>
    <w:rsid w:val="00FE3699"/>
    <w:rsid w:val="00FE39E2"/>
    <w:rsid w:val="00FE413E"/>
    <w:rsid w:val="00FE4165"/>
    <w:rsid w:val="00FE4270"/>
    <w:rsid w:val="00FE4329"/>
    <w:rsid w:val="00FE44B4"/>
    <w:rsid w:val="00FE472B"/>
    <w:rsid w:val="00FE4924"/>
    <w:rsid w:val="00FE4D55"/>
    <w:rsid w:val="00FE4DEE"/>
    <w:rsid w:val="00FE4F22"/>
    <w:rsid w:val="00FE5064"/>
    <w:rsid w:val="00FE5118"/>
    <w:rsid w:val="00FE5404"/>
    <w:rsid w:val="00FE5A99"/>
    <w:rsid w:val="00FE5CE7"/>
    <w:rsid w:val="00FE5D7D"/>
    <w:rsid w:val="00FE5EA0"/>
    <w:rsid w:val="00FE613F"/>
    <w:rsid w:val="00FE6516"/>
    <w:rsid w:val="00FE66E3"/>
    <w:rsid w:val="00FE67EB"/>
    <w:rsid w:val="00FE6894"/>
    <w:rsid w:val="00FE6E31"/>
    <w:rsid w:val="00FE705F"/>
    <w:rsid w:val="00FE7154"/>
    <w:rsid w:val="00FE7305"/>
    <w:rsid w:val="00FE740A"/>
    <w:rsid w:val="00FE76D8"/>
    <w:rsid w:val="00FE77FA"/>
    <w:rsid w:val="00FE785C"/>
    <w:rsid w:val="00FE7A0E"/>
    <w:rsid w:val="00FE7A8B"/>
    <w:rsid w:val="00FE7C3B"/>
    <w:rsid w:val="00FE7E22"/>
    <w:rsid w:val="00FE7E43"/>
    <w:rsid w:val="00FF00AD"/>
    <w:rsid w:val="00FF03A3"/>
    <w:rsid w:val="00FF0605"/>
    <w:rsid w:val="00FF0884"/>
    <w:rsid w:val="00FF0ADD"/>
    <w:rsid w:val="00FF0BBD"/>
    <w:rsid w:val="00FF115E"/>
    <w:rsid w:val="00FF117A"/>
    <w:rsid w:val="00FF131F"/>
    <w:rsid w:val="00FF1320"/>
    <w:rsid w:val="00FF15A7"/>
    <w:rsid w:val="00FF15D0"/>
    <w:rsid w:val="00FF15FD"/>
    <w:rsid w:val="00FF1972"/>
    <w:rsid w:val="00FF1E9B"/>
    <w:rsid w:val="00FF2425"/>
    <w:rsid w:val="00FF244F"/>
    <w:rsid w:val="00FF28C2"/>
    <w:rsid w:val="00FF2982"/>
    <w:rsid w:val="00FF2BC9"/>
    <w:rsid w:val="00FF2FB4"/>
    <w:rsid w:val="00FF3379"/>
    <w:rsid w:val="00FF34A5"/>
    <w:rsid w:val="00FF36BA"/>
    <w:rsid w:val="00FF38C9"/>
    <w:rsid w:val="00FF3940"/>
    <w:rsid w:val="00FF3A6A"/>
    <w:rsid w:val="00FF3C28"/>
    <w:rsid w:val="00FF3CF2"/>
    <w:rsid w:val="00FF3F94"/>
    <w:rsid w:val="00FF41AD"/>
    <w:rsid w:val="00FF41B7"/>
    <w:rsid w:val="00FF4272"/>
    <w:rsid w:val="00FF4361"/>
    <w:rsid w:val="00FF46E1"/>
    <w:rsid w:val="00FF493D"/>
    <w:rsid w:val="00FF49C2"/>
    <w:rsid w:val="00FF4B4B"/>
    <w:rsid w:val="00FF4DB4"/>
    <w:rsid w:val="00FF53DA"/>
    <w:rsid w:val="00FF56A6"/>
    <w:rsid w:val="00FF5C62"/>
    <w:rsid w:val="00FF5CF9"/>
    <w:rsid w:val="00FF5D8D"/>
    <w:rsid w:val="00FF5FF4"/>
    <w:rsid w:val="00FF6261"/>
    <w:rsid w:val="00FF6721"/>
    <w:rsid w:val="00FF68E6"/>
    <w:rsid w:val="00FF69B4"/>
    <w:rsid w:val="00FF6C66"/>
    <w:rsid w:val="00FF6E51"/>
    <w:rsid w:val="00FF6EA9"/>
    <w:rsid w:val="00FF72C0"/>
    <w:rsid w:val="00FF7EEC"/>
    <w:rsid w:val="03311D5C"/>
    <w:rsid w:val="0AB441CB"/>
    <w:rsid w:val="0C03F1B2"/>
    <w:rsid w:val="0DB49B3B"/>
    <w:rsid w:val="0E88D418"/>
    <w:rsid w:val="12595C52"/>
    <w:rsid w:val="15ED077F"/>
    <w:rsid w:val="1FD8C533"/>
    <w:rsid w:val="1FF0FE45"/>
    <w:rsid w:val="2276FD1A"/>
    <w:rsid w:val="22A62C39"/>
    <w:rsid w:val="241B3289"/>
    <w:rsid w:val="244D9B13"/>
    <w:rsid w:val="2CD1F364"/>
    <w:rsid w:val="2DBB48E1"/>
    <w:rsid w:val="3378CE69"/>
    <w:rsid w:val="337DF138"/>
    <w:rsid w:val="38776B83"/>
    <w:rsid w:val="388A7A06"/>
    <w:rsid w:val="41C6AB63"/>
    <w:rsid w:val="4296031F"/>
    <w:rsid w:val="4B823E7E"/>
    <w:rsid w:val="4BF45D11"/>
    <w:rsid w:val="4DBFD7AD"/>
    <w:rsid w:val="4DF7EEC4"/>
    <w:rsid w:val="5391102B"/>
    <w:rsid w:val="54609089"/>
    <w:rsid w:val="5529B3A9"/>
    <w:rsid w:val="581F30BB"/>
    <w:rsid w:val="5AB74D02"/>
    <w:rsid w:val="5B6F5887"/>
    <w:rsid w:val="614C40B5"/>
    <w:rsid w:val="6355CBB7"/>
    <w:rsid w:val="635A310D"/>
    <w:rsid w:val="6A2423C2"/>
    <w:rsid w:val="6A8476C2"/>
    <w:rsid w:val="6D6C5660"/>
    <w:rsid w:val="70032346"/>
    <w:rsid w:val="75E97C41"/>
    <w:rsid w:val="7892AF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F0D34"/>
  <w15:docId w15:val="{54DFCAD2-4FB3-432D-BA2A-37E09D7E2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A88"/>
    <w:pPr>
      <w:spacing w:before="160" w:line="336" w:lineRule="auto"/>
    </w:pPr>
    <w:rPr>
      <w:lang w:val="en-AU"/>
    </w:rPr>
  </w:style>
  <w:style w:type="paragraph" w:styleId="Heading1">
    <w:name w:val="heading 1"/>
    <w:basedOn w:val="Normal"/>
    <w:next w:val="Normal"/>
    <w:link w:val="Heading1Char"/>
    <w:uiPriority w:val="9"/>
    <w:qFormat/>
    <w:rsid w:val="002E7385"/>
    <w:pPr>
      <w:keepNext/>
      <w:keepLines/>
      <w:pageBreakBefore/>
      <w:spacing w:before="240" w:after="320"/>
      <w:outlineLvl w:val="0"/>
    </w:pPr>
    <w:rPr>
      <w:rFonts w:ascii="Tahoma" w:eastAsiaTheme="majorEastAsia" w:hAnsi="Tahoma" w:cstheme="majorBidi"/>
      <w:color w:val="CE0058" w:themeColor="accent2"/>
      <w:sz w:val="40"/>
      <w:szCs w:val="32"/>
    </w:rPr>
  </w:style>
  <w:style w:type="paragraph" w:styleId="Heading2">
    <w:name w:val="heading 2"/>
    <w:basedOn w:val="Normal"/>
    <w:next w:val="Normal"/>
    <w:link w:val="Heading2Char"/>
    <w:uiPriority w:val="9"/>
    <w:unhideWhenUsed/>
    <w:qFormat/>
    <w:rsid w:val="002E7385"/>
    <w:pPr>
      <w:keepNext/>
      <w:keepLines/>
      <w:spacing w:before="240"/>
      <w:outlineLvl w:val="1"/>
    </w:pPr>
    <w:rPr>
      <w:rFonts w:ascii="Tahoma" w:eastAsiaTheme="majorEastAsia" w:hAnsi="Tahoma" w:cstheme="majorBidi"/>
      <w:b/>
      <w:sz w:val="26"/>
      <w:szCs w:val="26"/>
    </w:rPr>
  </w:style>
  <w:style w:type="paragraph" w:styleId="Heading3">
    <w:name w:val="heading 3"/>
    <w:basedOn w:val="Normal"/>
    <w:next w:val="Normal"/>
    <w:link w:val="Heading3Char"/>
    <w:uiPriority w:val="9"/>
    <w:unhideWhenUsed/>
    <w:qFormat/>
    <w:rsid w:val="002E7385"/>
    <w:pPr>
      <w:keepNext/>
      <w:keepLines/>
      <w:spacing w:before="200" w:after="120"/>
      <w:outlineLvl w:val="2"/>
    </w:pPr>
    <w:rPr>
      <w:rFonts w:ascii="Tahoma" w:eastAsiaTheme="majorEastAsia" w:hAnsi="Tahoma" w:cstheme="majorBidi"/>
      <w:b/>
      <w:color w:val="4986A0" w:themeColor="text2"/>
      <w:szCs w:val="24"/>
    </w:rPr>
  </w:style>
  <w:style w:type="paragraph" w:styleId="Heading4">
    <w:name w:val="heading 4"/>
    <w:basedOn w:val="Normal"/>
    <w:next w:val="Normal"/>
    <w:link w:val="Heading4Char"/>
    <w:uiPriority w:val="9"/>
    <w:unhideWhenUsed/>
    <w:qFormat/>
    <w:rsid w:val="002E7385"/>
    <w:pPr>
      <w:keepNext/>
      <w:keepLines/>
      <w:spacing w:before="120" w:after="0"/>
      <w:outlineLvl w:val="3"/>
    </w:pPr>
    <w:rPr>
      <w:rFonts w:ascii="Tahoma" w:eastAsiaTheme="majorEastAsia" w:hAnsi="Tahoma" w:cstheme="majorBidi"/>
      <w:b/>
      <w:iCs/>
      <w:color w:val="75787B" w:themeColor="background2"/>
    </w:rPr>
  </w:style>
  <w:style w:type="paragraph" w:styleId="Heading5">
    <w:name w:val="heading 5"/>
    <w:basedOn w:val="Normal"/>
    <w:next w:val="Normal"/>
    <w:link w:val="Heading5Char"/>
    <w:uiPriority w:val="9"/>
    <w:unhideWhenUsed/>
    <w:rsid w:val="006A0547"/>
    <w:pPr>
      <w:keepNext/>
      <w:keepLines/>
      <w:spacing w:before="200" w:after="0"/>
      <w:outlineLvl w:val="4"/>
    </w:pPr>
    <w:rPr>
      <w:rFonts w:asciiTheme="majorHAnsi" w:eastAsiaTheme="majorEastAsia" w:hAnsiTheme="majorHAnsi" w:cstheme="majorBidi"/>
      <w:i/>
      <w:color w:val="11304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E03FA"/>
    <w:pPr>
      <w:tabs>
        <w:tab w:val="center" w:pos="4680"/>
        <w:tab w:val="right" w:pos="9360"/>
      </w:tabs>
      <w:spacing w:after="0"/>
    </w:pPr>
  </w:style>
  <w:style w:type="character" w:customStyle="1" w:styleId="HeaderChar">
    <w:name w:val="Header Char"/>
    <w:basedOn w:val="DefaultParagraphFont"/>
    <w:link w:val="Header"/>
    <w:uiPriority w:val="99"/>
    <w:semiHidden/>
    <w:rsid w:val="00812056"/>
    <w:rPr>
      <w:lang w:val="en-AU"/>
    </w:rPr>
  </w:style>
  <w:style w:type="paragraph" w:styleId="Footer">
    <w:name w:val="footer"/>
    <w:basedOn w:val="Normal"/>
    <w:link w:val="FooterChar"/>
    <w:uiPriority w:val="99"/>
    <w:unhideWhenUsed/>
    <w:rsid w:val="00CF34D6"/>
    <w:pPr>
      <w:tabs>
        <w:tab w:val="center" w:pos="4680"/>
        <w:tab w:val="right" w:pos="9360"/>
      </w:tabs>
      <w:spacing w:before="120" w:after="0" w:line="288" w:lineRule="auto"/>
      <w:contextualSpacing/>
    </w:pPr>
    <w:rPr>
      <w:color w:val="75787B" w:themeColor="background2"/>
    </w:rPr>
  </w:style>
  <w:style w:type="character" w:customStyle="1" w:styleId="FooterChar">
    <w:name w:val="Footer Char"/>
    <w:basedOn w:val="DefaultParagraphFont"/>
    <w:link w:val="Footer"/>
    <w:uiPriority w:val="99"/>
    <w:rsid w:val="00CF34D6"/>
    <w:rPr>
      <w:color w:val="75787B" w:themeColor="background2"/>
    </w:rPr>
  </w:style>
  <w:style w:type="paragraph" w:styleId="Title">
    <w:name w:val="Title"/>
    <w:basedOn w:val="Normal"/>
    <w:next w:val="Normal"/>
    <w:link w:val="TitleChar"/>
    <w:uiPriority w:val="10"/>
    <w:semiHidden/>
    <w:qFormat/>
    <w:rsid w:val="002E7385"/>
    <w:pPr>
      <w:spacing w:after="280"/>
      <w:contextualSpacing/>
    </w:pPr>
    <w:rPr>
      <w:rFonts w:ascii="Tahoma" w:eastAsiaTheme="majorEastAsia" w:hAnsi="Tahoma" w:cstheme="majorBidi"/>
      <w:color w:val="4986A0" w:themeColor="text2"/>
      <w:kern w:val="28"/>
      <w:sz w:val="52"/>
      <w:szCs w:val="56"/>
    </w:rPr>
  </w:style>
  <w:style w:type="character" w:customStyle="1" w:styleId="TitleChar">
    <w:name w:val="Title Char"/>
    <w:basedOn w:val="DefaultParagraphFont"/>
    <w:link w:val="Title"/>
    <w:uiPriority w:val="10"/>
    <w:semiHidden/>
    <w:rsid w:val="00812056"/>
    <w:rPr>
      <w:rFonts w:ascii="Tahoma" w:eastAsiaTheme="majorEastAsia" w:hAnsi="Tahoma" w:cstheme="majorBidi"/>
      <w:color w:val="4986A0" w:themeColor="text2"/>
      <w:kern w:val="28"/>
      <w:sz w:val="52"/>
      <w:szCs w:val="56"/>
      <w:lang w:val="en-AU"/>
    </w:rPr>
  </w:style>
  <w:style w:type="paragraph" w:styleId="Subtitle">
    <w:name w:val="Subtitle"/>
    <w:basedOn w:val="Normal"/>
    <w:next w:val="Normal"/>
    <w:link w:val="SubtitleChar"/>
    <w:uiPriority w:val="11"/>
    <w:qFormat/>
    <w:rsid w:val="002E7385"/>
    <w:pPr>
      <w:numPr>
        <w:ilvl w:val="1"/>
      </w:numPr>
      <w:spacing w:after="240"/>
    </w:pPr>
    <w:rPr>
      <w:rFonts w:ascii="Tahoma" w:eastAsiaTheme="minorEastAsia" w:hAnsi="Tahoma"/>
      <w:color w:val="75787B" w:themeColor="background2"/>
      <w:sz w:val="28"/>
    </w:rPr>
  </w:style>
  <w:style w:type="character" w:customStyle="1" w:styleId="SubtitleChar">
    <w:name w:val="Subtitle Char"/>
    <w:basedOn w:val="DefaultParagraphFont"/>
    <w:link w:val="Subtitle"/>
    <w:uiPriority w:val="11"/>
    <w:rsid w:val="002E7385"/>
    <w:rPr>
      <w:rFonts w:ascii="Tahoma" w:eastAsiaTheme="minorEastAsia" w:hAnsi="Tahoma"/>
      <w:color w:val="75787B" w:themeColor="background2"/>
      <w:sz w:val="28"/>
    </w:rPr>
  </w:style>
  <w:style w:type="character" w:styleId="PlaceholderText">
    <w:name w:val="Placeholder Text"/>
    <w:basedOn w:val="DefaultParagraphFont"/>
    <w:uiPriority w:val="99"/>
    <w:semiHidden/>
    <w:rsid w:val="00615C49"/>
    <w:rPr>
      <w:color w:val="808080"/>
    </w:rPr>
  </w:style>
  <w:style w:type="table" w:styleId="TableGrid">
    <w:name w:val="Table Grid"/>
    <w:basedOn w:val="TableNormal"/>
    <w:uiPriority w:val="39"/>
    <w:rsid w:val="005C6E04"/>
    <w:pPr>
      <w:spacing w:after="0" w:line="240" w:lineRule="auto"/>
    </w:pPr>
    <w:tblPr>
      <w:tblStyleRowBandSize w:val="1"/>
      <w:tblBorders>
        <w:insideH w:val="single" w:sz="8" w:space="0" w:color="FFFFFF" w:themeColor="background1"/>
      </w:tblBorders>
      <w:tblCellMar>
        <w:top w:w="85" w:type="dxa"/>
        <w:left w:w="85" w:type="dxa"/>
        <w:bottom w:w="85" w:type="dxa"/>
        <w:right w:w="57" w:type="dxa"/>
      </w:tblCellMar>
    </w:tblPr>
    <w:tblStylePr w:type="firstRow">
      <w:rPr>
        <w:b/>
        <w:color w:val="FFFFFF" w:themeColor="background1"/>
      </w:rPr>
      <w:tblPr/>
      <w:tcPr>
        <w:shd w:val="clear" w:color="auto" w:fill="4986A0" w:themeFill="text2"/>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E3E3E4" w:themeFill="background2" w:themeFillTint="33"/>
      </w:tcPr>
    </w:tblStylePr>
  </w:style>
  <w:style w:type="table" w:customStyle="1" w:styleId="FooterTable">
    <w:name w:val="Footer Table"/>
    <w:basedOn w:val="TableNormal"/>
    <w:uiPriority w:val="99"/>
    <w:rsid w:val="007B6C8C"/>
    <w:pPr>
      <w:spacing w:after="0" w:line="240" w:lineRule="auto"/>
      <w:jc w:val="center"/>
    </w:pPr>
    <w:tblPr>
      <w:jc w:val="right"/>
      <w:tblBorders>
        <w:insideV w:val="single" w:sz="12" w:space="0" w:color="FFFFFF" w:themeColor="background1"/>
      </w:tblBorders>
      <w:tblCellMar>
        <w:left w:w="85" w:type="dxa"/>
        <w:right w:w="85" w:type="dxa"/>
      </w:tblCellMar>
    </w:tblPr>
    <w:trPr>
      <w:jc w:val="right"/>
    </w:trPr>
    <w:tcPr>
      <w:shd w:val="clear" w:color="auto" w:fill="CE0058" w:themeFill="accent2"/>
      <w:vAlign w:val="center"/>
    </w:tcPr>
    <w:tblStylePr w:type="firstCol">
      <w:tblPr/>
      <w:tcPr>
        <w:shd w:val="clear" w:color="auto" w:fill="CE0058" w:themeFill="accent2"/>
      </w:tcPr>
    </w:tblStylePr>
  </w:style>
  <w:style w:type="character" w:customStyle="1" w:styleId="Heading1Char">
    <w:name w:val="Heading 1 Char"/>
    <w:basedOn w:val="DefaultParagraphFont"/>
    <w:link w:val="Heading1"/>
    <w:uiPriority w:val="9"/>
    <w:rsid w:val="002E7385"/>
    <w:rPr>
      <w:rFonts w:ascii="Tahoma" w:eastAsiaTheme="majorEastAsia" w:hAnsi="Tahoma" w:cstheme="majorBidi"/>
      <w:color w:val="CE0058" w:themeColor="accent2"/>
      <w:sz w:val="40"/>
      <w:szCs w:val="32"/>
    </w:rPr>
  </w:style>
  <w:style w:type="character" w:customStyle="1" w:styleId="Heading2Char">
    <w:name w:val="Heading 2 Char"/>
    <w:basedOn w:val="DefaultParagraphFont"/>
    <w:link w:val="Heading2"/>
    <w:uiPriority w:val="9"/>
    <w:rsid w:val="002E7385"/>
    <w:rPr>
      <w:rFonts w:ascii="Tahoma" w:eastAsiaTheme="majorEastAsia" w:hAnsi="Tahoma" w:cstheme="majorBidi"/>
      <w:b/>
      <w:sz w:val="26"/>
      <w:szCs w:val="26"/>
    </w:rPr>
  </w:style>
  <w:style w:type="paragraph" w:styleId="ListBullet">
    <w:name w:val="List Bullet"/>
    <w:basedOn w:val="Normal"/>
    <w:link w:val="ListBulletChar"/>
    <w:autoRedefine/>
    <w:uiPriority w:val="99"/>
    <w:unhideWhenUsed/>
    <w:qFormat/>
    <w:rsid w:val="00ED1290"/>
    <w:pPr>
      <w:numPr>
        <w:numId w:val="49"/>
      </w:numPr>
      <w:tabs>
        <w:tab w:val="num" w:pos="360"/>
      </w:tabs>
      <w:ind w:left="284" w:hanging="284"/>
      <w:contextualSpacing/>
    </w:pPr>
  </w:style>
  <w:style w:type="paragraph" w:styleId="BalloonText">
    <w:name w:val="Balloon Text"/>
    <w:basedOn w:val="Normal"/>
    <w:link w:val="BalloonTextChar"/>
    <w:uiPriority w:val="99"/>
    <w:semiHidden/>
    <w:unhideWhenUsed/>
    <w:rsid w:val="00865E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ECE"/>
    <w:rPr>
      <w:rFonts w:ascii="Segoe UI" w:hAnsi="Segoe UI" w:cs="Segoe UI"/>
      <w:sz w:val="18"/>
      <w:szCs w:val="18"/>
    </w:rPr>
  </w:style>
  <w:style w:type="paragraph" w:customStyle="1" w:styleId="Heading1numbered">
    <w:name w:val="Heading 1 numbered"/>
    <w:basedOn w:val="Heading1"/>
    <w:next w:val="Normal"/>
    <w:qFormat/>
    <w:rsid w:val="005F5578"/>
    <w:pPr>
      <w:ind w:left="567" w:hanging="567"/>
    </w:pPr>
  </w:style>
  <w:style w:type="paragraph" w:customStyle="1" w:styleId="Heading2numbered">
    <w:name w:val="Heading 2 numbered"/>
    <w:basedOn w:val="Heading2"/>
    <w:next w:val="Normal"/>
    <w:qFormat/>
    <w:rsid w:val="005F5578"/>
    <w:pPr>
      <w:ind w:left="851" w:hanging="851"/>
    </w:pPr>
  </w:style>
  <w:style w:type="numbering" w:customStyle="1" w:styleId="Bullet">
    <w:name w:val="Bullet"/>
    <w:uiPriority w:val="99"/>
    <w:rsid w:val="00DC2B59"/>
    <w:pPr>
      <w:numPr>
        <w:numId w:val="10"/>
      </w:numPr>
    </w:pPr>
  </w:style>
  <w:style w:type="numbering" w:customStyle="1" w:styleId="NumberedHeadings">
    <w:name w:val="Numbered Headings"/>
    <w:uiPriority w:val="99"/>
    <w:rsid w:val="005F5578"/>
    <w:pPr>
      <w:numPr>
        <w:numId w:val="11"/>
      </w:numPr>
    </w:pPr>
  </w:style>
  <w:style w:type="paragraph" w:styleId="ListBullet2">
    <w:name w:val="List Bullet 2"/>
    <w:basedOn w:val="Normal"/>
    <w:link w:val="ListBullet2Char"/>
    <w:uiPriority w:val="99"/>
    <w:unhideWhenUsed/>
    <w:qFormat/>
    <w:rsid w:val="00DC2B59"/>
    <w:pPr>
      <w:numPr>
        <w:ilvl w:val="1"/>
        <w:numId w:val="10"/>
      </w:numPr>
      <w:contextualSpacing/>
    </w:pPr>
  </w:style>
  <w:style w:type="paragraph" w:customStyle="1" w:styleId="TitleCentred">
    <w:name w:val="Title Centred"/>
    <w:basedOn w:val="Title"/>
    <w:link w:val="TitleCentredChar"/>
    <w:semiHidden/>
    <w:qFormat/>
    <w:rsid w:val="00062AE4"/>
    <w:pPr>
      <w:framePr w:wrap="around" w:vAnchor="page" w:hAnchor="page" w:xAlign="center" w:yAlign="center" w:anchorLock="1"/>
      <w:jc w:val="center"/>
    </w:pPr>
  </w:style>
  <w:style w:type="paragraph" w:customStyle="1" w:styleId="SubtitleCentred">
    <w:name w:val="Subtitle Centred"/>
    <w:basedOn w:val="Subtitle"/>
    <w:rsid w:val="00062AE4"/>
    <w:pPr>
      <w:framePr w:wrap="around" w:vAnchor="page" w:hAnchor="page" w:xAlign="center" w:yAlign="center" w:anchorLock="1"/>
      <w:jc w:val="center"/>
    </w:pPr>
  </w:style>
  <w:style w:type="character" w:customStyle="1" w:styleId="TitleCentredChar">
    <w:name w:val="Title Centred Char"/>
    <w:basedOn w:val="TitleChar"/>
    <w:link w:val="TitleCentred"/>
    <w:semiHidden/>
    <w:rsid w:val="00812056"/>
    <w:rPr>
      <w:rFonts w:ascii="Tahoma" w:eastAsiaTheme="majorEastAsia" w:hAnsi="Tahoma" w:cstheme="majorBidi"/>
      <w:color w:val="4986A0" w:themeColor="text2"/>
      <w:kern w:val="28"/>
      <w:sz w:val="52"/>
      <w:szCs w:val="56"/>
      <w:lang w:val="en-AU"/>
    </w:rPr>
  </w:style>
  <w:style w:type="character" w:styleId="PageNumber">
    <w:name w:val="page number"/>
    <w:basedOn w:val="DefaultParagraphFont"/>
    <w:uiPriority w:val="99"/>
    <w:semiHidden/>
    <w:rsid w:val="007B6C8C"/>
    <w:rPr>
      <w:b/>
      <w:color w:val="FFFFFF" w:themeColor="background1"/>
      <w:sz w:val="22"/>
      <w:bdr w:val="none" w:sz="0" w:space="0" w:color="auto"/>
      <w:shd w:val="clear" w:color="auto" w:fill="CE0058" w:themeFill="accent2"/>
    </w:rPr>
  </w:style>
  <w:style w:type="paragraph" w:customStyle="1" w:styleId="Pull-out">
    <w:name w:val="Pull-out"/>
    <w:basedOn w:val="Normal"/>
    <w:qFormat/>
    <w:rsid w:val="00C753B8"/>
    <w:p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198" w:right="198"/>
    </w:pPr>
  </w:style>
  <w:style w:type="paragraph" w:styleId="Quote">
    <w:name w:val="Quote"/>
    <w:basedOn w:val="Normal"/>
    <w:next w:val="Normal"/>
    <w:link w:val="QuoteChar"/>
    <w:uiPriority w:val="29"/>
    <w:qFormat/>
    <w:rsid w:val="00C753B8"/>
    <w:pPr>
      <w:spacing w:before="240" w:after="240"/>
      <w:ind w:left="567"/>
    </w:pPr>
    <w:rPr>
      <w:iCs/>
      <w:color w:val="4986A0" w:themeColor="text2"/>
    </w:rPr>
  </w:style>
  <w:style w:type="character" w:customStyle="1" w:styleId="QuoteChar">
    <w:name w:val="Quote Char"/>
    <w:basedOn w:val="DefaultParagraphFont"/>
    <w:link w:val="Quote"/>
    <w:uiPriority w:val="29"/>
    <w:rsid w:val="00C753B8"/>
    <w:rPr>
      <w:iCs/>
      <w:color w:val="4986A0" w:themeColor="text2"/>
    </w:rPr>
  </w:style>
  <w:style w:type="paragraph" w:styleId="NoSpacing">
    <w:name w:val="No Spacing"/>
    <w:link w:val="NoSpacingChar"/>
    <w:uiPriority w:val="1"/>
    <w:semiHidden/>
    <w:qFormat/>
    <w:rsid w:val="005C6E04"/>
    <w:pPr>
      <w:spacing w:after="0" w:line="240" w:lineRule="auto"/>
    </w:pPr>
  </w:style>
  <w:style w:type="table" w:customStyle="1" w:styleId="TwoColumnTable">
    <w:name w:val="Two Column Table"/>
    <w:basedOn w:val="TableNormal"/>
    <w:uiPriority w:val="99"/>
    <w:rsid w:val="00B027ED"/>
    <w:pPr>
      <w:spacing w:after="0" w:line="240" w:lineRule="auto"/>
    </w:pPr>
    <w:tblPr>
      <w:tblCellMar>
        <w:top w:w="113" w:type="dxa"/>
        <w:left w:w="85" w:type="dxa"/>
        <w:right w:w="0" w:type="dxa"/>
      </w:tblCellMar>
    </w:tblPr>
    <w:tblStylePr w:type="firstRow">
      <w:tblPr/>
      <w:tcPr>
        <w:tcBorders>
          <w:top w:val="single" w:sz="8" w:space="0" w:color="4986A0" w:themeColor="text2"/>
          <w:left w:val="nil"/>
          <w:bottom w:val="nil"/>
          <w:right w:val="nil"/>
          <w:insideH w:val="nil"/>
          <w:insideV w:val="nil"/>
          <w:tl2br w:val="nil"/>
          <w:tr2bl w:val="nil"/>
        </w:tcBorders>
      </w:tcPr>
    </w:tblStylePr>
    <w:tblStylePr w:type="lastRow">
      <w:tblPr/>
      <w:tcPr>
        <w:tcBorders>
          <w:top w:val="nil"/>
          <w:left w:val="nil"/>
          <w:bottom w:val="single" w:sz="8" w:space="0" w:color="4986A0" w:themeColor="text2"/>
          <w:right w:val="nil"/>
          <w:insideH w:val="nil"/>
          <w:insideV w:val="nil"/>
          <w:tl2br w:val="nil"/>
          <w:tr2bl w:val="nil"/>
        </w:tcBorders>
      </w:tcPr>
    </w:tblStylePr>
  </w:style>
  <w:style w:type="character" w:customStyle="1" w:styleId="Heading3Char">
    <w:name w:val="Heading 3 Char"/>
    <w:basedOn w:val="DefaultParagraphFont"/>
    <w:link w:val="Heading3"/>
    <w:uiPriority w:val="9"/>
    <w:rsid w:val="002E7385"/>
    <w:rPr>
      <w:rFonts w:ascii="Tahoma" w:eastAsiaTheme="majorEastAsia" w:hAnsi="Tahoma" w:cstheme="majorBidi"/>
      <w:b/>
      <w:color w:val="4986A0" w:themeColor="text2"/>
      <w:szCs w:val="24"/>
    </w:rPr>
  </w:style>
  <w:style w:type="paragraph" w:styleId="TOC2">
    <w:name w:val="toc 2"/>
    <w:basedOn w:val="TOC1"/>
    <w:next w:val="Normal"/>
    <w:autoRedefine/>
    <w:uiPriority w:val="39"/>
    <w:rsid w:val="00BE4631"/>
    <w:rPr>
      <w:bCs/>
      <w:noProof/>
    </w:rPr>
  </w:style>
  <w:style w:type="paragraph" w:styleId="TOC1">
    <w:name w:val="toc 1"/>
    <w:basedOn w:val="Normal"/>
    <w:next w:val="Normal"/>
    <w:autoRedefine/>
    <w:uiPriority w:val="39"/>
    <w:rsid w:val="00E71C2B"/>
    <w:pPr>
      <w:tabs>
        <w:tab w:val="right" w:pos="9582"/>
      </w:tabs>
      <w:spacing w:before="80" w:after="40" w:line="288" w:lineRule="auto"/>
      <w:ind w:left="425" w:right="567" w:hanging="425"/>
      <w:contextualSpacing/>
    </w:pPr>
    <w:rPr>
      <w:b/>
    </w:rPr>
  </w:style>
  <w:style w:type="character" w:styleId="Hyperlink">
    <w:name w:val="Hyperlink"/>
    <w:basedOn w:val="DefaultParagraphFont"/>
    <w:uiPriority w:val="99"/>
    <w:unhideWhenUsed/>
    <w:rsid w:val="00F40927"/>
    <w:rPr>
      <w:color w:val="0000FF"/>
      <w:u w:val="single"/>
    </w:rPr>
  </w:style>
  <w:style w:type="paragraph" w:styleId="TOCHeading">
    <w:name w:val="TOC Heading"/>
    <w:next w:val="Normal"/>
    <w:uiPriority w:val="39"/>
    <w:unhideWhenUsed/>
    <w:qFormat/>
    <w:rsid w:val="002E7385"/>
    <w:pPr>
      <w:spacing w:before="240" w:after="320" w:line="240" w:lineRule="auto"/>
    </w:pPr>
    <w:rPr>
      <w:rFonts w:ascii="Tahoma" w:eastAsiaTheme="majorEastAsia" w:hAnsi="Tahoma" w:cstheme="majorBidi"/>
      <w:color w:val="CE0058" w:themeColor="accent2"/>
      <w:sz w:val="40"/>
      <w:szCs w:val="32"/>
    </w:rPr>
  </w:style>
  <w:style w:type="character" w:styleId="Strong">
    <w:name w:val="Strong"/>
    <w:basedOn w:val="DefaultParagraphFont"/>
    <w:uiPriority w:val="22"/>
    <w:semiHidden/>
    <w:qFormat/>
    <w:rsid w:val="00710792"/>
    <w:rPr>
      <w:b/>
      <w:bCs/>
    </w:rPr>
  </w:style>
  <w:style w:type="paragraph" w:styleId="ListParagraph">
    <w:name w:val="List Paragraph"/>
    <w:basedOn w:val="Normal"/>
    <w:uiPriority w:val="34"/>
    <w:qFormat/>
    <w:rsid w:val="00DC2B59"/>
    <w:pPr>
      <w:numPr>
        <w:ilvl w:val="2"/>
        <w:numId w:val="10"/>
      </w:numPr>
      <w:contextualSpacing/>
    </w:pPr>
  </w:style>
  <w:style w:type="paragraph" w:styleId="ListBullet3">
    <w:name w:val="List Bullet 3"/>
    <w:basedOn w:val="Normal"/>
    <w:uiPriority w:val="99"/>
    <w:unhideWhenUsed/>
    <w:rsid w:val="00DC2B59"/>
    <w:pPr>
      <w:numPr>
        <w:ilvl w:val="3"/>
        <w:numId w:val="10"/>
      </w:numPr>
      <w:contextualSpacing/>
    </w:pPr>
  </w:style>
  <w:style w:type="paragraph" w:styleId="ListNumber">
    <w:name w:val="List Number"/>
    <w:basedOn w:val="Normal"/>
    <w:uiPriority w:val="99"/>
    <w:unhideWhenUsed/>
    <w:rsid w:val="006F29EA"/>
    <w:pPr>
      <w:ind w:left="567" w:hanging="567"/>
      <w:contextualSpacing/>
    </w:pPr>
  </w:style>
  <w:style w:type="paragraph" w:styleId="ListNumber2">
    <w:name w:val="List Number 2"/>
    <w:basedOn w:val="Normal"/>
    <w:uiPriority w:val="99"/>
    <w:unhideWhenUsed/>
    <w:qFormat/>
    <w:rsid w:val="006F29EA"/>
    <w:pPr>
      <w:ind w:left="851" w:hanging="851"/>
      <w:contextualSpacing/>
    </w:pPr>
  </w:style>
  <w:style w:type="numbering" w:customStyle="1" w:styleId="CustomNumberlist">
    <w:name w:val="Custom Number list"/>
    <w:uiPriority w:val="99"/>
    <w:rsid w:val="006F29EA"/>
    <w:pPr>
      <w:numPr>
        <w:numId w:val="17"/>
      </w:numPr>
    </w:pPr>
  </w:style>
  <w:style w:type="paragraph" w:customStyle="1" w:styleId="ListLetters0">
    <w:name w:val="List Letters"/>
    <w:link w:val="ListLettersChar"/>
    <w:qFormat/>
    <w:rsid w:val="00CF34D6"/>
    <w:pPr>
      <w:numPr>
        <w:numId w:val="32"/>
      </w:numPr>
      <w:spacing w:line="336" w:lineRule="auto"/>
      <w:contextualSpacing/>
    </w:pPr>
  </w:style>
  <w:style w:type="paragraph" w:styleId="ListNumber3">
    <w:name w:val="List Number 3"/>
    <w:basedOn w:val="Normal"/>
    <w:link w:val="ListNumber3Char"/>
    <w:uiPriority w:val="99"/>
    <w:unhideWhenUsed/>
    <w:qFormat/>
    <w:rsid w:val="006F29EA"/>
    <w:pPr>
      <w:ind w:left="1134" w:hanging="1134"/>
      <w:contextualSpacing/>
    </w:pPr>
  </w:style>
  <w:style w:type="paragraph" w:customStyle="1" w:styleId="TableHeading">
    <w:name w:val="Table Heading"/>
    <w:basedOn w:val="NoSpacing"/>
    <w:link w:val="TableHeadingChar"/>
    <w:qFormat/>
    <w:rsid w:val="00792B10"/>
    <w:rPr>
      <w:color w:val="FFFFFF" w:themeColor="background1"/>
    </w:rPr>
  </w:style>
  <w:style w:type="character" w:customStyle="1" w:styleId="ListNumber3Char">
    <w:name w:val="List Number 3 Char"/>
    <w:basedOn w:val="DefaultParagraphFont"/>
    <w:link w:val="ListNumber3"/>
    <w:uiPriority w:val="99"/>
    <w:rsid w:val="00DC2B59"/>
    <w:rPr>
      <w:lang w:val="en-AU"/>
    </w:rPr>
  </w:style>
  <w:style w:type="character" w:customStyle="1" w:styleId="ListLettersChar">
    <w:name w:val="List Letters Char"/>
    <w:basedOn w:val="ListNumber3Char"/>
    <w:link w:val="ListLetters0"/>
    <w:rsid w:val="00CF34D6"/>
    <w:rPr>
      <w:lang w:val="en-AU"/>
    </w:rPr>
  </w:style>
  <w:style w:type="paragraph" w:customStyle="1" w:styleId="TableBody">
    <w:name w:val="Table Body"/>
    <w:basedOn w:val="NoSpacing"/>
    <w:link w:val="TableBodyChar"/>
    <w:qFormat/>
    <w:rsid w:val="00792B10"/>
  </w:style>
  <w:style w:type="character" w:customStyle="1" w:styleId="NoSpacingChar">
    <w:name w:val="No Spacing Char"/>
    <w:basedOn w:val="DefaultParagraphFont"/>
    <w:link w:val="NoSpacing"/>
    <w:uiPriority w:val="1"/>
    <w:semiHidden/>
    <w:rsid w:val="00812056"/>
  </w:style>
  <w:style w:type="character" w:customStyle="1" w:styleId="TableHeadingChar">
    <w:name w:val="Table Heading Char"/>
    <w:basedOn w:val="NoSpacingChar"/>
    <w:link w:val="TableHeading"/>
    <w:rsid w:val="00792B10"/>
    <w:rPr>
      <w:color w:val="FFFFFF" w:themeColor="background1"/>
    </w:rPr>
  </w:style>
  <w:style w:type="paragraph" w:customStyle="1" w:styleId="TableBold">
    <w:name w:val="Table Bold"/>
    <w:basedOn w:val="NoSpacing"/>
    <w:link w:val="TableBoldChar"/>
    <w:qFormat/>
    <w:rsid w:val="00792B10"/>
    <w:rPr>
      <w:b/>
    </w:rPr>
  </w:style>
  <w:style w:type="character" w:customStyle="1" w:styleId="TableBodyChar">
    <w:name w:val="Table Body Char"/>
    <w:basedOn w:val="NoSpacingChar"/>
    <w:link w:val="TableBody"/>
    <w:rsid w:val="00792B10"/>
  </w:style>
  <w:style w:type="paragraph" w:styleId="TOC3">
    <w:name w:val="toc 3"/>
    <w:basedOn w:val="TOC2"/>
    <w:next w:val="Normal"/>
    <w:autoRedefine/>
    <w:uiPriority w:val="39"/>
    <w:rsid w:val="00DE6704"/>
    <w:pPr>
      <w:tabs>
        <w:tab w:val="left" w:pos="1276"/>
      </w:tabs>
      <w:ind w:left="567" w:firstLine="0"/>
    </w:pPr>
  </w:style>
  <w:style w:type="character" w:customStyle="1" w:styleId="TableBoldChar">
    <w:name w:val="Table Bold Char"/>
    <w:basedOn w:val="NoSpacingChar"/>
    <w:link w:val="TableBold"/>
    <w:rsid w:val="00792B10"/>
    <w:rPr>
      <w:b/>
    </w:rPr>
  </w:style>
  <w:style w:type="paragraph" w:customStyle="1" w:styleId="TableBullet">
    <w:name w:val="Table Bullet"/>
    <w:basedOn w:val="ListBullet"/>
    <w:link w:val="TableBulletChar"/>
    <w:autoRedefine/>
    <w:qFormat/>
    <w:rsid w:val="00B3541F"/>
    <w:pPr>
      <w:numPr>
        <w:numId w:val="41"/>
      </w:numPr>
      <w:spacing w:before="0" w:after="120" w:line="288" w:lineRule="auto"/>
      <w:ind w:left="284" w:hanging="284"/>
    </w:pPr>
  </w:style>
  <w:style w:type="paragraph" w:customStyle="1" w:styleId="TableBullet2">
    <w:name w:val="Table Bullet 2"/>
    <w:basedOn w:val="ListBullet2"/>
    <w:link w:val="TableBullet2Char"/>
    <w:qFormat/>
    <w:rsid w:val="00E03B00"/>
    <w:pPr>
      <w:numPr>
        <w:ilvl w:val="0"/>
        <w:numId w:val="0"/>
      </w:numPr>
      <w:spacing w:after="0"/>
      <w:ind w:left="567" w:hanging="283"/>
    </w:pPr>
  </w:style>
  <w:style w:type="character" w:customStyle="1" w:styleId="ListBulletChar">
    <w:name w:val="List Bullet Char"/>
    <w:basedOn w:val="DefaultParagraphFont"/>
    <w:link w:val="ListBullet"/>
    <w:uiPriority w:val="99"/>
    <w:rsid w:val="00ED1290"/>
    <w:rPr>
      <w:lang w:val="en-AU"/>
    </w:rPr>
  </w:style>
  <w:style w:type="character" w:customStyle="1" w:styleId="TableBulletChar">
    <w:name w:val="Table Bullet Char"/>
    <w:basedOn w:val="ListBulletChar"/>
    <w:link w:val="TableBullet"/>
    <w:rsid w:val="00B3541F"/>
    <w:rPr>
      <w:lang w:val="en-AU"/>
    </w:rPr>
  </w:style>
  <w:style w:type="numbering" w:customStyle="1" w:styleId="TableBullets">
    <w:name w:val="Table Bullets"/>
    <w:uiPriority w:val="99"/>
    <w:rsid w:val="00E03B00"/>
    <w:pPr>
      <w:numPr>
        <w:numId w:val="26"/>
      </w:numPr>
    </w:pPr>
  </w:style>
  <w:style w:type="character" w:customStyle="1" w:styleId="ListBullet2Char">
    <w:name w:val="List Bullet 2 Char"/>
    <w:basedOn w:val="DefaultParagraphFont"/>
    <w:link w:val="ListBullet2"/>
    <w:uiPriority w:val="99"/>
    <w:rsid w:val="00E03B00"/>
  </w:style>
  <w:style w:type="character" w:customStyle="1" w:styleId="TableBullet2Char">
    <w:name w:val="Table Bullet 2 Char"/>
    <w:basedOn w:val="ListBullet2Char"/>
    <w:link w:val="TableBullet2"/>
    <w:rsid w:val="00E03B00"/>
    <w:rPr>
      <w:lang w:val="en-AU"/>
    </w:rPr>
  </w:style>
  <w:style w:type="paragraph" w:customStyle="1" w:styleId="TableListNumber">
    <w:name w:val="Table List Number"/>
    <w:basedOn w:val="TableBullet"/>
    <w:link w:val="TableListNumberChar"/>
    <w:qFormat/>
    <w:rsid w:val="00E03B00"/>
  </w:style>
  <w:style w:type="paragraph" w:customStyle="1" w:styleId="TableListNumber2">
    <w:name w:val="Table List Number 2"/>
    <w:basedOn w:val="TableListNumber"/>
    <w:link w:val="TableListNumber2Char"/>
    <w:qFormat/>
    <w:rsid w:val="00E03B00"/>
    <w:pPr>
      <w:ind w:left="567" w:hanging="283"/>
    </w:pPr>
  </w:style>
  <w:style w:type="character" w:customStyle="1" w:styleId="TableListNumberChar">
    <w:name w:val="Table List Number Char"/>
    <w:basedOn w:val="TableBulletChar"/>
    <w:link w:val="TableListNumber"/>
    <w:rsid w:val="00E03B00"/>
    <w:rPr>
      <w:lang w:val="en-AU"/>
    </w:rPr>
  </w:style>
  <w:style w:type="character" w:customStyle="1" w:styleId="TableListNumber2Char">
    <w:name w:val="Table List Number 2 Char"/>
    <w:basedOn w:val="TableListNumberChar"/>
    <w:link w:val="TableListNumber2"/>
    <w:rsid w:val="00E03B00"/>
    <w:rPr>
      <w:lang w:val="en-AU"/>
    </w:rPr>
  </w:style>
  <w:style w:type="table" w:customStyle="1" w:styleId="TwoColumnImage">
    <w:name w:val="Two Column Image"/>
    <w:basedOn w:val="TableNormal"/>
    <w:uiPriority w:val="99"/>
    <w:rsid w:val="0043066B"/>
    <w:pPr>
      <w:spacing w:after="0" w:line="240" w:lineRule="auto"/>
    </w:pPr>
    <w:tblPr>
      <w:tblCellMar>
        <w:left w:w="0" w:type="dxa"/>
        <w:right w:w="170" w:type="dxa"/>
      </w:tblCellMar>
    </w:tblPr>
  </w:style>
  <w:style w:type="paragraph" w:customStyle="1" w:styleId="PageNumberBox">
    <w:name w:val="Page Number Box"/>
    <w:basedOn w:val="NoSpacing"/>
    <w:semiHidden/>
    <w:qFormat/>
    <w:rsid w:val="006E6B2B"/>
    <w:pPr>
      <w:framePr w:hSpace="57" w:wrap="around" w:hAnchor="text" w:xAlign="right" w:yAlign="bottom"/>
      <w:suppressOverlap/>
      <w:jc w:val="center"/>
    </w:pPr>
  </w:style>
  <w:style w:type="paragraph" w:customStyle="1" w:styleId="FooterSpace">
    <w:name w:val="Footer Space"/>
    <w:basedOn w:val="Footer"/>
    <w:semiHidden/>
    <w:qFormat/>
    <w:rsid w:val="00E9393A"/>
    <w:pPr>
      <w:spacing w:before="480"/>
    </w:pPr>
  </w:style>
  <w:style w:type="paragraph" w:customStyle="1" w:styleId="Pa2">
    <w:name w:val="Pa2"/>
    <w:basedOn w:val="Normal"/>
    <w:next w:val="Normal"/>
    <w:uiPriority w:val="99"/>
    <w:semiHidden/>
    <w:rsid w:val="002C2ADF"/>
    <w:pPr>
      <w:autoSpaceDE w:val="0"/>
      <w:autoSpaceDN w:val="0"/>
      <w:adjustRightInd w:val="0"/>
      <w:spacing w:after="0" w:line="201" w:lineRule="atLeast"/>
    </w:pPr>
    <w:rPr>
      <w:rFonts w:ascii="Arial" w:hAnsi="Arial" w:cs="Arial"/>
      <w:sz w:val="24"/>
      <w:szCs w:val="24"/>
      <w:lang w:val="en-GB"/>
    </w:rPr>
  </w:style>
  <w:style w:type="paragraph" w:styleId="FootnoteText">
    <w:name w:val="footnote text"/>
    <w:basedOn w:val="Normal"/>
    <w:link w:val="FootnoteTextChar"/>
    <w:uiPriority w:val="99"/>
    <w:unhideWhenUsed/>
    <w:rsid w:val="002815BB"/>
    <w:pPr>
      <w:tabs>
        <w:tab w:val="left" w:pos="284"/>
      </w:tabs>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2815BB"/>
    <w:rPr>
      <w:sz w:val="18"/>
      <w:szCs w:val="20"/>
      <w:lang w:val="en-AU"/>
    </w:rPr>
  </w:style>
  <w:style w:type="character" w:styleId="FootnoteReference">
    <w:name w:val="footnote reference"/>
    <w:aliases w:val="(NECG) Footnote Reference"/>
    <w:basedOn w:val="DefaultParagraphFont"/>
    <w:uiPriority w:val="99"/>
    <w:unhideWhenUsed/>
    <w:rsid w:val="00E9393A"/>
    <w:rPr>
      <w:vertAlign w:val="superscript"/>
    </w:rPr>
  </w:style>
  <w:style w:type="paragraph" w:customStyle="1" w:styleId="Figure-Table-BoxHeading">
    <w:name w:val="Figure-Table-Box Heading"/>
    <w:link w:val="Figure-Table-BoxHeadingChar"/>
    <w:qFormat/>
    <w:rsid w:val="00CF34D6"/>
    <w:pPr>
      <w:spacing w:before="120" w:after="120" w:line="432" w:lineRule="auto"/>
      <w:ind w:left="851" w:hanging="851"/>
    </w:pPr>
    <w:rPr>
      <w:rFonts w:asciiTheme="majorHAnsi" w:eastAsiaTheme="majorEastAsia" w:hAnsiTheme="majorHAnsi" w:cstheme="majorBidi"/>
      <w:b/>
      <w:color w:val="4986A0" w:themeColor="text2"/>
      <w:szCs w:val="24"/>
    </w:rPr>
  </w:style>
  <w:style w:type="paragraph" w:customStyle="1" w:styleId="Figure-Table-BoxSubtitle">
    <w:name w:val="Figure-Table-Box Subtitle"/>
    <w:basedOn w:val="Figure-Table-BoxHeading"/>
    <w:link w:val="Figure-Table-BoxSubtitleChar"/>
    <w:qFormat/>
    <w:rsid w:val="00DC3BE7"/>
    <w:pPr>
      <w:ind w:firstLine="0"/>
    </w:pPr>
    <w:rPr>
      <w:b w:val="0"/>
    </w:rPr>
  </w:style>
  <w:style w:type="character" w:customStyle="1" w:styleId="Figure-Table-BoxHeadingChar">
    <w:name w:val="Figure-Table-Box Heading Char"/>
    <w:basedOn w:val="Heading3Char"/>
    <w:link w:val="Figure-Table-BoxHeading"/>
    <w:rsid w:val="00CF34D6"/>
    <w:rPr>
      <w:rFonts w:asciiTheme="majorHAnsi" w:eastAsiaTheme="majorEastAsia" w:hAnsiTheme="majorHAnsi" w:cstheme="majorBidi"/>
      <w:b/>
      <w:color w:val="4986A0" w:themeColor="text2"/>
      <w:szCs w:val="24"/>
    </w:rPr>
  </w:style>
  <w:style w:type="paragraph" w:customStyle="1" w:styleId="Heading3numbered">
    <w:name w:val="Heading 3 numbered"/>
    <w:basedOn w:val="Heading3"/>
    <w:next w:val="Normal"/>
    <w:link w:val="Heading3numberedChar"/>
    <w:qFormat/>
    <w:rsid w:val="005F5578"/>
    <w:pPr>
      <w:ind w:left="1134" w:hanging="1134"/>
    </w:pPr>
  </w:style>
  <w:style w:type="character" w:customStyle="1" w:styleId="Figure-Table-BoxSubtitleChar">
    <w:name w:val="Figure-Table-Box Subtitle Char"/>
    <w:basedOn w:val="Figure-Table-BoxHeadingChar"/>
    <w:link w:val="Figure-Table-BoxSubtitle"/>
    <w:rsid w:val="00DC3BE7"/>
    <w:rPr>
      <w:rFonts w:asciiTheme="majorHAnsi" w:eastAsiaTheme="majorEastAsia" w:hAnsiTheme="majorHAnsi" w:cstheme="majorBidi"/>
      <w:b w:val="0"/>
      <w:color w:val="4986A0" w:themeColor="text2"/>
      <w:szCs w:val="24"/>
    </w:rPr>
  </w:style>
  <w:style w:type="character" w:customStyle="1" w:styleId="Heading4Char">
    <w:name w:val="Heading 4 Char"/>
    <w:basedOn w:val="DefaultParagraphFont"/>
    <w:link w:val="Heading4"/>
    <w:uiPriority w:val="9"/>
    <w:rsid w:val="002E7385"/>
    <w:rPr>
      <w:rFonts w:ascii="Tahoma" w:eastAsiaTheme="majorEastAsia" w:hAnsi="Tahoma" w:cstheme="majorBidi"/>
      <w:b/>
      <w:iCs/>
      <w:color w:val="75787B" w:themeColor="background2"/>
    </w:rPr>
  </w:style>
  <w:style w:type="character" w:customStyle="1" w:styleId="Heading3numberedChar">
    <w:name w:val="Heading 3 numbered Char"/>
    <w:basedOn w:val="Heading3Char"/>
    <w:link w:val="Heading3numbered"/>
    <w:rsid w:val="005F5578"/>
    <w:rPr>
      <w:rFonts w:ascii="Tahoma" w:eastAsiaTheme="majorEastAsia" w:hAnsi="Tahoma" w:cstheme="majorBidi"/>
      <w:b/>
      <w:color w:val="4986A0" w:themeColor="text2"/>
      <w:szCs w:val="24"/>
      <w:lang w:val="en-AU"/>
    </w:rPr>
  </w:style>
  <w:style w:type="numbering" w:customStyle="1" w:styleId="ListLetters">
    <w:name w:val="ListLetters"/>
    <w:uiPriority w:val="99"/>
    <w:rsid w:val="009B583F"/>
    <w:pPr>
      <w:numPr>
        <w:numId w:val="32"/>
      </w:numPr>
    </w:pPr>
  </w:style>
  <w:style w:type="paragraph" w:styleId="Caption">
    <w:name w:val="caption"/>
    <w:basedOn w:val="Normal"/>
    <w:next w:val="Normal"/>
    <w:uiPriority w:val="35"/>
    <w:unhideWhenUsed/>
    <w:qFormat/>
    <w:rsid w:val="00232581"/>
    <w:pPr>
      <w:spacing w:before="120"/>
    </w:pPr>
    <w:rPr>
      <w:iCs/>
      <w:color w:val="4986A0" w:themeColor="text2"/>
      <w:sz w:val="18"/>
      <w:szCs w:val="18"/>
    </w:rPr>
  </w:style>
  <w:style w:type="paragraph" w:customStyle="1" w:styleId="Source">
    <w:name w:val="Source"/>
    <w:basedOn w:val="Caption"/>
    <w:qFormat/>
    <w:rsid w:val="00232581"/>
    <w:pPr>
      <w:jc w:val="right"/>
    </w:pPr>
  </w:style>
  <w:style w:type="paragraph" w:customStyle="1" w:styleId="Pull-outHeading">
    <w:name w:val="Pull-out Heading"/>
    <w:basedOn w:val="Pull-out"/>
    <w:qFormat/>
    <w:rsid w:val="00BD19DB"/>
    <w:rPr>
      <w:b/>
      <w:bCs/>
    </w:rPr>
  </w:style>
  <w:style w:type="paragraph" w:customStyle="1" w:styleId="Pull-outBullet1">
    <w:name w:val="Pull-out Bullet 1"/>
    <w:basedOn w:val="Pull-out"/>
    <w:qFormat/>
    <w:rsid w:val="00BD19DB"/>
    <w:pPr>
      <w:numPr>
        <w:numId w:val="34"/>
      </w:numPr>
      <w:ind w:left="482"/>
    </w:pPr>
  </w:style>
  <w:style w:type="paragraph" w:customStyle="1" w:styleId="Pull-outBullet2">
    <w:name w:val="Pull-out Bullet 2"/>
    <w:basedOn w:val="Pull-outBullet1"/>
    <w:qFormat/>
    <w:rsid w:val="00BD19DB"/>
    <w:pPr>
      <w:numPr>
        <w:ilvl w:val="1"/>
      </w:numPr>
      <w:ind w:left="482" w:hanging="284"/>
    </w:pPr>
  </w:style>
  <w:style w:type="paragraph" w:customStyle="1" w:styleId="Pull-outListNumber1">
    <w:name w:val="Pull-out List Number 1"/>
    <w:basedOn w:val="Pull-outBullet2"/>
    <w:qFormat/>
    <w:rsid w:val="00BD19DB"/>
    <w:pPr>
      <w:numPr>
        <w:ilvl w:val="2"/>
      </w:numPr>
      <w:ind w:left="482"/>
    </w:pPr>
  </w:style>
  <w:style w:type="paragraph" w:customStyle="1" w:styleId="Pull-outListNumber2">
    <w:name w:val="Pull-out List Number 2"/>
    <w:basedOn w:val="Pull-outListNumber1"/>
    <w:qFormat/>
    <w:rsid w:val="00BD19DB"/>
    <w:pPr>
      <w:numPr>
        <w:ilvl w:val="3"/>
      </w:numPr>
      <w:ind w:left="765"/>
    </w:pPr>
  </w:style>
  <w:style w:type="numbering" w:customStyle="1" w:styleId="Pull-outlists">
    <w:name w:val="Pull-out lists"/>
    <w:uiPriority w:val="99"/>
    <w:rsid w:val="00BD19DB"/>
    <w:pPr>
      <w:numPr>
        <w:numId w:val="34"/>
      </w:numPr>
    </w:pPr>
  </w:style>
  <w:style w:type="paragraph" w:styleId="TOC4">
    <w:name w:val="toc 4"/>
    <w:basedOn w:val="Normal"/>
    <w:next w:val="Normal"/>
    <w:autoRedefine/>
    <w:uiPriority w:val="39"/>
    <w:rsid w:val="0001506F"/>
    <w:pPr>
      <w:tabs>
        <w:tab w:val="right" w:pos="9582"/>
      </w:tabs>
      <w:adjustRightInd w:val="0"/>
      <w:spacing w:before="80" w:after="40" w:line="288" w:lineRule="auto"/>
      <w:ind w:left="992" w:right="567" w:hanging="567"/>
      <w:contextualSpacing/>
    </w:pPr>
    <w:rPr>
      <w:noProof/>
    </w:rPr>
  </w:style>
  <w:style w:type="paragraph" w:customStyle="1" w:styleId="CC07A0386FA64D568AFDD5FEA5383BC7">
    <w:name w:val="CC07A0386FA64D568AFDD5FEA5383BC7"/>
    <w:semiHidden/>
    <w:locked/>
    <w:rsid w:val="008A7A8E"/>
    <w:rPr>
      <w:rFonts w:eastAsiaTheme="minorEastAsia"/>
    </w:rPr>
  </w:style>
  <w:style w:type="paragraph" w:styleId="TOC5">
    <w:name w:val="toc 5"/>
    <w:basedOn w:val="Normal"/>
    <w:next w:val="Normal"/>
    <w:autoRedefine/>
    <w:uiPriority w:val="39"/>
    <w:rsid w:val="00E84BB6"/>
    <w:pPr>
      <w:tabs>
        <w:tab w:val="left" w:pos="1985"/>
        <w:tab w:val="right" w:pos="9582"/>
      </w:tabs>
      <w:spacing w:before="40" w:after="40" w:line="288" w:lineRule="auto"/>
      <w:ind w:left="1276" w:right="567"/>
      <w:contextualSpacing/>
    </w:pPr>
  </w:style>
  <w:style w:type="paragraph" w:styleId="TOC6">
    <w:name w:val="toc 6"/>
    <w:basedOn w:val="Normal"/>
    <w:next w:val="Normal"/>
    <w:autoRedefine/>
    <w:uiPriority w:val="39"/>
    <w:rsid w:val="00BE4631"/>
    <w:pPr>
      <w:tabs>
        <w:tab w:val="right" w:pos="9582"/>
      </w:tabs>
      <w:spacing w:before="40" w:after="40" w:line="288" w:lineRule="auto"/>
      <w:ind w:left="1702" w:right="567" w:hanging="709"/>
    </w:pPr>
  </w:style>
  <w:style w:type="character" w:customStyle="1" w:styleId="Heading5Char">
    <w:name w:val="Heading 5 Char"/>
    <w:basedOn w:val="DefaultParagraphFont"/>
    <w:link w:val="Heading5"/>
    <w:uiPriority w:val="9"/>
    <w:rsid w:val="006A0547"/>
    <w:rPr>
      <w:rFonts w:asciiTheme="majorHAnsi" w:eastAsiaTheme="majorEastAsia" w:hAnsiTheme="majorHAnsi" w:cstheme="majorBidi"/>
      <w:i/>
      <w:color w:val="113048" w:themeColor="accent1" w:themeShade="7F"/>
      <w:lang w:val="en-AU"/>
    </w:rPr>
  </w:style>
  <w:style w:type="character" w:customStyle="1" w:styleId="Legislationquote">
    <w:name w:val="Legislation quote"/>
    <w:basedOn w:val="DefaultParagraphFont"/>
    <w:uiPriority w:val="1"/>
    <w:qFormat/>
    <w:rsid w:val="00F260CA"/>
    <w:rPr>
      <w:color w:val="FF4895" w:themeColor="accent2" w:themeTint="99"/>
    </w:rPr>
  </w:style>
  <w:style w:type="paragraph" w:styleId="TOC7">
    <w:name w:val="toc 7"/>
    <w:basedOn w:val="Normal"/>
    <w:next w:val="Normal"/>
    <w:autoRedefine/>
    <w:uiPriority w:val="39"/>
    <w:semiHidden/>
    <w:unhideWhenUsed/>
    <w:rsid w:val="00936B74"/>
    <w:pPr>
      <w:spacing w:before="40" w:after="40" w:line="288" w:lineRule="auto"/>
      <w:ind w:left="1321"/>
    </w:pPr>
  </w:style>
  <w:style w:type="paragraph" w:styleId="TOC8">
    <w:name w:val="toc 8"/>
    <w:basedOn w:val="Normal"/>
    <w:next w:val="Normal"/>
    <w:autoRedefine/>
    <w:uiPriority w:val="39"/>
    <w:semiHidden/>
    <w:unhideWhenUsed/>
    <w:rsid w:val="00936B74"/>
    <w:pPr>
      <w:spacing w:before="40" w:after="40" w:line="288" w:lineRule="auto"/>
      <w:ind w:left="1542"/>
    </w:pPr>
  </w:style>
  <w:style w:type="paragraph" w:styleId="TOC9">
    <w:name w:val="toc 9"/>
    <w:basedOn w:val="Normal"/>
    <w:next w:val="Normal"/>
    <w:autoRedefine/>
    <w:uiPriority w:val="39"/>
    <w:semiHidden/>
    <w:unhideWhenUsed/>
    <w:rsid w:val="00936B74"/>
    <w:pPr>
      <w:spacing w:before="40" w:after="40" w:line="288" w:lineRule="auto"/>
      <w:ind w:left="1758"/>
    </w:pPr>
  </w:style>
  <w:style w:type="character" w:styleId="UnresolvedMention">
    <w:name w:val="Unresolved Mention"/>
    <w:basedOn w:val="DefaultParagraphFont"/>
    <w:uiPriority w:val="99"/>
    <w:semiHidden/>
    <w:unhideWhenUsed/>
    <w:rsid w:val="00141DAC"/>
    <w:rPr>
      <w:color w:val="605E5C"/>
      <w:shd w:val="clear" w:color="auto" w:fill="E1DFDD"/>
    </w:rPr>
  </w:style>
  <w:style w:type="character" w:styleId="FollowedHyperlink">
    <w:name w:val="FollowedHyperlink"/>
    <w:basedOn w:val="DefaultParagraphFont"/>
    <w:uiPriority w:val="99"/>
    <w:semiHidden/>
    <w:unhideWhenUsed/>
    <w:rsid w:val="00E16796"/>
    <w:rPr>
      <w:color w:val="000000" w:themeColor="followedHyperlink"/>
      <w:u w:val="single"/>
    </w:rPr>
  </w:style>
  <w:style w:type="character" w:styleId="CommentReference">
    <w:name w:val="annotation reference"/>
    <w:basedOn w:val="DefaultParagraphFont"/>
    <w:uiPriority w:val="99"/>
    <w:semiHidden/>
    <w:unhideWhenUsed/>
    <w:rsid w:val="00F82F28"/>
    <w:rPr>
      <w:sz w:val="16"/>
      <w:szCs w:val="16"/>
    </w:rPr>
  </w:style>
  <w:style w:type="paragraph" w:styleId="CommentText">
    <w:name w:val="annotation text"/>
    <w:basedOn w:val="Normal"/>
    <w:link w:val="CommentTextChar"/>
    <w:uiPriority w:val="99"/>
    <w:unhideWhenUsed/>
    <w:rsid w:val="00F82F28"/>
    <w:pPr>
      <w:spacing w:line="240" w:lineRule="auto"/>
    </w:pPr>
    <w:rPr>
      <w:sz w:val="20"/>
      <w:szCs w:val="20"/>
    </w:rPr>
  </w:style>
  <w:style w:type="character" w:customStyle="1" w:styleId="CommentTextChar">
    <w:name w:val="Comment Text Char"/>
    <w:basedOn w:val="DefaultParagraphFont"/>
    <w:link w:val="CommentText"/>
    <w:uiPriority w:val="99"/>
    <w:rsid w:val="00F82F28"/>
    <w:rPr>
      <w:sz w:val="20"/>
      <w:szCs w:val="20"/>
      <w:lang w:val="en-AU"/>
    </w:rPr>
  </w:style>
  <w:style w:type="paragraph" w:styleId="CommentSubject">
    <w:name w:val="annotation subject"/>
    <w:basedOn w:val="CommentText"/>
    <w:next w:val="CommentText"/>
    <w:link w:val="CommentSubjectChar"/>
    <w:uiPriority w:val="99"/>
    <w:semiHidden/>
    <w:unhideWhenUsed/>
    <w:rsid w:val="00F82F28"/>
    <w:rPr>
      <w:b/>
      <w:bCs/>
    </w:rPr>
  </w:style>
  <w:style w:type="character" w:customStyle="1" w:styleId="CommentSubjectChar">
    <w:name w:val="Comment Subject Char"/>
    <w:basedOn w:val="CommentTextChar"/>
    <w:link w:val="CommentSubject"/>
    <w:uiPriority w:val="99"/>
    <w:semiHidden/>
    <w:rsid w:val="00F82F28"/>
    <w:rPr>
      <w:b/>
      <w:bCs/>
      <w:sz w:val="20"/>
      <w:szCs w:val="20"/>
      <w:lang w:val="en-AU"/>
    </w:rPr>
  </w:style>
  <w:style w:type="character" w:styleId="Mention">
    <w:name w:val="Mention"/>
    <w:basedOn w:val="DefaultParagraphFont"/>
    <w:uiPriority w:val="99"/>
    <w:unhideWhenUsed/>
    <w:rsid w:val="00665BF3"/>
    <w:rPr>
      <w:color w:val="2B579A"/>
      <w:shd w:val="clear" w:color="auto" w:fill="E1DFDD"/>
    </w:rPr>
  </w:style>
  <w:style w:type="paragraph" w:styleId="Revision">
    <w:name w:val="Revision"/>
    <w:hidden/>
    <w:uiPriority w:val="99"/>
    <w:semiHidden/>
    <w:rsid w:val="00FD2F59"/>
    <w:pPr>
      <w:spacing w:after="0" w:line="240" w:lineRule="auto"/>
    </w:pPr>
    <w:rPr>
      <w:lang w:val="en-AU"/>
    </w:rPr>
  </w:style>
  <w:style w:type="table" w:customStyle="1" w:styleId="TableGrid2">
    <w:name w:val="Table Grid2"/>
    <w:basedOn w:val="TableNormal"/>
    <w:next w:val="TableGrid"/>
    <w:uiPriority w:val="39"/>
    <w:rsid w:val="00B13D78"/>
    <w:pPr>
      <w:spacing w:after="0" w:line="240" w:lineRule="auto"/>
    </w:pPr>
    <w:tblPr>
      <w:tblStyleRowBandSize w:val="1"/>
      <w:tblBorders>
        <w:insideH w:val="single" w:sz="8" w:space="0" w:color="FFFFFF" w:themeColor="background1"/>
      </w:tblBorders>
      <w:tblCellMar>
        <w:top w:w="85" w:type="dxa"/>
        <w:left w:w="85" w:type="dxa"/>
        <w:bottom w:w="85" w:type="dxa"/>
        <w:right w:w="57" w:type="dxa"/>
      </w:tblCellMar>
    </w:tblPr>
    <w:tblStylePr w:type="firstRow">
      <w:rPr>
        <w:b/>
        <w:color w:val="FFFFFF" w:themeColor="background1"/>
      </w:rPr>
      <w:tblPr/>
      <w:tcPr>
        <w:shd w:val="clear" w:color="auto" w:fill="4986A0" w:themeFill="text2"/>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E3E3E4" w:themeFill="background2" w:themeFillTint="33"/>
      </w:tcPr>
    </w:tblStylePr>
  </w:style>
  <w:style w:type="character" w:customStyle="1" w:styleId="ui-provider">
    <w:name w:val="ui-provider"/>
    <w:basedOn w:val="DefaultParagraphFont"/>
    <w:rsid w:val="00EE48E6"/>
  </w:style>
  <w:style w:type="table" w:customStyle="1" w:styleId="TableGrid1">
    <w:name w:val="Table Grid1"/>
    <w:basedOn w:val="TableNormal"/>
    <w:next w:val="TableGrid"/>
    <w:uiPriority w:val="39"/>
    <w:rsid w:val="00331CF7"/>
    <w:pPr>
      <w:spacing w:after="0" w:line="240" w:lineRule="auto"/>
    </w:pPr>
    <w:tblPr>
      <w:tblStyleRowBandSize w:val="1"/>
      <w:tblBorders>
        <w:insideH w:val="single" w:sz="8" w:space="0" w:color="FFFFFF"/>
      </w:tblBorders>
      <w:tblCellMar>
        <w:top w:w="85" w:type="dxa"/>
        <w:left w:w="85" w:type="dxa"/>
        <w:bottom w:w="85" w:type="dxa"/>
        <w:right w:w="57" w:type="dxa"/>
      </w:tblCellMar>
    </w:tblPr>
    <w:tblStylePr w:type="firstRow">
      <w:rPr>
        <w:b/>
        <w:color w:val="FFFFFF"/>
      </w:rPr>
      <w:tblPr/>
      <w:tcPr>
        <w:shd w:val="clear" w:color="auto" w:fill="4986A0"/>
      </w:tcPr>
    </w:tblStylePr>
    <w:tblStylePr w:type="lastRow">
      <w:rPr>
        <w:b/>
      </w:rPr>
      <w:tblPr/>
      <w:tcPr>
        <w:tcBorders>
          <w:top w:val="nil"/>
          <w:left w:val="nil"/>
          <w:bottom w:val="nil"/>
          <w:right w:val="nil"/>
          <w:insideH w:val="nil"/>
          <w:insideV w:val="nil"/>
          <w:tl2br w:val="nil"/>
          <w:tr2bl w:val="nil"/>
        </w:tcBorders>
        <w:shd w:val="clear" w:color="auto" w:fill="F2F2F2"/>
      </w:tcPr>
    </w:tblStylePr>
    <w:tblStylePr w:type="band1Horz">
      <w:tblPr/>
      <w:tcPr>
        <w:shd w:val="clear" w:color="auto" w:fill="F2F2F2"/>
      </w:tcPr>
    </w:tblStylePr>
    <w:tblStylePr w:type="band2Horz">
      <w:tblPr/>
      <w:tcPr>
        <w:shd w:val="clear" w:color="auto" w:fill="E3E3E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88428">
      <w:bodyDiv w:val="1"/>
      <w:marLeft w:val="0"/>
      <w:marRight w:val="0"/>
      <w:marTop w:val="0"/>
      <w:marBottom w:val="0"/>
      <w:divBdr>
        <w:top w:val="none" w:sz="0" w:space="0" w:color="auto"/>
        <w:left w:val="none" w:sz="0" w:space="0" w:color="auto"/>
        <w:bottom w:val="none" w:sz="0" w:space="0" w:color="auto"/>
        <w:right w:val="none" w:sz="0" w:space="0" w:color="auto"/>
      </w:divBdr>
    </w:div>
    <w:div w:id="1227105766">
      <w:bodyDiv w:val="1"/>
      <w:marLeft w:val="0"/>
      <w:marRight w:val="0"/>
      <w:marTop w:val="0"/>
      <w:marBottom w:val="0"/>
      <w:divBdr>
        <w:top w:val="none" w:sz="0" w:space="0" w:color="auto"/>
        <w:left w:val="none" w:sz="0" w:space="0" w:color="auto"/>
        <w:bottom w:val="none" w:sz="0" w:space="0" w:color="auto"/>
        <w:right w:val="none" w:sz="0" w:space="0" w:color="auto"/>
      </w:divBdr>
    </w:div>
    <w:div w:id="186871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footer" Target="footer7.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footer" Target="footer1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engage.vic.gov.au/water-price-review-202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svg"/><Relationship Id="rId32" Type="http://schemas.openxmlformats.org/officeDocument/2006/relationships/footer" Target="footer9.xml"/><Relationship Id="rId37" Type="http://schemas.openxmlformats.org/officeDocument/2006/relationships/chart" Target="charts/chart2.xml"/><Relationship Id="rId40" Type="http://schemas.openxmlformats.org/officeDocument/2006/relationships/footer" Target="footer15.xm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6.svg"/><Relationship Id="rId36"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8.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hyperlink" Target="https://engage.vic.gov.au/water-price-review-2023" TargetMode="External"/><Relationship Id="rId35" Type="http://schemas.openxmlformats.org/officeDocument/2006/relationships/footer" Target="footer12.xml"/><Relationship Id="rId43" Type="http://schemas.openxmlformats.org/officeDocument/2006/relationships/footer" Target="footer1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creativecommons.org/licenses/by/4.0/" TargetMode="External"/><Relationship Id="rId25" Type="http://schemas.openxmlformats.org/officeDocument/2006/relationships/hyperlink" Target="https://engage.vic.gov.au/water-price-review-2024" TargetMode="External"/><Relationship Id="rId33" Type="http://schemas.openxmlformats.org/officeDocument/2006/relationships/footer" Target="footer10.xml"/><Relationship Id="rId38" Type="http://schemas.openxmlformats.org/officeDocument/2006/relationships/footer" Target="footer13.xml"/><Relationship Id="rId4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footer" Target="footer16.xml"/></Relationships>
</file>

<file path=word/_rels/footnotes.xml.rels><?xml version="1.0" encoding="UTF-8" standalone="yes"?>
<Relationships xmlns="http://schemas.openxmlformats.org/package/2006/relationships"><Relationship Id="rId3" Type="http://schemas.openxmlformats.org/officeDocument/2006/relationships/hyperlink" Target="https://www.esc.vic.gov.au/water/sector-performance-and-reporting/how-customers-rate-their-water-business" TargetMode="External"/><Relationship Id="rId2" Type="http://schemas.openxmlformats.org/officeDocument/2006/relationships/hyperlink" Target="https://escvic.sharepoint.com/teams/2023WaterPriceReview/Shared%20Documents/PMs%20and%20Project%20management/Decision%20paper%20templates%20-%20working%20files/www.esc.vic.gov.au" TargetMode="External"/><Relationship Id="rId1" Type="http://schemas.openxmlformats.org/officeDocument/2006/relationships/hyperlink" Target="https://www.esc.vic.gov.au/water/water-prices-tariffs-and-special-drainage/water-price-reviews/water-price-review-2024/greater-western-water-price-review-202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'Dashboard - Data'!$C$175</c:f>
              <c:strCache>
                <c:ptCount val="1"/>
                <c:pt idx="0">
                  <c:v>FD 2018/20 Benchmarks</c:v>
                </c:pt>
              </c:strCache>
            </c:strRef>
          </c:tx>
          <c:spPr>
            <a:ln w="38100" cap="rnd" cmpd="sng" algn="ctr">
              <a:solidFill>
                <a:schemeClr val="tx2">
                  <a:lumMod val="75000"/>
                </a:schemeClr>
              </a:solidFill>
              <a:round/>
            </a:ln>
            <a:effectLst/>
          </c:spPr>
          <c:marker>
            <c:symbol val="none"/>
          </c:marker>
          <c:cat>
            <c:strRef>
              <c:f>'Dashboard - Data'!$D$174:$N$174</c:f>
              <c:strCache>
                <c:ptCount val="11"/>
                <c:pt idx="0">
                  <c:v>2017-18</c:v>
                </c:pt>
                <c:pt idx="1">
                  <c:v>2018-19</c:v>
                </c:pt>
                <c:pt idx="2">
                  <c:v>2019-20</c:v>
                </c:pt>
                <c:pt idx="3">
                  <c:v>2020-21</c:v>
                </c:pt>
                <c:pt idx="4">
                  <c:v>2021-22</c:v>
                </c:pt>
                <c:pt idx="5">
                  <c:v>2022-23</c:v>
                </c:pt>
                <c:pt idx="6">
                  <c:v>2023-24</c:v>
                </c:pt>
                <c:pt idx="7">
                  <c:v>2024-25</c:v>
                </c:pt>
                <c:pt idx="8">
                  <c:v>2025-26</c:v>
                </c:pt>
                <c:pt idx="9">
                  <c:v>2026-27</c:v>
                </c:pt>
                <c:pt idx="10">
                  <c:v>2027-28</c:v>
                </c:pt>
              </c:strCache>
            </c:strRef>
          </c:cat>
          <c:val>
            <c:numRef>
              <c:f>'Dashboard - Data'!$D$175:$N$175</c:f>
              <c:numCache>
                <c:formatCode>0.00</c:formatCode>
                <c:ptCount val="11"/>
                <c:pt idx="0">
                  <c:v>170.32216528905374</c:v>
                </c:pt>
                <c:pt idx="1">
                  <c:v>177.46399418602908</c:v>
                </c:pt>
                <c:pt idx="2">
                  <c:v>176.5229841232626</c:v>
                </c:pt>
                <c:pt idx="3">
                  <c:v>180.27320357637046</c:v>
                </c:pt>
                <c:pt idx="4">
                  <c:v>183.08028245012926</c:v>
                </c:pt>
                <c:pt idx="5">
                  <c:v>184.14255167070502</c:v>
                </c:pt>
                <c:pt idx="6">
                  <c:v>188.8205545393044</c:v>
                </c:pt>
              </c:numCache>
            </c:numRef>
          </c:val>
          <c:smooth val="1"/>
          <c:extLst>
            <c:ext xmlns:c16="http://schemas.microsoft.com/office/drawing/2014/chart" uri="{C3380CC4-5D6E-409C-BE32-E72D297353CC}">
              <c16:uniqueId val="{00000000-E10C-4A24-A1EB-2C217D39977F}"/>
            </c:ext>
          </c:extLst>
        </c:ser>
        <c:ser>
          <c:idx val="3"/>
          <c:order val="1"/>
          <c:tx>
            <c:strRef>
              <c:f>'Dashboard - Data'!$C$176</c:f>
              <c:strCache>
                <c:ptCount val="1"/>
                <c:pt idx="0">
                  <c:v>FD 2018/20 Forecast</c:v>
                </c:pt>
              </c:strCache>
            </c:strRef>
          </c:tx>
          <c:spPr>
            <a:ln w="38100" cap="rnd" cmpd="sng" algn="ctr">
              <a:solidFill>
                <a:srgbClr val="00B0F0"/>
              </a:solidFill>
              <a:round/>
            </a:ln>
            <a:effectLst/>
          </c:spPr>
          <c:marker>
            <c:symbol val="none"/>
          </c:marker>
          <c:cat>
            <c:strRef>
              <c:f>'Dashboard - Data'!$D$174:$N$174</c:f>
              <c:strCache>
                <c:ptCount val="11"/>
                <c:pt idx="0">
                  <c:v>2017-18</c:v>
                </c:pt>
                <c:pt idx="1">
                  <c:v>2018-19</c:v>
                </c:pt>
                <c:pt idx="2">
                  <c:v>2019-20</c:v>
                </c:pt>
                <c:pt idx="3">
                  <c:v>2020-21</c:v>
                </c:pt>
                <c:pt idx="4">
                  <c:v>2021-22</c:v>
                </c:pt>
                <c:pt idx="5">
                  <c:v>2022-23</c:v>
                </c:pt>
                <c:pt idx="6">
                  <c:v>2023-24</c:v>
                </c:pt>
                <c:pt idx="7">
                  <c:v>2024-25</c:v>
                </c:pt>
                <c:pt idx="8">
                  <c:v>2025-26</c:v>
                </c:pt>
                <c:pt idx="9">
                  <c:v>2026-27</c:v>
                </c:pt>
                <c:pt idx="10">
                  <c:v>2027-28</c:v>
                </c:pt>
              </c:strCache>
            </c:strRef>
          </c:cat>
          <c:val>
            <c:numRef>
              <c:f>'Dashboard - Data'!$D$176:$N$176</c:f>
              <c:numCache>
                <c:formatCode>General</c:formatCode>
                <c:ptCount val="11"/>
                <c:pt idx="6" formatCode="0.00">
                  <c:v>188.8205545393044</c:v>
                </c:pt>
                <c:pt idx="7" formatCode="0.00">
                  <c:v>191.2042765580218</c:v>
                </c:pt>
                <c:pt idx="8" formatCode="0.00">
                  <c:v>192.42879240889607</c:v>
                </c:pt>
                <c:pt idx="9" formatCode="0.00">
                  <c:v>194.34084121502011</c:v>
                </c:pt>
                <c:pt idx="10" formatCode="0.00">
                  <c:v>195.93055270893632</c:v>
                </c:pt>
              </c:numCache>
            </c:numRef>
          </c:val>
          <c:smooth val="1"/>
          <c:extLst>
            <c:ext xmlns:c16="http://schemas.microsoft.com/office/drawing/2014/chart" uri="{C3380CC4-5D6E-409C-BE32-E72D297353CC}">
              <c16:uniqueId val="{00000001-E10C-4A24-A1EB-2C217D39977F}"/>
            </c:ext>
          </c:extLst>
        </c:ser>
        <c:ser>
          <c:idx val="1"/>
          <c:order val="2"/>
          <c:tx>
            <c:strRef>
              <c:f>'Dashboard - Data'!$C$177</c:f>
              <c:strCache>
                <c:ptCount val="1"/>
                <c:pt idx="0">
                  <c:v>PS4 Actual (2018-2023)</c:v>
                </c:pt>
              </c:strCache>
            </c:strRef>
          </c:tx>
          <c:spPr>
            <a:ln w="38100" cap="rnd" cmpd="sng" algn="ctr">
              <a:solidFill>
                <a:srgbClr val="FF0000"/>
              </a:solidFill>
              <a:round/>
            </a:ln>
            <a:effectLst/>
          </c:spPr>
          <c:marker>
            <c:symbol val="none"/>
          </c:marker>
          <c:cat>
            <c:strRef>
              <c:f>'Dashboard - Data'!$D$174:$N$174</c:f>
              <c:strCache>
                <c:ptCount val="11"/>
                <c:pt idx="0">
                  <c:v>2017-18</c:v>
                </c:pt>
                <c:pt idx="1">
                  <c:v>2018-19</c:v>
                </c:pt>
                <c:pt idx="2">
                  <c:v>2019-20</c:v>
                </c:pt>
                <c:pt idx="3">
                  <c:v>2020-21</c:v>
                </c:pt>
                <c:pt idx="4">
                  <c:v>2021-22</c:v>
                </c:pt>
                <c:pt idx="5">
                  <c:v>2022-23</c:v>
                </c:pt>
                <c:pt idx="6">
                  <c:v>2023-24</c:v>
                </c:pt>
                <c:pt idx="7">
                  <c:v>2024-25</c:v>
                </c:pt>
                <c:pt idx="8">
                  <c:v>2025-26</c:v>
                </c:pt>
                <c:pt idx="9">
                  <c:v>2026-27</c:v>
                </c:pt>
                <c:pt idx="10">
                  <c:v>2027-28</c:v>
                </c:pt>
              </c:strCache>
            </c:strRef>
          </c:cat>
          <c:val>
            <c:numRef>
              <c:f>'Dashboard - Data'!$D$177:$N$177</c:f>
              <c:numCache>
                <c:formatCode>0.00</c:formatCode>
                <c:ptCount val="11"/>
                <c:pt idx="0">
                  <c:v>170.62439999999998</c:v>
                </c:pt>
                <c:pt idx="1">
                  <c:v>176.34631903798669</c:v>
                </c:pt>
                <c:pt idx="2">
                  <c:v>185.3378839033104</c:v>
                </c:pt>
                <c:pt idx="3">
                  <c:v>195.84434480543933</c:v>
                </c:pt>
                <c:pt idx="4">
                  <c:v>205.80734031110396</c:v>
                </c:pt>
                <c:pt idx="5">
                  <c:v>215.4888835099448</c:v>
                </c:pt>
                <c:pt idx="6">
                  <c:v>216.80749631094312</c:v>
                </c:pt>
              </c:numCache>
            </c:numRef>
          </c:val>
          <c:smooth val="1"/>
          <c:extLst>
            <c:ext xmlns:c16="http://schemas.microsoft.com/office/drawing/2014/chart" uri="{C3380CC4-5D6E-409C-BE32-E72D297353CC}">
              <c16:uniqueId val="{00000002-E10C-4A24-A1EB-2C217D39977F}"/>
            </c:ext>
          </c:extLst>
        </c:ser>
        <c:ser>
          <c:idx val="2"/>
          <c:order val="3"/>
          <c:tx>
            <c:strRef>
              <c:f>'Dashboard - Data'!$C$178</c:f>
              <c:strCache>
                <c:ptCount val="1"/>
                <c:pt idx="0">
                  <c:v>PS5 Proposed</c:v>
                </c:pt>
              </c:strCache>
            </c:strRef>
          </c:tx>
          <c:spPr>
            <a:ln w="38100" cap="rnd" cmpd="sng" algn="ctr">
              <a:solidFill>
                <a:schemeClr val="accent3">
                  <a:lumMod val="75000"/>
                </a:schemeClr>
              </a:solidFill>
              <a:round/>
            </a:ln>
            <a:effectLst/>
          </c:spPr>
          <c:marker>
            <c:symbol val="none"/>
          </c:marker>
          <c:cat>
            <c:strRef>
              <c:f>'Dashboard - Data'!$D$174:$N$174</c:f>
              <c:strCache>
                <c:ptCount val="11"/>
                <c:pt idx="0">
                  <c:v>2017-18</c:v>
                </c:pt>
                <c:pt idx="1">
                  <c:v>2018-19</c:v>
                </c:pt>
                <c:pt idx="2">
                  <c:v>2019-20</c:v>
                </c:pt>
                <c:pt idx="3">
                  <c:v>2020-21</c:v>
                </c:pt>
                <c:pt idx="4">
                  <c:v>2021-22</c:v>
                </c:pt>
                <c:pt idx="5">
                  <c:v>2022-23</c:v>
                </c:pt>
                <c:pt idx="6">
                  <c:v>2023-24</c:v>
                </c:pt>
                <c:pt idx="7">
                  <c:v>2024-25</c:v>
                </c:pt>
                <c:pt idx="8">
                  <c:v>2025-26</c:v>
                </c:pt>
                <c:pt idx="9">
                  <c:v>2026-27</c:v>
                </c:pt>
                <c:pt idx="10">
                  <c:v>2027-28</c:v>
                </c:pt>
              </c:strCache>
            </c:strRef>
          </c:cat>
          <c:val>
            <c:numRef>
              <c:f>'Dashboard - Data'!$D$178:$N$178</c:f>
              <c:numCache>
                <c:formatCode>General</c:formatCode>
                <c:ptCount val="11"/>
                <c:pt idx="6" formatCode="0.00">
                  <c:v>216.80749631094312</c:v>
                </c:pt>
                <c:pt idx="7" formatCode="0.00">
                  <c:v>218.181874086525</c:v>
                </c:pt>
                <c:pt idx="8" formatCode="0.00">
                  <c:v>218.51904783973777</c:v>
                </c:pt>
                <c:pt idx="9" formatCode="0.00">
                  <c:v>219.00023794559368</c:v>
                </c:pt>
                <c:pt idx="10" formatCode="0.00">
                  <c:v>220.42200536334644</c:v>
                </c:pt>
              </c:numCache>
            </c:numRef>
          </c:val>
          <c:smooth val="1"/>
          <c:extLst>
            <c:ext xmlns:c16="http://schemas.microsoft.com/office/drawing/2014/chart" uri="{C3380CC4-5D6E-409C-BE32-E72D297353CC}">
              <c16:uniqueId val="{00000003-E10C-4A24-A1EB-2C217D39977F}"/>
            </c:ext>
          </c:extLst>
        </c:ser>
        <c:dLbls>
          <c:showLegendKey val="0"/>
          <c:showVal val="0"/>
          <c:showCatName val="0"/>
          <c:showSerName val="0"/>
          <c:showPercent val="0"/>
          <c:showBubbleSize val="0"/>
        </c:dLbls>
        <c:dropLines>
          <c:spPr>
            <a:ln w="28575" cap="flat" cmpd="sng" algn="ctr">
              <a:solidFill>
                <a:schemeClr val="dk1">
                  <a:lumMod val="35000"/>
                  <a:lumOff val="65000"/>
                  <a:alpha val="33000"/>
                </a:schemeClr>
              </a:solidFill>
              <a:round/>
            </a:ln>
            <a:effectLst/>
          </c:spPr>
        </c:dropLines>
        <c:smooth val="0"/>
        <c:axId val="1935081919"/>
        <c:axId val="1935079999"/>
      </c:lineChart>
      <c:catAx>
        <c:axId val="193508191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1050" b="0" i="0" u="none" strike="noStrike" kern="1200" spc="20" baseline="0">
                <a:solidFill>
                  <a:schemeClr val="dk1">
                    <a:lumMod val="65000"/>
                    <a:lumOff val="35000"/>
                  </a:schemeClr>
                </a:solidFill>
                <a:latin typeface="+mn-lt"/>
                <a:ea typeface="+mn-ea"/>
                <a:cs typeface="+mn-cs"/>
              </a:defRPr>
            </a:pPr>
            <a:endParaRPr lang="en-US"/>
          </a:p>
        </c:txPr>
        <c:crossAx val="1935079999"/>
        <c:crosses val="autoZero"/>
        <c:auto val="1"/>
        <c:lblAlgn val="ctr"/>
        <c:lblOffset val="100"/>
        <c:noMultiLvlLbl val="0"/>
      </c:catAx>
      <c:valAx>
        <c:axId val="1935079999"/>
        <c:scaling>
          <c:orientation val="minMax"/>
          <c:max val="250"/>
          <c:min val="100"/>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mn-lt"/>
                <a:ea typeface="+mn-ea"/>
                <a:cs typeface="+mn-cs"/>
              </a:defRPr>
            </a:pPr>
            <a:endParaRPr lang="en-US"/>
          </a:p>
        </c:txPr>
        <c:crossAx val="1935081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'Dashboard - Data'!$Z$8</c:f>
              <c:strCache>
                <c:ptCount val="1"/>
                <c:pt idx="0">
                  <c:v>Water</c:v>
                </c:pt>
              </c:strCache>
            </c:strRef>
          </c:tx>
          <c:invertIfNegative val="0"/>
          <c:cat>
            <c:strRef>
              <c:f>'Dashboard - Data'!$AA$7:$AK$7</c:f>
              <c:strCache>
                <c:ptCount val="11"/>
                <c:pt idx="0">
                  <c:v>2017-18</c:v>
                </c:pt>
                <c:pt idx="1">
                  <c:v>2018-19</c:v>
                </c:pt>
                <c:pt idx="2">
                  <c:v>2019-20</c:v>
                </c:pt>
                <c:pt idx="3">
                  <c:v>2020-21</c:v>
                </c:pt>
                <c:pt idx="4">
                  <c:v>2021-22</c:v>
                </c:pt>
                <c:pt idx="5">
                  <c:v>2022-23</c:v>
                </c:pt>
                <c:pt idx="6">
                  <c:v>2023-24</c:v>
                </c:pt>
                <c:pt idx="7">
                  <c:v>2024-25</c:v>
                </c:pt>
                <c:pt idx="8">
                  <c:v>2025-26</c:v>
                </c:pt>
                <c:pt idx="9">
                  <c:v>2026-27</c:v>
                </c:pt>
                <c:pt idx="10">
                  <c:v>2027-28</c:v>
                </c:pt>
              </c:strCache>
              <c:extLst/>
            </c:strRef>
          </c:cat>
          <c:val>
            <c:numRef>
              <c:f>'Dashboard - Data'!$AA$8:$AK$8</c:f>
              <c:numCache>
                <c:formatCode>0.00</c:formatCode>
                <c:ptCount val="11"/>
                <c:pt idx="0">
                  <c:v>60.96</c:v>
                </c:pt>
                <c:pt idx="1">
                  <c:v>93.062508985166204</c:v>
                </c:pt>
                <c:pt idx="2">
                  <c:v>99.299697013261579</c:v>
                </c:pt>
                <c:pt idx="3">
                  <c:v>110.63711271890803</c:v>
                </c:pt>
                <c:pt idx="4">
                  <c:v>121.10502645714782</c:v>
                </c:pt>
                <c:pt idx="5">
                  <c:v>151.61444945044445</c:v>
                </c:pt>
                <c:pt idx="6">
                  <c:v>154.58896336151395</c:v>
                </c:pt>
                <c:pt idx="7">
                  <c:v>185.16300635335577</c:v>
                </c:pt>
                <c:pt idx="8">
                  <c:v>174.72115513516601</c:v>
                </c:pt>
                <c:pt idx="9">
                  <c:v>178.7648327162272</c:v>
                </c:pt>
                <c:pt idx="10">
                  <c:v>132.71396835231928</c:v>
                </c:pt>
              </c:numCache>
              <c:extLst/>
            </c:numRef>
          </c:val>
          <c:extLst>
            <c:ext xmlns:c16="http://schemas.microsoft.com/office/drawing/2014/chart" uri="{C3380CC4-5D6E-409C-BE32-E72D297353CC}">
              <c16:uniqueId val="{00000000-36ED-468E-96EC-742372192A82}"/>
            </c:ext>
          </c:extLst>
        </c:ser>
        <c:ser>
          <c:idx val="1"/>
          <c:order val="1"/>
          <c:tx>
            <c:strRef>
              <c:f>'Dashboard - Data'!$Z$9</c:f>
              <c:strCache>
                <c:ptCount val="1"/>
                <c:pt idx="0">
                  <c:v>Sewerage</c:v>
                </c:pt>
              </c:strCache>
            </c:strRef>
          </c:tx>
          <c:invertIfNegative val="0"/>
          <c:cat>
            <c:strRef>
              <c:f>'Dashboard - Data'!$AA$7:$AK$7</c:f>
              <c:strCache>
                <c:ptCount val="11"/>
                <c:pt idx="0">
                  <c:v>2017-18</c:v>
                </c:pt>
                <c:pt idx="1">
                  <c:v>2018-19</c:v>
                </c:pt>
                <c:pt idx="2">
                  <c:v>2019-20</c:v>
                </c:pt>
                <c:pt idx="3">
                  <c:v>2020-21</c:v>
                </c:pt>
                <c:pt idx="4">
                  <c:v>2021-22</c:v>
                </c:pt>
                <c:pt idx="5">
                  <c:v>2022-23</c:v>
                </c:pt>
                <c:pt idx="6">
                  <c:v>2023-24</c:v>
                </c:pt>
                <c:pt idx="7">
                  <c:v>2024-25</c:v>
                </c:pt>
                <c:pt idx="8">
                  <c:v>2025-26</c:v>
                </c:pt>
                <c:pt idx="9">
                  <c:v>2026-27</c:v>
                </c:pt>
                <c:pt idx="10">
                  <c:v>2027-28</c:v>
                </c:pt>
              </c:strCache>
              <c:extLst/>
            </c:strRef>
          </c:cat>
          <c:val>
            <c:numRef>
              <c:f>'Dashboard - Data'!$AA$9:$AK$9</c:f>
              <c:numCache>
                <c:formatCode>0.00</c:formatCode>
                <c:ptCount val="11"/>
                <c:pt idx="0">
                  <c:v>109.104</c:v>
                </c:pt>
                <c:pt idx="1">
                  <c:v>101.98596620989255</c:v>
                </c:pt>
                <c:pt idx="2">
                  <c:v>148.99385252443537</c:v>
                </c:pt>
                <c:pt idx="3">
                  <c:v>136.7192160937459</c:v>
                </c:pt>
                <c:pt idx="4">
                  <c:v>107.26301401863242</c:v>
                </c:pt>
                <c:pt idx="5">
                  <c:v>112.79791640951525</c:v>
                </c:pt>
                <c:pt idx="6">
                  <c:v>142.79214617416801</c:v>
                </c:pt>
                <c:pt idx="7">
                  <c:v>150.69759450986211</c:v>
                </c:pt>
                <c:pt idx="8">
                  <c:v>142.35152899649034</c:v>
                </c:pt>
                <c:pt idx="9">
                  <c:v>158.52899731777558</c:v>
                </c:pt>
                <c:pt idx="10">
                  <c:v>161.09565152484396</c:v>
                </c:pt>
              </c:numCache>
              <c:extLst/>
            </c:numRef>
          </c:val>
          <c:extLst>
            <c:ext xmlns:c16="http://schemas.microsoft.com/office/drawing/2014/chart" uri="{C3380CC4-5D6E-409C-BE32-E72D297353CC}">
              <c16:uniqueId val="{00000001-36ED-468E-96EC-742372192A82}"/>
            </c:ext>
          </c:extLst>
        </c:ser>
        <c:ser>
          <c:idx val="2"/>
          <c:order val="2"/>
          <c:tx>
            <c:strRef>
              <c:f>'Dashboard - Data'!$Z$10</c:f>
              <c:strCache>
                <c:ptCount val="1"/>
                <c:pt idx="0">
                  <c:v>Recycled Water</c:v>
                </c:pt>
              </c:strCache>
            </c:strRef>
          </c:tx>
          <c:invertIfNegative val="0"/>
          <c:cat>
            <c:strRef>
              <c:f>'Dashboard - Data'!$AA$7:$AK$7</c:f>
              <c:strCache>
                <c:ptCount val="11"/>
                <c:pt idx="0">
                  <c:v>2017-18</c:v>
                </c:pt>
                <c:pt idx="1">
                  <c:v>2018-19</c:v>
                </c:pt>
                <c:pt idx="2">
                  <c:v>2019-20</c:v>
                </c:pt>
                <c:pt idx="3">
                  <c:v>2020-21</c:v>
                </c:pt>
                <c:pt idx="4">
                  <c:v>2021-22</c:v>
                </c:pt>
                <c:pt idx="5">
                  <c:v>2022-23</c:v>
                </c:pt>
                <c:pt idx="6">
                  <c:v>2023-24</c:v>
                </c:pt>
                <c:pt idx="7">
                  <c:v>2024-25</c:v>
                </c:pt>
                <c:pt idx="8">
                  <c:v>2025-26</c:v>
                </c:pt>
                <c:pt idx="9">
                  <c:v>2026-27</c:v>
                </c:pt>
                <c:pt idx="10">
                  <c:v>2027-28</c:v>
                </c:pt>
              </c:strCache>
              <c:extLst/>
            </c:strRef>
          </c:cat>
          <c:val>
            <c:numRef>
              <c:f>'Dashboard - Data'!$AA$10:$AK$10</c:f>
              <c:numCache>
                <c:formatCode>0.00</c:formatCode>
                <c:ptCount val="11"/>
                <c:pt idx="0">
                  <c:v>36.945599999999999</c:v>
                </c:pt>
                <c:pt idx="1">
                  <c:v>35.053874572259197</c:v>
                </c:pt>
                <c:pt idx="2">
                  <c:v>26.167016491610706</c:v>
                </c:pt>
                <c:pt idx="3">
                  <c:v>39.437265278649647</c:v>
                </c:pt>
                <c:pt idx="4">
                  <c:v>52.993547364423321</c:v>
                </c:pt>
                <c:pt idx="5">
                  <c:v>72.003811575240817</c:v>
                </c:pt>
                <c:pt idx="6">
                  <c:v>36.969908527576052</c:v>
                </c:pt>
                <c:pt idx="7">
                  <c:v>35.002116120049124</c:v>
                </c:pt>
                <c:pt idx="8">
                  <c:v>31.692836290478379</c:v>
                </c:pt>
                <c:pt idx="9">
                  <c:v>20.622737011514321</c:v>
                </c:pt>
                <c:pt idx="10">
                  <c:v>15.7115214186543</c:v>
                </c:pt>
              </c:numCache>
              <c:extLst/>
            </c:numRef>
          </c:val>
          <c:extLst>
            <c:ext xmlns:c16="http://schemas.microsoft.com/office/drawing/2014/chart" uri="{C3380CC4-5D6E-409C-BE32-E72D297353CC}">
              <c16:uniqueId val="{00000002-36ED-468E-96EC-742372192A82}"/>
            </c:ext>
          </c:extLst>
        </c:ser>
        <c:dLbls>
          <c:showLegendKey val="0"/>
          <c:showVal val="0"/>
          <c:showCatName val="0"/>
          <c:showSerName val="0"/>
          <c:showPercent val="0"/>
          <c:showBubbleSize val="0"/>
        </c:dLbls>
        <c:gapWidth val="75"/>
        <c:overlap val="100"/>
        <c:axId val="638253672"/>
        <c:axId val="638251320"/>
        <c:extLst>
          <c:ext xmlns:c15="http://schemas.microsoft.com/office/drawing/2012/chart" uri="{02D57815-91ED-43cb-92C2-25804820EDAC}">
            <c15:filteredBarSeries>
              <c15:ser>
                <c:idx val="3"/>
                <c:order val="3"/>
                <c:tx>
                  <c:strRef>
                    <c:extLst>
                      <c:ext uri="{02D57815-91ED-43cb-92C2-25804820EDAC}">
                        <c15:formulaRef>
                          <c15:sqref>'Dashboard - Data'!$Z$11</c15:sqref>
                        </c15:formulaRef>
                      </c:ext>
                    </c:extLst>
                    <c:strCache>
                      <c:ptCount val="1"/>
                      <c:pt idx="0">
                        <c:v>Rural water</c:v>
                      </c:pt>
                    </c:strCache>
                  </c:strRef>
                </c:tx>
                <c:invertIfNegative val="0"/>
                <c:cat>
                  <c:strRef>
                    <c:extLst>
                      <c:ext uri="{02D57815-91ED-43cb-92C2-25804820EDAC}">
                        <c15:formulaRef>
                          <c15:sqref>'Dashboard - Data'!$AA$7:$AK$7</c15:sqref>
                        </c15:formulaRef>
                      </c:ext>
                    </c:extLst>
                    <c:strCache>
                      <c:ptCount val="11"/>
                      <c:pt idx="0">
                        <c:v>2017-18</c:v>
                      </c:pt>
                      <c:pt idx="1">
                        <c:v>2018-19</c:v>
                      </c:pt>
                      <c:pt idx="2">
                        <c:v>2019-20</c:v>
                      </c:pt>
                      <c:pt idx="3">
                        <c:v>2020-21</c:v>
                      </c:pt>
                      <c:pt idx="4">
                        <c:v>2021-22</c:v>
                      </c:pt>
                      <c:pt idx="5">
                        <c:v>2022-23</c:v>
                      </c:pt>
                      <c:pt idx="6">
                        <c:v>2023-24</c:v>
                      </c:pt>
                      <c:pt idx="7">
                        <c:v>2024-25</c:v>
                      </c:pt>
                      <c:pt idx="8">
                        <c:v>2025-26</c:v>
                      </c:pt>
                      <c:pt idx="9">
                        <c:v>2026-27</c:v>
                      </c:pt>
                      <c:pt idx="10">
                        <c:v>2027-28</c:v>
                      </c:pt>
                    </c:strCache>
                  </c:strRef>
                </c:cat>
                <c:val>
                  <c:numRef>
                    <c:extLst>
                      <c:ext uri="{02D57815-91ED-43cb-92C2-25804820EDAC}">
                        <c15:formulaRef>
                          <c15:sqref>'Dashboard - Data'!$AA$11:$AK$11</c15:sqref>
                        </c15:formulaRef>
                      </c:ext>
                    </c:extLst>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3-36ED-468E-96EC-742372192A8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'Dashboard - Data'!$Z$12</c15:sqref>
                        </c15:formulaRef>
                      </c:ext>
                    </c:extLst>
                    <c:strCache>
                      <c:ptCount val="1"/>
                      <c:pt idx="0">
                        <c:v>Bulk Water</c:v>
                      </c:pt>
                    </c:strCache>
                  </c:strRef>
                </c:tx>
                <c:invertIfNegative val="0"/>
                <c:cat>
                  <c:strRef>
                    <c:extLst xmlns:c15="http://schemas.microsoft.com/office/drawing/2012/chart">
                      <c:ext xmlns:c15="http://schemas.microsoft.com/office/drawing/2012/chart" uri="{02D57815-91ED-43cb-92C2-25804820EDAC}">
                        <c15:formulaRef>
                          <c15:sqref>'Dashboard - Data'!$AA$7:$AK$7</c15:sqref>
                        </c15:formulaRef>
                      </c:ext>
                    </c:extLst>
                    <c:strCache>
                      <c:ptCount val="11"/>
                      <c:pt idx="0">
                        <c:v>2017-18</c:v>
                      </c:pt>
                      <c:pt idx="1">
                        <c:v>2018-19</c:v>
                      </c:pt>
                      <c:pt idx="2">
                        <c:v>2019-20</c:v>
                      </c:pt>
                      <c:pt idx="3">
                        <c:v>2020-21</c:v>
                      </c:pt>
                      <c:pt idx="4">
                        <c:v>2021-22</c:v>
                      </c:pt>
                      <c:pt idx="5">
                        <c:v>2022-23</c:v>
                      </c:pt>
                      <c:pt idx="6">
                        <c:v>2023-24</c:v>
                      </c:pt>
                      <c:pt idx="7">
                        <c:v>2024-25</c:v>
                      </c:pt>
                      <c:pt idx="8">
                        <c:v>2025-26</c:v>
                      </c:pt>
                      <c:pt idx="9">
                        <c:v>2026-27</c:v>
                      </c:pt>
                      <c:pt idx="10">
                        <c:v>2027-28</c:v>
                      </c:pt>
                    </c:strCache>
                  </c:strRef>
                </c:cat>
                <c:val>
                  <c:numRef>
                    <c:extLst xmlns:c15="http://schemas.microsoft.com/office/drawing/2012/chart">
                      <c:ext xmlns:c15="http://schemas.microsoft.com/office/drawing/2012/chart" uri="{02D57815-91ED-43cb-92C2-25804820EDAC}">
                        <c15:formulaRef>
                          <c15:sqref>'Dashboard - Data'!$AA$12:$AK$12</c15:sqref>
                        </c15:formulaRef>
                      </c:ext>
                    </c:extLst>
                    <c:numCache>
                      <c:formatCode>0.00</c:formatCode>
                      <c:ptCount val="11"/>
                      <c:pt idx="0">
                        <c:v>0</c:v>
                      </c:pt>
                      <c:pt idx="1">
                        <c:v>0</c:v>
                      </c:pt>
                      <c:pt idx="2">
                        <c:v>0</c:v>
                      </c:pt>
                      <c:pt idx="3">
                        <c:v>0</c:v>
                      </c:pt>
                      <c:pt idx="4">
                        <c:v>0</c:v>
                      </c:pt>
                      <c:pt idx="5">
                        <c:v>0</c:v>
                      </c:pt>
                      <c:pt idx="6">
                        <c:v>0</c:v>
                      </c:pt>
                      <c:pt idx="7">
                        <c:v>0</c:v>
                      </c:pt>
                      <c:pt idx="8">
                        <c:v>0</c:v>
                      </c:pt>
                      <c:pt idx="9">
                        <c:v>0</c:v>
                      </c:pt>
                      <c:pt idx="10">
                        <c:v>0</c:v>
                      </c:pt>
                    </c:numCache>
                  </c:numRef>
                </c:val>
                <c:extLst xmlns:c15="http://schemas.microsoft.com/office/drawing/2012/chart">
                  <c:ext xmlns:c16="http://schemas.microsoft.com/office/drawing/2014/chart" uri="{C3380CC4-5D6E-409C-BE32-E72D297353CC}">
                    <c16:uniqueId val="{00000004-36ED-468E-96EC-742372192A82}"/>
                  </c:ext>
                </c:extLst>
              </c15:ser>
            </c15:filteredBarSeries>
          </c:ext>
        </c:extLst>
      </c:barChart>
      <c:catAx>
        <c:axId val="638253672"/>
        <c:scaling>
          <c:orientation val="minMax"/>
        </c:scaling>
        <c:delete val="0"/>
        <c:axPos val="b"/>
        <c:numFmt formatCode="General" sourceLinked="0"/>
        <c:majorTickMark val="none"/>
        <c:minorTickMark val="none"/>
        <c:tickLblPos val="nextTo"/>
        <c:crossAx val="638251320"/>
        <c:crosses val="autoZero"/>
        <c:auto val="1"/>
        <c:lblAlgn val="ctr"/>
        <c:lblOffset val="100"/>
        <c:noMultiLvlLbl val="0"/>
      </c:catAx>
      <c:valAx>
        <c:axId val="638251320"/>
        <c:scaling>
          <c:orientation val="minMax"/>
        </c:scaling>
        <c:delete val="0"/>
        <c:axPos val="l"/>
        <c:majorGridlines/>
        <c:numFmt formatCode="0.00" sourceLinked="1"/>
        <c:majorTickMark val="none"/>
        <c:minorTickMark val="none"/>
        <c:tickLblPos val="nextTo"/>
        <c:spPr>
          <a:ln w="9525">
            <a:noFill/>
          </a:ln>
        </c:spPr>
        <c:crossAx val="63825367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ADE071DAEA41E78F612AFD418C39B7"/>
        <w:category>
          <w:name w:val="General"/>
          <w:gallery w:val="placeholder"/>
        </w:category>
        <w:types>
          <w:type w:val="bbPlcHdr"/>
        </w:types>
        <w:behaviors>
          <w:behavior w:val="content"/>
        </w:behaviors>
        <w:guid w:val="{0794DEF3-FA4A-4C9F-9F46-6F8B50CB2672}"/>
      </w:docPartPr>
      <w:docPartBody>
        <w:p w:rsidR="00104CE1" w:rsidRDefault="00494D55">
          <w:pPr>
            <w:pStyle w:val="7EADE071DAEA41E78F612AFD418C39B7"/>
          </w:pPr>
          <w:r>
            <w:t xml:space="preserve">  </w:t>
          </w:r>
        </w:p>
      </w:docPartBody>
    </w:docPart>
    <w:docPart>
      <w:docPartPr>
        <w:name w:val="34EC1314B48946F9AB9A023C3A43A56C"/>
        <w:category>
          <w:name w:val="General"/>
          <w:gallery w:val="placeholder"/>
        </w:category>
        <w:types>
          <w:type w:val="bbPlcHdr"/>
        </w:types>
        <w:behaviors>
          <w:behavior w:val="content"/>
        </w:behaviors>
        <w:guid w:val="{3A45C6C8-DC89-498B-8897-B2261D627534}"/>
      </w:docPartPr>
      <w:docPartBody>
        <w:p w:rsidR="00104CE1" w:rsidRDefault="00494D55">
          <w:pPr>
            <w:pStyle w:val="34EC1314B48946F9AB9A023C3A43A56C"/>
          </w:pPr>
          <w:r w:rsidRPr="00DA005C">
            <w:t>[Title, use ‘Title’ type style. Content will automatically link to internal footer]</w:t>
          </w:r>
        </w:p>
      </w:docPartBody>
    </w:docPart>
    <w:docPart>
      <w:docPartPr>
        <w:name w:val="F3C3A57147344A77851F182346213046"/>
        <w:category>
          <w:name w:val="General"/>
          <w:gallery w:val="placeholder"/>
        </w:category>
        <w:types>
          <w:type w:val="bbPlcHdr"/>
        </w:types>
        <w:behaviors>
          <w:behavior w:val="content"/>
        </w:behaviors>
        <w:guid w:val="{293D21E6-368A-4CE2-8C8B-321B18981F16}"/>
      </w:docPartPr>
      <w:docPartBody>
        <w:p w:rsidR="00104CE1" w:rsidRDefault="00494D55">
          <w:pPr>
            <w:pStyle w:val="F3C3A57147344A77851F182346213046"/>
          </w:pPr>
          <w:r w:rsidRPr="008249C5">
            <w:rPr>
              <w:rStyle w:val="PlaceholderText"/>
            </w:rPr>
            <w:t>[</w:t>
          </w:r>
          <w:r>
            <w:rPr>
              <w:rStyle w:val="PlaceholderText"/>
            </w:rPr>
            <w:t>Subtitle</w:t>
          </w:r>
          <w:r w:rsidRPr="008249C5">
            <w:rPr>
              <w:rStyle w:val="PlaceholderText"/>
            </w:rPr>
            <w:t>]</w:t>
          </w:r>
        </w:p>
      </w:docPartBody>
    </w:docPart>
    <w:docPart>
      <w:docPartPr>
        <w:name w:val="67DD3D462EAE4C6E8B7D70E61E480038"/>
        <w:category>
          <w:name w:val="General"/>
          <w:gallery w:val="placeholder"/>
        </w:category>
        <w:types>
          <w:type w:val="bbPlcHdr"/>
        </w:types>
        <w:behaviors>
          <w:behavior w:val="content"/>
        </w:behaviors>
        <w:guid w:val="{97FC1B89-5DA8-4AE7-9C30-3D8AB196AD04}"/>
      </w:docPartPr>
      <w:docPartBody>
        <w:p w:rsidR="00104CE1" w:rsidRDefault="00494D55">
          <w:pPr>
            <w:pStyle w:val="67DD3D462EAE4C6E8B7D70E61E480038"/>
          </w:pPr>
          <w:r w:rsidRPr="00360763">
            <w:rPr>
              <w:highlight w:val="lightGray"/>
            </w:rPr>
            <w:t>[Click to select a year]</w:t>
          </w:r>
        </w:p>
      </w:docPartBody>
    </w:docPart>
    <w:docPart>
      <w:docPartPr>
        <w:name w:val="C41C5A18611B41BDB65BD4BDF4A2EAF3"/>
        <w:category>
          <w:name w:val="General"/>
          <w:gallery w:val="placeholder"/>
        </w:category>
        <w:types>
          <w:type w:val="bbPlcHdr"/>
        </w:types>
        <w:behaviors>
          <w:behavior w:val="content"/>
        </w:behaviors>
        <w:guid w:val="{F987D2C4-CB5E-419B-AB2A-F061F89FDE8B}"/>
      </w:docPartPr>
      <w:docPartBody>
        <w:p w:rsidR="00104CE1" w:rsidRDefault="00494D55">
          <w:pPr>
            <w:pStyle w:val="C41C5A18611B41BDB65BD4BDF4A2EAF3"/>
          </w:pPr>
          <w:r w:rsidRPr="005F3D90">
            <w:rPr>
              <w:highlight w:val="lightGray"/>
            </w:rPr>
            <w:t>[Title]</w:t>
          </w:r>
        </w:p>
      </w:docPartBody>
    </w:docPart>
    <w:docPart>
      <w:docPartPr>
        <w:name w:val="8354013ECA134B9FB69E14D68AF69B72"/>
        <w:category>
          <w:name w:val="General"/>
          <w:gallery w:val="placeholder"/>
        </w:category>
        <w:types>
          <w:type w:val="bbPlcHdr"/>
        </w:types>
        <w:behaviors>
          <w:behavior w:val="content"/>
        </w:behaviors>
        <w:guid w:val="{FF40D858-89DB-424F-A36D-A304A7260C54}"/>
      </w:docPartPr>
      <w:docPartBody>
        <w:p w:rsidR="00104CE1" w:rsidRDefault="00494D55">
          <w:pPr>
            <w:pStyle w:val="8354013ECA134B9FB69E14D68AF69B72"/>
          </w:pPr>
          <w:r w:rsidRPr="00563AD8">
            <w:rPr>
              <w:highlight w:val="lightGray"/>
            </w:rPr>
            <w:t>[Subtitle]</w:t>
          </w:r>
        </w:p>
      </w:docPartBody>
    </w:docPart>
    <w:docPart>
      <w:docPartPr>
        <w:name w:val="A6A70FB33E4D435C8A73809645834C15"/>
        <w:category>
          <w:name w:val="General"/>
          <w:gallery w:val="placeholder"/>
        </w:category>
        <w:types>
          <w:type w:val="bbPlcHdr"/>
        </w:types>
        <w:behaviors>
          <w:behavior w:val="content"/>
        </w:behaviors>
        <w:guid w:val="{A462B5EF-1603-49A7-8A07-66EE70DD3634}"/>
      </w:docPartPr>
      <w:docPartBody>
        <w:p w:rsidR="00104CE1" w:rsidRDefault="00494D55">
          <w:pPr>
            <w:pStyle w:val="A6A70FB33E4D435C8A73809645834C15"/>
          </w:pPr>
          <w:r w:rsidRPr="005F3D90">
            <w:rPr>
              <w:highlight w:val="lightGray"/>
            </w:rPr>
            <w:t xml:space="preserve">[Click to select </w:t>
          </w:r>
          <w:r>
            <w:rPr>
              <w:highlight w:val="lightGray"/>
            </w:rPr>
            <w:t>a date</w:t>
          </w:r>
          <w:r w:rsidRPr="005F3D90">
            <w:rPr>
              <w:highlight w:val="lightGray"/>
            </w:rPr>
            <w:t>]</w:t>
          </w:r>
        </w:p>
      </w:docPartBody>
    </w:docPart>
    <w:docPart>
      <w:docPartPr>
        <w:name w:val="2FD311BECF124DFFAEBE6B54F1D46810"/>
        <w:category>
          <w:name w:val="General"/>
          <w:gallery w:val="placeholder"/>
        </w:category>
        <w:types>
          <w:type w:val="bbPlcHdr"/>
        </w:types>
        <w:behaviors>
          <w:behavior w:val="content"/>
        </w:behaviors>
        <w:guid w:val="{D78EEDC8-36DB-42CB-8B32-CD39E77D1193}"/>
      </w:docPartPr>
      <w:docPartBody>
        <w:p w:rsidR="00104CE1" w:rsidRDefault="00494D55">
          <w:pPr>
            <w:pStyle w:val="2FD311BECF124DFFAEBE6B54F1D46810"/>
          </w:pPr>
          <w:r w:rsidRPr="00360763">
            <w:rPr>
              <w:highlight w:val="lightGray"/>
            </w:rPr>
            <w:t>[Click to select a year]</w:t>
          </w:r>
        </w:p>
      </w:docPartBody>
    </w:docPart>
    <w:docPart>
      <w:docPartPr>
        <w:name w:val="B9DE4E6574DA49069C706AC679A5F08E"/>
        <w:category>
          <w:name w:val="General"/>
          <w:gallery w:val="placeholder"/>
        </w:category>
        <w:types>
          <w:type w:val="bbPlcHdr"/>
        </w:types>
        <w:behaviors>
          <w:behavior w:val="content"/>
        </w:behaviors>
        <w:guid w:val="{7B311EE2-7562-4180-A363-4A4FC0319BA2}"/>
      </w:docPartPr>
      <w:docPartBody>
        <w:p w:rsidR="00104CE1" w:rsidRDefault="00494D55">
          <w:pPr>
            <w:pStyle w:val="B9DE4E6574DA49069C706AC679A5F08E"/>
          </w:pPr>
          <w:r w:rsidRPr="005F3D90">
            <w:rPr>
              <w:highlight w:val="lightGray"/>
            </w:rPr>
            <w:t>[Title]</w:t>
          </w:r>
        </w:p>
      </w:docPartBody>
    </w:docPart>
    <w:docPart>
      <w:docPartPr>
        <w:name w:val="7D23570527974AA099E9AC7114E4E31E"/>
        <w:category>
          <w:name w:val="General"/>
          <w:gallery w:val="placeholder"/>
        </w:category>
        <w:types>
          <w:type w:val="bbPlcHdr"/>
        </w:types>
        <w:behaviors>
          <w:behavior w:val="content"/>
        </w:behaviors>
        <w:guid w:val="{7E7ABF12-118E-4FC0-B2D4-6B50EAE13B4E}"/>
      </w:docPartPr>
      <w:docPartBody>
        <w:p w:rsidR="00104CE1" w:rsidRDefault="00494D55">
          <w:pPr>
            <w:pStyle w:val="7D23570527974AA099E9AC7114E4E31E"/>
          </w:pPr>
          <w:r>
            <w:t xml:space="preserve">  </w:t>
          </w:r>
        </w:p>
      </w:docPartBody>
    </w:docPart>
    <w:docPart>
      <w:docPartPr>
        <w:name w:val="0D8C47B280514B998F856862935366E6"/>
        <w:category>
          <w:name w:val="General"/>
          <w:gallery w:val="placeholder"/>
        </w:category>
        <w:types>
          <w:type w:val="bbPlcHdr"/>
        </w:types>
        <w:behaviors>
          <w:behavior w:val="content"/>
        </w:behaviors>
        <w:guid w:val="{F24414B1-1236-465D-B054-965A35F85EA8}"/>
      </w:docPartPr>
      <w:docPartBody>
        <w:p w:rsidR="00104CE1" w:rsidRDefault="00494D55">
          <w:pPr>
            <w:pStyle w:val="0D8C47B280514B998F856862935366E6"/>
          </w:pPr>
          <w:r w:rsidRPr="00AD2E14">
            <w:rPr>
              <w:b/>
              <w:highlight w:val="lightGray"/>
            </w:rPr>
            <w:t>[Title]</w:t>
          </w:r>
        </w:p>
      </w:docPartBody>
    </w:docPart>
    <w:docPart>
      <w:docPartPr>
        <w:name w:val="F92DE4CB5F3D4409942609ECF7F112C8"/>
        <w:category>
          <w:name w:val="General"/>
          <w:gallery w:val="placeholder"/>
        </w:category>
        <w:types>
          <w:type w:val="bbPlcHdr"/>
        </w:types>
        <w:behaviors>
          <w:behavior w:val="content"/>
        </w:behaviors>
        <w:guid w:val="{3B3B294C-CC87-442B-9967-6373803BA1B3}"/>
      </w:docPartPr>
      <w:docPartBody>
        <w:p w:rsidR="00104CE1" w:rsidRDefault="00494D55">
          <w:pPr>
            <w:pStyle w:val="F92DE4CB5F3D4409942609ECF7F112C8"/>
          </w:pPr>
          <w:r w:rsidRPr="00AD2E14">
            <w:rPr>
              <w:b/>
              <w:highlight w:val="lightGray"/>
            </w:rPr>
            <w:t>[Title]</w:t>
          </w:r>
        </w:p>
      </w:docPartBody>
    </w:docPart>
    <w:docPart>
      <w:docPartPr>
        <w:name w:val="CBB558AD63A54A23BA83322EC5CE4376"/>
        <w:category>
          <w:name w:val="General"/>
          <w:gallery w:val="placeholder"/>
        </w:category>
        <w:types>
          <w:type w:val="bbPlcHdr"/>
        </w:types>
        <w:behaviors>
          <w:behavior w:val="content"/>
        </w:behaviors>
        <w:guid w:val="{C6BD35F6-1F88-46E2-B6F8-A230BF961333}"/>
      </w:docPartPr>
      <w:docPartBody>
        <w:p w:rsidR="00104CE1" w:rsidRDefault="00494D55">
          <w:pPr>
            <w:pStyle w:val="CBB558AD63A54A23BA83322EC5CE4376"/>
          </w:pPr>
          <w:r w:rsidRPr="00AD2E14">
            <w:rPr>
              <w:b/>
              <w:highlight w:val="lightGray"/>
            </w:rPr>
            <w:t>[Title]</w:t>
          </w:r>
        </w:p>
      </w:docPartBody>
    </w:docPart>
    <w:docPart>
      <w:docPartPr>
        <w:name w:val="214E0707627E471AB3EC0B79B6D2F405"/>
        <w:category>
          <w:name w:val="General"/>
          <w:gallery w:val="placeholder"/>
        </w:category>
        <w:types>
          <w:type w:val="bbPlcHdr"/>
        </w:types>
        <w:behaviors>
          <w:behavior w:val="content"/>
        </w:behaviors>
        <w:guid w:val="{44AAA3AF-1D3C-4111-BD1B-A0604EA7575C}"/>
      </w:docPartPr>
      <w:docPartBody>
        <w:p w:rsidR="00104CE1" w:rsidRDefault="00494D55">
          <w:pPr>
            <w:pStyle w:val="214E0707627E471AB3EC0B79B6D2F405"/>
          </w:pPr>
          <w:r w:rsidRPr="00AD2E14">
            <w:rPr>
              <w:b/>
              <w:highlight w:val="lightGray"/>
            </w:rPr>
            <w:t>[Title]</w:t>
          </w:r>
        </w:p>
      </w:docPartBody>
    </w:docPart>
    <w:docPart>
      <w:docPartPr>
        <w:name w:val="B4B87671E4104AA3857A6481E2189FCF"/>
        <w:category>
          <w:name w:val="General"/>
          <w:gallery w:val="placeholder"/>
        </w:category>
        <w:types>
          <w:type w:val="bbPlcHdr"/>
        </w:types>
        <w:behaviors>
          <w:behavior w:val="content"/>
        </w:behaviors>
        <w:guid w:val="{8C421EC2-7052-4049-930A-4017476244A1}"/>
      </w:docPartPr>
      <w:docPartBody>
        <w:p w:rsidR="00104CE1" w:rsidRDefault="00494D55" w:rsidP="00494D55">
          <w:pPr>
            <w:pStyle w:val="B4B87671E4104AA3857A6481E2189FCF"/>
          </w:pPr>
          <w:r w:rsidRPr="00AD2E14">
            <w:rPr>
              <w:b/>
              <w:highlight w:val="lightGray"/>
            </w:rPr>
            <w:t>[Title]</w:t>
          </w:r>
        </w:p>
      </w:docPartBody>
    </w:docPart>
    <w:docPart>
      <w:docPartPr>
        <w:name w:val="307D8913B3F44B87874977D2938EAB5A"/>
        <w:category>
          <w:name w:val="General"/>
          <w:gallery w:val="placeholder"/>
        </w:category>
        <w:types>
          <w:type w:val="bbPlcHdr"/>
        </w:types>
        <w:behaviors>
          <w:behavior w:val="content"/>
        </w:behaviors>
        <w:guid w:val="{F4DB3664-3F26-4D50-8CDB-0FBFD89E1609}"/>
      </w:docPartPr>
      <w:docPartBody>
        <w:p w:rsidR="00104CE1" w:rsidRDefault="00494D55" w:rsidP="00494D55">
          <w:pPr>
            <w:pStyle w:val="307D8913B3F44B87874977D2938EAB5A"/>
          </w:pPr>
          <w:r w:rsidRPr="00AD2E14">
            <w:rPr>
              <w:b/>
              <w:highlight w:val="lightGray"/>
            </w:rPr>
            <w:t>[Title]</w:t>
          </w:r>
        </w:p>
      </w:docPartBody>
    </w:docPart>
    <w:docPart>
      <w:docPartPr>
        <w:name w:val="567F915EBA9D43F3BFA4445247AF7E8D"/>
        <w:category>
          <w:name w:val="General"/>
          <w:gallery w:val="placeholder"/>
        </w:category>
        <w:types>
          <w:type w:val="bbPlcHdr"/>
        </w:types>
        <w:behaviors>
          <w:behavior w:val="content"/>
        </w:behaviors>
        <w:guid w:val="{039867F0-D13C-4E2F-8C61-B9B9732D99A3}"/>
      </w:docPartPr>
      <w:docPartBody>
        <w:p w:rsidR="00104CE1" w:rsidRDefault="00494D55" w:rsidP="00494D55">
          <w:pPr>
            <w:pStyle w:val="567F915EBA9D43F3BFA4445247AF7E8D"/>
          </w:pPr>
          <w:r w:rsidRPr="00AD2E14">
            <w:rPr>
              <w:b/>
              <w:highlight w:val="lightGray"/>
            </w:rPr>
            <w:t>[Title]</w:t>
          </w:r>
        </w:p>
      </w:docPartBody>
    </w:docPart>
    <w:docPart>
      <w:docPartPr>
        <w:name w:val="1758A017CD6B41D088D263D4E6DEDA78"/>
        <w:category>
          <w:name w:val="General"/>
          <w:gallery w:val="placeholder"/>
        </w:category>
        <w:types>
          <w:type w:val="bbPlcHdr"/>
        </w:types>
        <w:behaviors>
          <w:behavior w:val="content"/>
        </w:behaviors>
        <w:guid w:val="{B3D372A3-4645-41D4-B381-31EBE9DFB225}"/>
      </w:docPartPr>
      <w:docPartBody>
        <w:p w:rsidR="00AD2A41" w:rsidRDefault="00104CE1" w:rsidP="00104CE1">
          <w:pPr>
            <w:pStyle w:val="1758A017CD6B41D088D263D4E6DEDA78"/>
          </w:pPr>
          <w:r w:rsidRPr="00AD2E14">
            <w:rPr>
              <w:b/>
              <w:highlight w:val="lightGray"/>
            </w:rPr>
            <w:t>[Title]</w:t>
          </w:r>
        </w:p>
      </w:docPartBody>
    </w:docPart>
    <w:docPart>
      <w:docPartPr>
        <w:name w:val="CC1463DA7ABD447A96090107B133C92F"/>
        <w:category>
          <w:name w:val="General"/>
          <w:gallery w:val="placeholder"/>
        </w:category>
        <w:types>
          <w:type w:val="bbPlcHdr"/>
        </w:types>
        <w:behaviors>
          <w:behavior w:val="content"/>
        </w:behaviors>
        <w:guid w:val="{85A366F0-53D7-4EEB-B62C-BDA97979680B}"/>
      </w:docPartPr>
      <w:docPartBody>
        <w:p w:rsidR="00592430" w:rsidRDefault="00370A00" w:rsidP="00370A00">
          <w:pPr>
            <w:pStyle w:val="CC1463DA7ABD447A96090107B133C92F"/>
          </w:pPr>
          <w:r w:rsidRPr="00AD2E14">
            <w:rPr>
              <w:b/>
              <w:highlight w:val="lightGray"/>
            </w:rPr>
            <w:t>[Title]</w:t>
          </w:r>
        </w:p>
      </w:docPartBody>
    </w:docPart>
    <w:docPart>
      <w:docPartPr>
        <w:name w:val="2E62AC3538364BBE8F79A1B85B60A21C"/>
        <w:category>
          <w:name w:val="General"/>
          <w:gallery w:val="placeholder"/>
        </w:category>
        <w:types>
          <w:type w:val="bbPlcHdr"/>
        </w:types>
        <w:behaviors>
          <w:behavior w:val="content"/>
        </w:behaviors>
        <w:guid w:val="{CFD9AC58-0B39-4BBB-8281-463C8C3C4D7F}"/>
      </w:docPartPr>
      <w:docPartBody>
        <w:p w:rsidR="00C80FA9" w:rsidRDefault="00702B6B">
          <w:pPr>
            <w:pStyle w:val="2E62AC3538364BBE8F79A1B85B60A21C"/>
          </w:pPr>
          <w:r w:rsidRPr="00AD2E14">
            <w:rPr>
              <w:b/>
              <w:highlight w:val="lightGray"/>
            </w:rPr>
            <w:t>[Title]</w:t>
          </w:r>
        </w:p>
      </w:docPartBody>
    </w:docPart>
    <w:docPart>
      <w:docPartPr>
        <w:name w:val="1AF01A76DD19495EBCF8267E59DE7E6A"/>
        <w:category>
          <w:name w:val="General"/>
          <w:gallery w:val="placeholder"/>
        </w:category>
        <w:types>
          <w:type w:val="bbPlcHdr"/>
        </w:types>
        <w:behaviors>
          <w:behavior w:val="content"/>
        </w:behaviors>
        <w:guid w:val="{E6EC1CBD-6086-46E9-9945-7E20F0C90CCE}"/>
      </w:docPartPr>
      <w:docPartBody>
        <w:p w:rsidR="00C03290" w:rsidRDefault="00C03290" w:rsidP="00C03290">
          <w:pPr>
            <w:pStyle w:val="1AF01A76DD19495EBCF8267E59DE7E6A"/>
          </w:pPr>
          <w:r w:rsidRPr="00AD2E14">
            <w:rPr>
              <w:b/>
              <w:highlight w:val="lightGray"/>
            </w:rPr>
            <w:t>[Title]</w:t>
          </w:r>
        </w:p>
      </w:docPartBody>
    </w:docPart>
    <w:docPart>
      <w:docPartPr>
        <w:name w:val="BE1E3FBB55E94F3AA06FBFB15ED28742"/>
        <w:category>
          <w:name w:val="General"/>
          <w:gallery w:val="placeholder"/>
        </w:category>
        <w:types>
          <w:type w:val="bbPlcHdr"/>
        </w:types>
        <w:behaviors>
          <w:behavior w:val="content"/>
        </w:behaviors>
        <w:guid w:val="{6570CA7C-422A-4937-954F-7E9D8969CD77}"/>
      </w:docPartPr>
      <w:docPartBody>
        <w:p w:rsidR="00137965" w:rsidRDefault="00137965" w:rsidP="00137965">
          <w:pPr>
            <w:pStyle w:val="BE1E3FBB55E94F3AA06FBFB15ED28742"/>
          </w:pPr>
          <w:r w:rsidRPr="00AD2E14">
            <w:rPr>
              <w:b/>
              <w:highlight w:val="lightGray"/>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D55"/>
    <w:rsid w:val="000538DF"/>
    <w:rsid w:val="00055B4E"/>
    <w:rsid w:val="00081D30"/>
    <w:rsid w:val="000B5D06"/>
    <w:rsid w:val="00104CE1"/>
    <w:rsid w:val="00106583"/>
    <w:rsid w:val="00137965"/>
    <w:rsid w:val="00150317"/>
    <w:rsid w:val="00150CDC"/>
    <w:rsid w:val="00182C82"/>
    <w:rsid w:val="001F60DD"/>
    <w:rsid w:val="002164EF"/>
    <w:rsid w:val="003427E2"/>
    <w:rsid w:val="0034556A"/>
    <w:rsid w:val="00364C4A"/>
    <w:rsid w:val="00370A00"/>
    <w:rsid w:val="003F60A7"/>
    <w:rsid w:val="00437B93"/>
    <w:rsid w:val="00454D80"/>
    <w:rsid w:val="004615EF"/>
    <w:rsid w:val="00494D55"/>
    <w:rsid w:val="004A35C9"/>
    <w:rsid w:val="004B25BE"/>
    <w:rsid w:val="004C6C16"/>
    <w:rsid w:val="004D08C2"/>
    <w:rsid w:val="005101E1"/>
    <w:rsid w:val="0055659F"/>
    <w:rsid w:val="00583AC3"/>
    <w:rsid w:val="00592430"/>
    <w:rsid w:val="005B0368"/>
    <w:rsid w:val="005D2899"/>
    <w:rsid w:val="00684348"/>
    <w:rsid w:val="006E5FB2"/>
    <w:rsid w:val="006F240A"/>
    <w:rsid w:val="006F5115"/>
    <w:rsid w:val="00702B6B"/>
    <w:rsid w:val="00775167"/>
    <w:rsid w:val="00784536"/>
    <w:rsid w:val="007A5235"/>
    <w:rsid w:val="007B2406"/>
    <w:rsid w:val="0083611F"/>
    <w:rsid w:val="00845929"/>
    <w:rsid w:val="00863395"/>
    <w:rsid w:val="008C263A"/>
    <w:rsid w:val="008E074A"/>
    <w:rsid w:val="008F13D3"/>
    <w:rsid w:val="00902841"/>
    <w:rsid w:val="00942F5E"/>
    <w:rsid w:val="009A4A7E"/>
    <w:rsid w:val="009A7E68"/>
    <w:rsid w:val="009B7C41"/>
    <w:rsid w:val="009F3A31"/>
    <w:rsid w:val="00A140E5"/>
    <w:rsid w:val="00A67807"/>
    <w:rsid w:val="00AD2A41"/>
    <w:rsid w:val="00AE41A4"/>
    <w:rsid w:val="00B3253F"/>
    <w:rsid w:val="00BB4CAF"/>
    <w:rsid w:val="00BF0682"/>
    <w:rsid w:val="00C03290"/>
    <w:rsid w:val="00C133EE"/>
    <w:rsid w:val="00C30EA2"/>
    <w:rsid w:val="00C348EE"/>
    <w:rsid w:val="00C80FA9"/>
    <w:rsid w:val="00C84D62"/>
    <w:rsid w:val="00CB13FC"/>
    <w:rsid w:val="00CD49FB"/>
    <w:rsid w:val="00D33487"/>
    <w:rsid w:val="00D54A05"/>
    <w:rsid w:val="00D74C2D"/>
    <w:rsid w:val="00D91F13"/>
    <w:rsid w:val="00DA0740"/>
    <w:rsid w:val="00DA25D2"/>
    <w:rsid w:val="00DF74DC"/>
    <w:rsid w:val="00E521A9"/>
    <w:rsid w:val="00E63233"/>
    <w:rsid w:val="00E6335D"/>
    <w:rsid w:val="00E71B3D"/>
    <w:rsid w:val="00EA4612"/>
    <w:rsid w:val="00EC5C22"/>
    <w:rsid w:val="00F358CE"/>
    <w:rsid w:val="00F455C8"/>
    <w:rsid w:val="00F54931"/>
    <w:rsid w:val="00F67376"/>
    <w:rsid w:val="00F8137B"/>
    <w:rsid w:val="00F842DC"/>
    <w:rsid w:val="00FA45A3"/>
    <w:rsid w:val="00FB0CBE"/>
    <w:rsid w:val="00FB1ABA"/>
    <w:rsid w:val="00FB326E"/>
    <w:rsid w:val="00FB5309"/>
    <w:rsid w:val="00FB715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1A8387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ADE071DAEA41E78F612AFD418C39B7">
    <w:name w:val="7EADE071DAEA41E78F612AFD418C39B7"/>
  </w:style>
  <w:style w:type="paragraph" w:customStyle="1" w:styleId="34EC1314B48946F9AB9A023C3A43A56C">
    <w:name w:val="34EC1314B48946F9AB9A023C3A43A56C"/>
  </w:style>
  <w:style w:type="character" w:styleId="PlaceholderText">
    <w:name w:val="Placeholder Text"/>
    <w:basedOn w:val="DefaultParagraphFont"/>
    <w:uiPriority w:val="99"/>
    <w:semiHidden/>
    <w:rPr>
      <w:color w:val="808080"/>
    </w:rPr>
  </w:style>
  <w:style w:type="paragraph" w:customStyle="1" w:styleId="F3C3A57147344A77851F182346213046">
    <w:name w:val="F3C3A57147344A77851F182346213046"/>
  </w:style>
  <w:style w:type="paragraph" w:customStyle="1" w:styleId="1758A017CD6B41D088D263D4E6DEDA78">
    <w:name w:val="1758A017CD6B41D088D263D4E6DEDA78"/>
    <w:rsid w:val="00104CE1"/>
  </w:style>
  <w:style w:type="paragraph" w:customStyle="1" w:styleId="67DD3D462EAE4C6E8B7D70E61E480038">
    <w:name w:val="67DD3D462EAE4C6E8B7D70E61E480038"/>
  </w:style>
  <w:style w:type="paragraph" w:customStyle="1" w:styleId="C41C5A18611B41BDB65BD4BDF4A2EAF3">
    <w:name w:val="C41C5A18611B41BDB65BD4BDF4A2EAF3"/>
  </w:style>
  <w:style w:type="paragraph" w:customStyle="1" w:styleId="8354013ECA134B9FB69E14D68AF69B72">
    <w:name w:val="8354013ECA134B9FB69E14D68AF69B72"/>
  </w:style>
  <w:style w:type="paragraph" w:customStyle="1" w:styleId="A6A70FB33E4D435C8A73809645834C15">
    <w:name w:val="A6A70FB33E4D435C8A73809645834C15"/>
  </w:style>
  <w:style w:type="paragraph" w:customStyle="1" w:styleId="2FD311BECF124DFFAEBE6B54F1D46810">
    <w:name w:val="2FD311BECF124DFFAEBE6B54F1D46810"/>
  </w:style>
  <w:style w:type="paragraph" w:customStyle="1" w:styleId="B9DE4E6574DA49069C706AC679A5F08E">
    <w:name w:val="B9DE4E6574DA49069C706AC679A5F08E"/>
  </w:style>
  <w:style w:type="paragraph" w:customStyle="1" w:styleId="7D23570527974AA099E9AC7114E4E31E">
    <w:name w:val="7D23570527974AA099E9AC7114E4E31E"/>
  </w:style>
  <w:style w:type="paragraph" w:customStyle="1" w:styleId="0D8C47B280514B998F856862935366E6">
    <w:name w:val="0D8C47B280514B998F856862935366E6"/>
  </w:style>
  <w:style w:type="paragraph" w:customStyle="1" w:styleId="F92DE4CB5F3D4409942609ECF7F112C8">
    <w:name w:val="F92DE4CB5F3D4409942609ECF7F112C8"/>
  </w:style>
  <w:style w:type="paragraph" w:customStyle="1" w:styleId="CBB558AD63A54A23BA83322EC5CE4376">
    <w:name w:val="CBB558AD63A54A23BA83322EC5CE4376"/>
  </w:style>
  <w:style w:type="paragraph" w:customStyle="1" w:styleId="214E0707627E471AB3EC0B79B6D2F405">
    <w:name w:val="214E0707627E471AB3EC0B79B6D2F405"/>
  </w:style>
  <w:style w:type="paragraph" w:customStyle="1" w:styleId="B4B87671E4104AA3857A6481E2189FCF">
    <w:name w:val="B4B87671E4104AA3857A6481E2189FCF"/>
    <w:rsid w:val="00494D55"/>
  </w:style>
  <w:style w:type="paragraph" w:customStyle="1" w:styleId="307D8913B3F44B87874977D2938EAB5A">
    <w:name w:val="307D8913B3F44B87874977D2938EAB5A"/>
    <w:rsid w:val="00494D55"/>
  </w:style>
  <w:style w:type="paragraph" w:customStyle="1" w:styleId="567F915EBA9D43F3BFA4445247AF7E8D">
    <w:name w:val="567F915EBA9D43F3BFA4445247AF7E8D"/>
    <w:rsid w:val="00494D55"/>
  </w:style>
  <w:style w:type="paragraph" w:customStyle="1" w:styleId="CC1463DA7ABD447A96090107B133C92F">
    <w:name w:val="CC1463DA7ABD447A96090107B133C92F"/>
    <w:rsid w:val="00370A00"/>
  </w:style>
  <w:style w:type="paragraph" w:customStyle="1" w:styleId="2E62AC3538364BBE8F79A1B85B60A21C">
    <w:name w:val="2E62AC3538364BBE8F79A1B85B60A21C"/>
    <w:rPr>
      <w:kern w:val="2"/>
      <w14:ligatures w14:val="standardContextual"/>
    </w:rPr>
  </w:style>
  <w:style w:type="paragraph" w:customStyle="1" w:styleId="1AF01A76DD19495EBCF8267E59DE7E6A">
    <w:name w:val="1AF01A76DD19495EBCF8267E59DE7E6A"/>
    <w:rsid w:val="00C03290"/>
    <w:rPr>
      <w:kern w:val="2"/>
      <w14:ligatures w14:val="standardContextual"/>
    </w:rPr>
  </w:style>
  <w:style w:type="paragraph" w:customStyle="1" w:styleId="BE1E3FBB55E94F3AA06FBFB15ED28742">
    <w:name w:val="BE1E3FBB55E94F3AA06FBFB15ED28742"/>
    <w:rsid w:val="0013796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SC PINK">
      <a:dk1>
        <a:sysClr val="windowText" lastClr="000000"/>
      </a:dk1>
      <a:lt1>
        <a:sysClr val="window" lastClr="FFFFFF"/>
      </a:lt1>
      <a:dk2>
        <a:srgbClr val="4986A0"/>
      </a:dk2>
      <a:lt2>
        <a:srgbClr val="75787B"/>
      </a:lt2>
      <a:accent1>
        <a:srgbClr val="236192"/>
      </a:accent1>
      <a:accent2>
        <a:srgbClr val="CE0058"/>
      </a:accent2>
      <a:accent3>
        <a:srgbClr val="4986A0"/>
      </a:accent3>
      <a:accent4>
        <a:srgbClr val="ED8B00"/>
      </a:accent4>
      <a:accent5>
        <a:srgbClr val="183028"/>
      </a:accent5>
      <a:accent6>
        <a:srgbClr val="D50032"/>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F5B4F566EDE04E8FC82BBE258AC15C" ma:contentTypeVersion="14" ma:contentTypeDescription="Create a new document." ma:contentTypeScope="" ma:versionID="937e523ea204917ac0e26a8d22988327">
  <xsd:schema xmlns:xsd="http://www.w3.org/2001/XMLSchema" xmlns:xs="http://www.w3.org/2001/XMLSchema" xmlns:p="http://schemas.microsoft.com/office/2006/metadata/properties" xmlns:ns2="12fa1e3f-bff0-4a68-a0e1-8991d6694121" xmlns:ns3="1fe0551b-aea2-4114-b38d-c5f7409b7e34" targetNamespace="http://schemas.microsoft.com/office/2006/metadata/properties" ma:root="true" ma:fieldsID="8ab1ed9b54158f2d93e9be0bdcb76016" ns2:_="" ns3:_="">
    <xsd:import namespace="12fa1e3f-bff0-4a68-a0e1-8991d6694121"/>
    <xsd:import namespace="1fe0551b-aea2-4114-b38d-c5f7409b7e3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a1e3f-bff0-4a68-a0e1-8991d66941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f688115-0302-4e1f-a4da-adfe537ad00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e0551b-aea2-4114-b38d-c5f7409b7e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8288a8e-65dc-4165-b790-78dfaf9314fe}" ma:internalName="TaxCatchAll" ma:showField="CatchAllData" ma:web="1fe0551b-aea2-4114-b38d-c5f7409b7e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2fa1e3f-bff0-4a68-a0e1-8991d6694121">
      <Terms xmlns="http://schemas.microsoft.com/office/infopath/2007/PartnerControls"/>
    </lcf76f155ced4ddcb4097134ff3c332f>
    <TaxCatchAll xmlns="1fe0551b-aea2-4114-b38d-c5f7409b7e3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42050-8FF7-43E7-98D6-AF8A9E4371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a1e3f-bff0-4a68-a0e1-8991d6694121"/>
    <ds:schemaRef ds:uri="1fe0551b-aea2-4114-b38d-c5f7409b7e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3F963C-303C-4F5B-AC6B-7A1EA68D6D86}">
  <ds:schemaRefs>
    <ds:schemaRef ds:uri="http://schemas.microsoft.com/office/2006/metadata/properties"/>
    <ds:schemaRef ds:uri="http://www.w3.org/XML/1998/namespace"/>
    <ds:schemaRef ds:uri="http://purl.org/dc/dcmitype/"/>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1fe0551b-aea2-4114-b38d-c5f7409b7e34"/>
    <ds:schemaRef ds:uri="12fa1e3f-bff0-4a68-a0e1-8991d6694121"/>
    <ds:schemaRef ds:uri="http://purl.org/dc/elements/1.1/"/>
  </ds:schemaRefs>
</ds:datastoreItem>
</file>

<file path=customXml/itemProps3.xml><?xml version="1.0" encoding="utf-8"?>
<ds:datastoreItem xmlns:ds="http://schemas.openxmlformats.org/officeDocument/2006/customXml" ds:itemID="{291246EF-D13B-472E-A1E2-E75FE3B6183A}">
  <ds:schemaRefs>
    <ds:schemaRef ds:uri="http://schemas.microsoft.com/sharepoint/v3/contenttype/forms"/>
  </ds:schemaRefs>
</ds:datastoreItem>
</file>

<file path=customXml/itemProps4.xml><?xml version="1.0" encoding="utf-8"?>
<ds:datastoreItem xmlns:ds="http://schemas.openxmlformats.org/officeDocument/2006/customXml" ds:itemID="{DD897EA1-FDE9-4134-A2A2-2566CF181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27661</Words>
  <Characters>157392</Characters>
  <Application>Microsoft Office Word</Application>
  <DocSecurity>0</DocSecurity>
  <Lines>3421</Lines>
  <Paragraphs>1947</Paragraphs>
  <ScaleCrop>false</ScaleCrop>
  <Company/>
  <LinksUpToDate>false</LinksUpToDate>
  <CharactersWithSpaces>183106</CharactersWithSpaces>
  <SharedDoc>false</SharedDoc>
  <HLinks>
    <vt:vector size="228" baseType="variant">
      <vt:variant>
        <vt:i4>6225929</vt:i4>
      </vt:variant>
      <vt:variant>
        <vt:i4>201</vt:i4>
      </vt:variant>
      <vt:variant>
        <vt:i4>0</vt:i4>
      </vt:variant>
      <vt:variant>
        <vt:i4>5</vt:i4>
      </vt:variant>
      <vt:variant>
        <vt:lpwstr>https://engage.vic.gov.au/water-price-review-2023</vt:lpwstr>
      </vt:variant>
      <vt:variant>
        <vt:lpwstr/>
      </vt:variant>
      <vt:variant>
        <vt:i4>6225929</vt:i4>
      </vt:variant>
      <vt:variant>
        <vt:i4>198</vt:i4>
      </vt:variant>
      <vt:variant>
        <vt:i4>0</vt:i4>
      </vt:variant>
      <vt:variant>
        <vt:i4>5</vt:i4>
      </vt:variant>
      <vt:variant>
        <vt:lpwstr>https://engage.vic.gov.au/water-price-review-2023</vt:lpwstr>
      </vt:variant>
      <vt:variant>
        <vt:lpwstr/>
      </vt:variant>
      <vt:variant>
        <vt:i4>6225929</vt:i4>
      </vt:variant>
      <vt:variant>
        <vt:i4>195</vt:i4>
      </vt:variant>
      <vt:variant>
        <vt:i4>0</vt:i4>
      </vt:variant>
      <vt:variant>
        <vt:i4>5</vt:i4>
      </vt:variant>
      <vt:variant>
        <vt:lpwstr>https://engage.vic.gov.au/water-price-review-2024</vt:lpwstr>
      </vt:variant>
      <vt:variant>
        <vt:lpwstr/>
      </vt:variant>
      <vt:variant>
        <vt:i4>1376304</vt:i4>
      </vt:variant>
      <vt:variant>
        <vt:i4>188</vt:i4>
      </vt:variant>
      <vt:variant>
        <vt:i4>0</vt:i4>
      </vt:variant>
      <vt:variant>
        <vt:i4>5</vt:i4>
      </vt:variant>
      <vt:variant>
        <vt:lpwstr/>
      </vt:variant>
      <vt:variant>
        <vt:lpwstr>_Toc161401016</vt:lpwstr>
      </vt:variant>
      <vt:variant>
        <vt:i4>1376304</vt:i4>
      </vt:variant>
      <vt:variant>
        <vt:i4>182</vt:i4>
      </vt:variant>
      <vt:variant>
        <vt:i4>0</vt:i4>
      </vt:variant>
      <vt:variant>
        <vt:i4>5</vt:i4>
      </vt:variant>
      <vt:variant>
        <vt:lpwstr/>
      </vt:variant>
      <vt:variant>
        <vt:lpwstr>_Toc161401015</vt:lpwstr>
      </vt:variant>
      <vt:variant>
        <vt:i4>1310768</vt:i4>
      </vt:variant>
      <vt:variant>
        <vt:i4>176</vt:i4>
      </vt:variant>
      <vt:variant>
        <vt:i4>0</vt:i4>
      </vt:variant>
      <vt:variant>
        <vt:i4>5</vt:i4>
      </vt:variant>
      <vt:variant>
        <vt:lpwstr/>
      </vt:variant>
      <vt:variant>
        <vt:lpwstr>_Toc161401009</vt:lpwstr>
      </vt:variant>
      <vt:variant>
        <vt:i4>1310768</vt:i4>
      </vt:variant>
      <vt:variant>
        <vt:i4>170</vt:i4>
      </vt:variant>
      <vt:variant>
        <vt:i4>0</vt:i4>
      </vt:variant>
      <vt:variant>
        <vt:i4>5</vt:i4>
      </vt:variant>
      <vt:variant>
        <vt:lpwstr/>
      </vt:variant>
      <vt:variant>
        <vt:lpwstr>_Toc161401008</vt:lpwstr>
      </vt:variant>
      <vt:variant>
        <vt:i4>1310768</vt:i4>
      </vt:variant>
      <vt:variant>
        <vt:i4>164</vt:i4>
      </vt:variant>
      <vt:variant>
        <vt:i4>0</vt:i4>
      </vt:variant>
      <vt:variant>
        <vt:i4>5</vt:i4>
      </vt:variant>
      <vt:variant>
        <vt:lpwstr/>
      </vt:variant>
      <vt:variant>
        <vt:lpwstr>_Toc161401007</vt:lpwstr>
      </vt:variant>
      <vt:variant>
        <vt:i4>1310768</vt:i4>
      </vt:variant>
      <vt:variant>
        <vt:i4>158</vt:i4>
      </vt:variant>
      <vt:variant>
        <vt:i4>0</vt:i4>
      </vt:variant>
      <vt:variant>
        <vt:i4>5</vt:i4>
      </vt:variant>
      <vt:variant>
        <vt:lpwstr/>
      </vt:variant>
      <vt:variant>
        <vt:lpwstr>_Toc161401006</vt:lpwstr>
      </vt:variant>
      <vt:variant>
        <vt:i4>1310768</vt:i4>
      </vt:variant>
      <vt:variant>
        <vt:i4>152</vt:i4>
      </vt:variant>
      <vt:variant>
        <vt:i4>0</vt:i4>
      </vt:variant>
      <vt:variant>
        <vt:i4>5</vt:i4>
      </vt:variant>
      <vt:variant>
        <vt:lpwstr/>
      </vt:variant>
      <vt:variant>
        <vt:lpwstr>_Toc161401005</vt:lpwstr>
      </vt:variant>
      <vt:variant>
        <vt:i4>1310768</vt:i4>
      </vt:variant>
      <vt:variant>
        <vt:i4>146</vt:i4>
      </vt:variant>
      <vt:variant>
        <vt:i4>0</vt:i4>
      </vt:variant>
      <vt:variant>
        <vt:i4>5</vt:i4>
      </vt:variant>
      <vt:variant>
        <vt:lpwstr/>
      </vt:variant>
      <vt:variant>
        <vt:lpwstr>_Toc161401000</vt:lpwstr>
      </vt:variant>
      <vt:variant>
        <vt:i4>1835065</vt:i4>
      </vt:variant>
      <vt:variant>
        <vt:i4>140</vt:i4>
      </vt:variant>
      <vt:variant>
        <vt:i4>0</vt:i4>
      </vt:variant>
      <vt:variant>
        <vt:i4>5</vt:i4>
      </vt:variant>
      <vt:variant>
        <vt:lpwstr/>
      </vt:variant>
      <vt:variant>
        <vt:lpwstr>_Toc161400999</vt:lpwstr>
      </vt:variant>
      <vt:variant>
        <vt:i4>1835065</vt:i4>
      </vt:variant>
      <vt:variant>
        <vt:i4>134</vt:i4>
      </vt:variant>
      <vt:variant>
        <vt:i4>0</vt:i4>
      </vt:variant>
      <vt:variant>
        <vt:i4>5</vt:i4>
      </vt:variant>
      <vt:variant>
        <vt:lpwstr/>
      </vt:variant>
      <vt:variant>
        <vt:lpwstr>_Toc161400998</vt:lpwstr>
      </vt:variant>
      <vt:variant>
        <vt:i4>1835065</vt:i4>
      </vt:variant>
      <vt:variant>
        <vt:i4>128</vt:i4>
      </vt:variant>
      <vt:variant>
        <vt:i4>0</vt:i4>
      </vt:variant>
      <vt:variant>
        <vt:i4>5</vt:i4>
      </vt:variant>
      <vt:variant>
        <vt:lpwstr/>
      </vt:variant>
      <vt:variant>
        <vt:lpwstr>_Toc161400997</vt:lpwstr>
      </vt:variant>
      <vt:variant>
        <vt:i4>1835065</vt:i4>
      </vt:variant>
      <vt:variant>
        <vt:i4>122</vt:i4>
      </vt:variant>
      <vt:variant>
        <vt:i4>0</vt:i4>
      </vt:variant>
      <vt:variant>
        <vt:i4>5</vt:i4>
      </vt:variant>
      <vt:variant>
        <vt:lpwstr/>
      </vt:variant>
      <vt:variant>
        <vt:lpwstr>_Toc161400996</vt:lpwstr>
      </vt:variant>
      <vt:variant>
        <vt:i4>1835065</vt:i4>
      </vt:variant>
      <vt:variant>
        <vt:i4>116</vt:i4>
      </vt:variant>
      <vt:variant>
        <vt:i4>0</vt:i4>
      </vt:variant>
      <vt:variant>
        <vt:i4>5</vt:i4>
      </vt:variant>
      <vt:variant>
        <vt:lpwstr/>
      </vt:variant>
      <vt:variant>
        <vt:lpwstr>_Toc161400995</vt:lpwstr>
      </vt:variant>
      <vt:variant>
        <vt:i4>1835065</vt:i4>
      </vt:variant>
      <vt:variant>
        <vt:i4>110</vt:i4>
      </vt:variant>
      <vt:variant>
        <vt:i4>0</vt:i4>
      </vt:variant>
      <vt:variant>
        <vt:i4>5</vt:i4>
      </vt:variant>
      <vt:variant>
        <vt:lpwstr/>
      </vt:variant>
      <vt:variant>
        <vt:lpwstr>_Toc161400992</vt:lpwstr>
      </vt:variant>
      <vt:variant>
        <vt:i4>1900601</vt:i4>
      </vt:variant>
      <vt:variant>
        <vt:i4>104</vt:i4>
      </vt:variant>
      <vt:variant>
        <vt:i4>0</vt:i4>
      </vt:variant>
      <vt:variant>
        <vt:i4>5</vt:i4>
      </vt:variant>
      <vt:variant>
        <vt:lpwstr/>
      </vt:variant>
      <vt:variant>
        <vt:lpwstr>_Toc161400989</vt:lpwstr>
      </vt:variant>
      <vt:variant>
        <vt:i4>1900601</vt:i4>
      </vt:variant>
      <vt:variant>
        <vt:i4>98</vt:i4>
      </vt:variant>
      <vt:variant>
        <vt:i4>0</vt:i4>
      </vt:variant>
      <vt:variant>
        <vt:i4>5</vt:i4>
      </vt:variant>
      <vt:variant>
        <vt:lpwstr/>
      </vt:variant>
      <vt:variant>
        <vt:lpwstr>_Toc161400988</vt:lpwstr>
      </vt:variant>
      <vt:variant>
        <vt:i4>1900601</vt:i4>
      </vt:variant>
      <vt:variant>
        <vt:i4>92</vt:i4>
      </vt:variant>
      <vt:variant>
        <vt:i4>0</vt:i4>
      </vt:variant>
      <vt:variant>
        <vt:i4>5</vt:i4>
      </vt:variant>
      <vt:variant>
        <vt:lpwstr/>
      </vt:variant>
      <vt:variant>
        <vt:lpwstr>_Toc161400984</vt:lpwstr>
      </vt:variant>
      <vt:variant>
        <vt:i4>1900601</vt:i4>
      </vt:variant>
      <vt:variant>
        <vt:i4>86</vt:i4>
      </vt:variant>
      <vt:variant>
        <vt:i4>0</vt:i4>
      </vt:variant>
      <vt:variant>
        <vt:i4>5</vt:i4>
      </vt:variant>
      <vt:variant>
        <vt:lpwstr/>
      </vt:variant>
      <vt:variant>
        <vt:lpwstr>_Toc161400983</vt:lpwstr>
      </vt:variant>
      <vt:variant>
        <vt:i4>1900601</vt:i4>
      </vt:variant>
      <vt:variant>
        <vt:i4>80</vt:i4>
      </vt:variant>
      <vt:variant>
        <vt:i4>0</vt:i4>
      </vt:variant>
      <vt:variant>
        <vt:i4>5</vt:i4>
      </vt:variant>
      <vt:variant>
        <vt:lpwstr/>
      </vt:variant>
      <vt:variant>
        <vt:lpwstr>_Toc161400982</vt:lpwstr>
      </vt:variant>
      <vt:variant>
        <vt:i4>1900601</vt:i4>
      </vt:variant>
      <vt:variant>
        <vt:i4>74</vt:i4>
      </vt:variant>
      <vt:variant>
        <vt:i4>0</vt:i4>
      </vt:variant>
      <vt:variant>
        <vt:i4>5</vt:i4>
      </vt:variant>
      <vt:variant>
        <vt:lpwstr/>
      </vt:variant>
      <vt:variant>
        <vt:lpwstr>_Toc161400981</vt:lpwstr>
      </vt:variant>
      <vt:variant>
        <vt:i4>1179705</vt:i4>
      </vt:variant>
      <vt:variant>
        <vt:i4>68</vt:i4>
      </vt:variant>
      <vt:variant>
        <vt:i4>0</vt:i4>
      </vt:variant>
      <vt:variant>
        <vt:i4>5</vt:i4>
      </vt:variant>
      <vt:variant>
        <vt:lpwstr/>
      </vt:variant>
      <vt:variant>
        <vt:lpwstr>_Toc161400978</vt:lpwstr>
      </vt:variant>
      <vt:variant>
        <vt:i4>1179705</vt:i4>
      </vt:variant>
      <vt:variant>
        <vt:i4>62</vt:i4>
      </vt:variant>
      <vt:variant>
        <vt:i4>0</vt:i4>
      </vt:variant>
      <vt:variant>
        <vt:i4>5</vt:i4>
      </vt:variant>
      <vt:variant>
        <vt:lpwstr/>
      </vt:variant>
      <vt:variant>
        <vt:lpwstr>_Toc161400977</vt:lpwstr>
      </vt:variant>
      <vt:variant>
        <vt:i4>1179705</vt:i4>
      </vt:variant>
      <vt:variant>
        <vt:i4>56</vt:i4>
      </vt:variant>
      <vt:variant>
        <vt:i4>0</vt:i4>
      </vt:variant>
      <vt:variant>
        <vt:i4>5</vt:i4>
      </vt:variant>
      <vt:variant>
        <vt:lpwstr/>
      </vt:variant>
      <vt:variant>
        <vt:lpwstr>_Toc161400976</vt:lpwstr>
      </vt:variant>
      <vt:variant>
        <vt:i4>1179705</vt:i4>
      </vt:variant>
      <vt:variant>
        <vt:i4>50</vt:i4>
      </vt:variant>
      <vt:variant>
        <vt:i4>0</vt:i4>
      </vt:variant>
      <vt:variant>
        <vt:i4>5</vt:i4>
      </vt:variant>
      <vt:variant>
        <vt:lpwstr/>
      </vt:variant>
      <vt:variant>
        <vt:lpwstr>_Toc161400975</vt:lpwstr>
      </vt:variant>
      <vt:variant>
        <vt:i4>1179705</vt:i4>
      </vt:variant>
      <vt:variant>
        <vt:i4>44</vt:i4>
      </vt:variant>
      <vt:variant>
        <vt:i4>0</vt:i4>
      </vt:variant>
      <vt:variant>
        <vt:i4>5</vt:i4>
      </vt:variant>
      <vt:variant>
        <vt:lpwstr/>
      </vt:variant>
      <vt:variant>
        <vt:lpwstr>_Toc161400974</vt:lpwstr>
      </vt:variant>
      <vt:variant>
        <vt:i4>1179705</vt:i4>
      </vt:variant>
      <vt:variant>
        <vt:i4>38</vt:i4>
      </vt:variant>
      <vt:variant>
        <vt:i4>0</vt:i4>
      </vt:variant>
      <vt:variant>
        <vt:i4>5</vt:i4>
      </vt:variant>
      <vt:variant>
        <vt:lpwstr/>
      </vt:variant>
      <vt:variant>
        <vt:lpwstr>_Toc161400973</vt:lpwstr>
      </vt:variant>
      <vt:variant>
        <vt:i4>1179705</vt:i4>
      </vt:variant>
      <vt:variant>
        <vt:i4>32</vt:i4>
      </vt:variant>
      <vt:variant>
        <vt:i4>0</vt:i4>
      </vt:variant>
      <vt:variant>
        <vt:i4>5</vt:i4>
      </vt:variant>
      <vt:variant>
        <vt:lpwstr/>
      </vt:variant>
      <vt:variant>
        <vt:lpwstr>_Toc161400972</vt:lpwstr>
      </vt:variant>
      <vt:variant>
        <vt:i4>1179705</vt:i4>
      </vt:variant>
      <vt:variant>
        <vt:i4>26</vt:i4>
      </vt:variant>
      <vt:variant>
        <vt:i4>0</vt:i4>
      </vt:variant>
      <vt:variant>
        <vt:i4>5</vt:i4>
      </vt:variant>
      <vt:variant>
        <vt:lpwstr/>
      </vt:variant>
      <vt:variant>
        <vt:lpwstr>_Toc161400971</vt:lpwstr>
      </vt:variant>
      <vt:variant>
        <vt:i4>1179705</vt:i4>
      </vt:variant>
      <vt:variant>
        <vt:i4>20</vt:i4>
      </vt:variant>
      <vt:variant>
        <vt:i4>0</vt:i4>
      </vt:variant>
      <vt:variant>
        <vt:i4>5</vt:i4>
      </vt:variant>
      <vt:variant>
        <vt:lpwstr/>
      </vt:variant>
      <vt:variant>
        <vt:lpwstr>_Toc161400970</vt:lpwstr>
      </vt:variant>
      <vt:variant>
        <vt:i4>1245241</vt:i4>
      </vt:variant>
      <vt:variant>
        <vt:i4>14</vt:i4>
      </vt:variant>
      <vt:variant>
        <vt:i4>0</vt:i4>
      </vt:variant>
      <vt:variant>
        <vt:i4>5</vt:i4>
      </vt:variant>
      <vt:variant>
        <vt:lpwstr/>
      </vt:variant>
      <vt:variant>
        <vt:lpwstr>_Toc161400969</vt:lpwstr>
      </vt:variant>
      <vt:variant>
        <vt:i4>1245241</vt:i4>
      </vt:variant>
      <vt:variant>
        <vt:i4>8</vt:i4>
      </vt:variant>
      <vt:variant>
        <vt:i4>0</vt:i4>
      </vt:variant>
      <vt:variant>
        <vt:i4>5</vt:i4>
      </vt:variant>
      <vt:variant>
        <vt:lpwstr/>
      </vt:variant>
      <vt:variant>
        <vt:lpwstr>_Toc161400968</vt:lpwstr>
      </vt:variant>
      <vt:variant>
        <vt:i4>1048633</vt:i4>
      </vt:variant>
      <vt:variant>
        <vt:i4>2</vt:i4>
      </vt:variant>
      <vt:variant>
        <vt:i4>0</vt:i4>
      </vt:variant>
      <vt:variant>
        <vt:i4>5</vt:i4>
      </vt:variant>
      <vt:variant>
        <vt:lpwstr/>
      </vt:variant>
      <vt:variant>
        <vt:lpwstr>_Toc161400957</vt:lpwstr>
      </vt:variant>
      <vt:variant>
        <vt:i4>7209017</vt:i4>
      </vt:variant>
      <vt:variant>
        <vt:i4>6</vt:i4>
      </vt:variant>
      <vt:variant>
        <vt:i4>0</vt:i4>
      </vt:variant>
      <vt:variant>
        <vt:i4>5</vt:i4>
      </vt:variant>
      <vt:variant>
        <vt:lpwstr>https://www.esc.vic.gov.au/water/sector-performance-and-reporting/how-customers-rate-their-water-business</vt:lpwstr>
      </vt:variant>
      <vt:variant>
        <vt:lpwstr>tabs-container2</vt:lpwstr>
      </vt:variant>
      <vt:variant>
        <vt:i4>458830</vt:i4>
      </vt:variant>
      <vt:variant>
        <vt:i4>3</vt:i4>
      </vt:variant>
      <vt:variant>
        <vt:i4>0</vt:i4>
      </vt:variant>
      <vt:variant>
        <vt:i4>5</vt:i4>
      </vt:variant>
      <vt:variant>
        <vt:lpwstr>https://escvic.sharepoint.com/teams/2023WaterPriceReview/Shared Documents/PMs and Project management/Decision paper templates - working files/www.esc.vic.gov.au</vt:lpwstr>
      </vt:variant>
      <vt:variant>
        <vt:lpwstr/>
      </vt:variant>
      <vt:variant>
        <vt:i4>6488113</vt:i4>
      </vt:variant>
      <vt:variant>
        <vt:i4>0</vt:i4>
      </vt:variant>
      <vt:variant>
        <vt:i4>0</vt:i4>
      </vt:variant>
      <vt:variant>
        <vt:i4>5</vt:i4>
      </vt:variant>
      <vt:variant>
        <vt:lpwstr>https://www.esc.vic.gov.au/water/water-prices-tariffs-and-special-drainage/water-price-reviews/water-price-review-2024/greater-western-water-price-review-2024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Greater Western Water draft decision</dc:title>
  <dc:subject/>
  <dc:creator>Robyn Keely (ESC)</dc:creator>
  <cp:keywords>[SEC=UNOFFICIAL]</cp:keywords>
  <dc:description>2024 Water Price Review</dc:description>
  <cp:lastModifiedBy>Ella Dobbyn (ESC)</cp:lastModifiedBy>
  <cp:revision>2</cp:revision>
  <cp:lastPrinted>2024-03-25T02:35:00Z</cp:lastPrinted>
  <dcterms:created xsi:type="dcterms:W3CDTF">2024-03-25T02:54:00Z</dcterms:created>
  <dcterms:modified xsi:type="dcterms:W3CDTF">2024-03-25T02:54:00Z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Caveats_Count">
    <vt:lpwstr>0</vt:lpwstr>
  </property>
  <property fmtid="{D5CDD505-2E9C-101B-9397-08002B2CF9AE}" pid="4" name="PM_Qualifier">
    <vt:lpwstr/>
  </property>
  <property fmtid="{D5CDD505-2E9C-101B-9397-08002B2CF9AE}" pid="5" name="PM_SecurityClassification">
    <vt:lpwstr>UNOFFICIAL</vt:lpwstr>
  </property>
  <property fmtid="{D5CDD505-2E9C-101B-9397-08002B2CF9AE}" pid="6" name="PM_Originating_FileId">
    <vt:lpwstr>95935E9E7672451A841D0E6FD986A94B</vt:lpwstr>
  </property>
  <property fmtid="{D5CDD505-2E9C-101B-9397-08002B2CF9AE}" pid="7" name="PM_ProtectiveMarkingImage_Footer">
    <vt:lpwstr>C:\Program Files\Common Files\janusNET Shared\janusSEAL\Images\DocumentSlashBlue.png</vt:lpwstr>
  </property>
  <property fmtid="{D5CDD505-2E9C-101B-9397-08002B2CF9AE}" pid="8" name="PM_Namespace">
    <vt:lpwstr>2019.2.1.vic.gov.au</vt:lpwstr>
  </property>
  <property fmtid="{D5CDD505-2E9C-101B-9397-08002B2CF9AE}" pid="9" name="PM_Version">
    <vt:lpwstr>2018.4</vt:lpwstr>
  </property>
  <property fmtid="{D5CDD505-2E9C-101B-9397-08002B2CF9AE}" pid="10" name="PM_Note">
    <vt:lpwstr/>
  </property>
  <property fmtid="{D5CDD505-2E9C-101B-9397-08002B2CF9AE}" pid="11" name="PM_Markers">
    <vt:lpwstr/>
  </property>
  <property fmtid="{D5CDD505-2E9C-101B-9397-08002B2CF9AE}" pid="12" name="PM_OriginatorDomainName_SHA256">
    <vt:lpwstr>9E5929A2B0C9364118E50F7972B6A4AA763F815A803675E11226272E392AE99C</vt:lpwstr>
  </property>
  <property fmtid="{D5CDD505-2E9C-101B-9397-08002B2CF9AE}" pid="13" name="PM_SecurityClassification_Prev">
    <vt:lpwstr>UNOFFICIAL</vt:lpwstr>
  </property>
  <property fmtid="{D5CDD505-2E9C-101B-9397-08002B2CF9AE}" pid="14" name="PM_Qualifier_Prev">
    <vt:lpwstr/>
  </property>
  <property fmtid="{D5CDD505-2E9C-101B-9397-08002B2CF9AE}" pid="15" name="ContentTypeId">
    <vt:lpwstr>0x0101008AF5B4F566EDE04E8FC82BBE258AC15C</vt:lpwstr>
  </property>
  <property fmtid="{D5CDD505-2E9C-101B-9397-08002B2CF9AE}" pid="16" name="MediaServiceImageTags">
    <vt:lpwstr/>
  </property>
  <property fmtid="{D5CDD505-2E9C-101B-9397-08002B2CF9AE}" pid="17" name="PM_OriginationTimeStamp">
    <vt:lpwstr>2024-03-24T22:39:40Z</vt:lpwstr>
  </property>
  <property fmtid="{D5CDD505-2E9C-101B-9397-08002B2CF9AE}" pid="18" name="PMUuid">
    <vt:lpwstr>v=2022.2;d=vic.gov.au;g=DBB53C2B-A4B8-50FB-B09D-42EC596A5DC3</vt:lpwstr>
  </property>
  <property fmtid="{D5CDD505-2E9C-101B-9397-08002B2CF9AE}" pid="19" name="PM_Hash_Version">
    <vt:lpwstr>2022.1</vt:lpwstr>
  </property>
  <property fmtid="{D5CDD505-2E9C-101B-9397-08002B2CF9AE}" pid="20" name="PM_DisplayValueSecClassificationWithQualifier">
    <vt:lpwstr>UNOFFICIAL</vt:lpwstr>
  </property>
  <property fmtid="{D5CDD505-2E9C-101B-9397-08002B2CF9AE}" pid="21" name="PM_InsertionValue">
    <vt:lpwstr>UNOFFICIAL</vt:lpwstr>
  </property>
  <property fmtid="{D5CDD505-2E9C-101B-9397-08002B2CF9AE}" pid="22" name="PM_ProtectiveMarkingValue_Footer">
    <vt:lpwstr>UNOFFICIAL</vt:lpwstr>
  </property>
  <property fmtid="{D5CDD505-2E9C-101B-9397-08002B2CF9AE}" pid="23" name="PM_ProtectiveMarkingValue_Header">
    <vt:lpwstr>UNOFFICIAL</vt:lpwstr>
  </property>
  <property fmtid="{D5CDD505-2E9C-101B-9397-08002B2CF9AE}" pid="24" name="PM_Display">
    <vt:lpwstr>UNOFFICIAL</vt:lpwstr>
  </property>
  <property fmtid="{D5CDD505-2E9C-101B-9397-08002B2CF9AE}" pid="25" name="PM_Originator_Hash_SHA1">
    <vt:lpwstr>E054405373E61DDC3E85FD0FB155FD6AD7EFDD22</vt:lpwstr>
  </property>
  <property fmtid="{D5CDD505-2E9C-101B-9397-08002B2CF9AE}" pid="26" name="PM_OriginatorUserAccountName_SHA256">
    <vt:lpwstr>E731B15B110CBD3294D94344172D97151D97F737558628950DB22509C86D8DED</vt:lpwstr>
  </property>
  <property fmtid="{D5CDD505-2E9C-101B-9397-08002B2CF9AE}" pid="27" name="PM_Hash_Salt_Prev">
    <vt:lpwstr>2FFD57F6EBC15BE865ABB9F3229983A1</vt:lpwstr>
  </property>
  <property fmtid="{D5CDD505-2E9C-101B-9397-08002B2CF9AE}" pid="28" name="PM_Hash_Salt">
    <vt:lpwstr>27571DAE82BD93175FB5688446B05511</vt:lpwstr>
  </property>
  <property fmtid="{D5CDD505-2E9C-101B-9397-08002B2CF9AE}" pid="29" name="PM_Hash_SHA1">
    <vt:lpwstr>353310F3D705B0616D0CFFFA4BAA18FAB0FF7356</vt:lpwstr>
  </property>
  <property fmtid="{D5CDD505-2E9C-101B-9397-08002B2CF9AE}" pid="30" name="PMHMAC">
    <vt:lpwstr>v=2022.1;a=SHA256;h=F93AFD931339D9E856C5C6084977A8D12C93BDC757FE48AAF91BC14F3FDDFE6C</vt:lpwstr>
  </property>
</Properties>
</file>