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C347" w14:textId="77777777" w:rsidR="00AF6C5D" w:rsidRDefault="00AF6C5D" w:rsidP="00AF6C5D">
      <w:pPr>
        <w:pStyle w:val="Heading1"/>
      </w:pPr>
      <w:bookmarkStart w:id="1" w:name="_Toc480988882"/>
      <w:bookmarkStart w:id="2" w:name="_Toc481138193"/>
      <w:bookmarkStart w:id="3" w:name="_Toc481138401"/>
      <w:r>
        <w:t>Consultation summary</w:t>
      </w:r>
    </w:p>
    <w:p w14:paraId="3AA547F8" w14:textId="18DBFA41" w:rsidR="00AF6C5D" w:rsidRPr="00D86D59" w:rsidRDefault="00AF6C5D" w:rsidP="00AF6C5D">
      <w:pPr>
        <w:pStyle w:val="Heading2"/>
      </w:pPr>
      <w:r w:rsidRPr="00D86D59">
        <w:rPr>
          <w:color w:val="CE0058" w:themeColor="accent2"/>
        </w:rPr>
        <w:t>Revoking the Electricity System Code</w:t>
      </w:r>
      <w:r>
        <w:rPr>
          <w:color w:val="CE0058" w:themeColor="accent2"/>
        </w:rPr>
        <w:t>:</w:t>
      </w:r>
      <w:r w:rsidRPr="00D86D59">
        <w:rPr>
          <w:color w:val="CE0058" w:themeColor="accent2"/>
        </w:rPr>
        <w:t xml:space="preserve"> Draft Decision</w:t>
      </w:r>
    </w:p>
    <w:p w14:paraId="71C6D260" w14:textId="77777777" w:rsidR="00AF6C5D" w:rsidRDefault="00AF6C5D" w:rsidP="00AF6C5D">
      <w:pPr>
        <w:pStyle w:val="Heading2"/>
      </w:pPr>
      <w:r>
        <w:t>Introduction</w:t>
      </w:r>
    </w:p>
    <w:p w14:paraId="7381B28B" w14:textId="77777777" w:rsidR="00AF6C5D" w:rsidRDefault="00AF6C5D" w:rsidP="00AF6C5D">
      <w:r>
        <w:t xml:space="preserve">On 28 September 2023 we published our draft decision to revoke the Electricity System Code. In our draft decision we noted that the obligations in the Electricity System Code are now largely regulated via the </w:t>
      </w:r>
      <w:r w:rsidRPr="00684CAD">
        <w:t>National Electricity Rules</w:t>
      </w:r>
      <w:r>
        <w:t xml:space="preserve"> and the </w:t>
      </w:r>
      <w:r w:rsidRPr="00684CAD">
        <w:t>National Electricity Law</w:t>
      </w:r>
      <w:r>
        <w:t>.</w:t>
      </w:r>
    </w:p>
    <w:p w14:paraId="51AB807F" w14:textId="77777777" w:rsidR="00AF6C5D" w:rsidRDefault="00AF6C5D" w:rsidP="00AF6C5D">
      <w:r>
        <w:t>Our draft decision is to revoke the Electricity System Code and update existing transmission licences to reflect the revocation of the code and ensure consistency across licences.</w:t>
      </w:r>
    </w:p>
    <w:p w14:paraId="3B6D67AC" w14:textId="77777777" w:rsidR="00AF6C5D" w:rsidRDefault="00AF6C5D" w:rsidP="00AF6C5D">
      <w:pPr>
        <w:pStyle w:val="Heading2"/>
      </w:pPr>
      <w:r>
        <w:t>Consultation process</w:t>
      </w:r>
    </w:p>
    <w:p w14:paraId="6F2EFBA9" w14:textId="77777777" w:rsidR="00AF6C5D" w:rsidRDefault="00AF6C5D" w:rsidP="00AF6C5D">
      <w:r>
        <w:t xml:space="preserve">We requested feedback from stakeholders and the public on our draft decision. We considered stakeholder feedback on whether: </w:t>
      </w:r>
    </w:p>
    <w:p w14:paraId="78797BDA" w14:textId="77777777" w:rsidR="00AF6C5D" w:rsidRPr="00BB13EE" w:rsidRDefault="00AF6C5D" w:rsidP="00AF6C5D">
      <w:pPr>
        <w:pStyle w:val="ListBullet"/>
      </w:pPr>
      <w:r w:rsidRPr="00BB13EE">
        <w:rPr>
          <w:lang w:val="en-US"/>
        </w:rPr>
        <w:t>stakeholders had any concerns with the proposed revocation of the code</w:t>
      </w:r>
    </w:p>
    <w:p w14:paraId="679144F7" w14:textId="77777777" w:rsidR="00AF6C5D" w:rsidRPr="00BB13EE" w:rsidRDefault="00AF6C5D" w:rsidP="00AF6C5D">
      <w:pPr>
        <w:pStyle w:val="ListBullet"/>
      </w:pPr>
      <w:r w:rsidRPr="00BB13EE">
        <w:rPr>
          <w:lang w:val="en-US"/>
        </w:rPr>
        <w:t>there are any provisions of the code we should consider retaining</w:t>
      </w:r>
    </w:p>
    <w:p w14:paraId="4B0FB1CA" w14:textId="77777777" w:rsidR="00AF6C5D" w:rsidRPr="008A0FF0" w:rsidRDefault="00AF6C5D" w:rsidP="00AF6C5D">
      <w:pPr>
        <w:pStyle w:val="ListBullet"/>
      </w:pPr>
      <w:r w:rsidRPr="00BB13EE">
        <w:rPr>
          <w:lang w:val="en-US"/>
        </w:rPr>
        <w:t xml:space="preserve">transmission companies had any concerns with proposed variations to transmission </w:t>
      </w:r>
      <w:proofErr w:type="spellStart"/>
      <w:r>
        <w:rPr>
          <w:lang w:val="en-US"/>
        </w:rPr>
        <w:t>l</w:t>
      </w:r>
      <w:r w:rsidRPr="00BB13EE">
        <w:rPr>
          <w:lang w:val="en-US"/>
        </w:rPr>
        <w:t>icences</w:t>
      </w:r>
      <w:proofErr w:type="spellEnd"/>
      <w:r w:rsidRPr="00BB13EE">
        <w:rPr>
          <w:lang w:val="en-US"/>
        </w:rPr>
        <w:t xml:space="preserve">. </w:t>
      </w:r>
    </w:p>
    <w:p w14:paraId="3424681A" w14:textId="6A3D2B6A" w:rsidR="00AF6C5D" w:rsidRDefault="00AF6C5D" w:rsidP="00AF6C5D">
      <w:r>
        <w:t xml:space="preserve">During the six-week consultation period, we received a total of </w:t>
      </w:r>
      <w:r w:rsidR="000B7A39">
        <w:t>six</w:t>
      </w:r>
      <w:r>
        <w:t xml:space="preserve"> submissions, </w:t>
      </w:r>
      <w:r w:rsidR="00DD1727">
        <w:t>two</w:t>
      </w:r>
      <w:r>
        <w:t xml:space="preserve"> submissions </w:t>
      </w:r>
      <w:r w:rsidR="00DD1727">
        <w:t xml:space="preserve">were </w:t>
      </w:r>
      <w:r>
        <w:t>from distribution</w:t>
      </w:r>
      <w:r w:rsidR="00DD1727">
        <w:t xml:space="preserve"> and transmission</w:t>
      </w:r>
      <w:r>
        <w:t xml:space="preserve"> companies, one submission from an interconnector, </w:t>
      </w:r>
      <w:r w:rsidR="00DD1727">
        <w:t>two</w:t>
      </w:r>
      <w:r>
        <w:t xml:space="preserve"> submission</w:t>
      </w:r>
      <w:r w:rsidR="00DD1727">
        <w:t>s</w:t>
      </w:r>
      <w:r>
        <w:t xml:space="preserve"> from </w:t>
      </w:r>
      <w:r w:rsidR="00DD1727">
        <w:t>a market body</w:t>
      </w:r>
      <w:r>
        <w:t>,</w:t>
      </w:r>
      <w:r w:rsidR="00DD1727">
        <w:t xml:space="preserve"> </w:t>
      </w:r>
      <w:r>
        <w:t xml:space="preserve">and one submission from an industry body. </w:t>
      </w:r>
    </w:p>
    <w:p w14:paraId="73BA7F7D" w14:textId="77777777" w:rsidR="00AF6C5D" w:rsidRDefault="00AF6C5D" w:rsidP="00AF6C5D">
      <w:r>
        <w:t>A summary of submissions and the key issues which gained the attention of stakeholders are highlighted below. These include:</w:t>
      </w:r>
    </w:p>
    <w:p w14:paraId="54B9DAA4" w14:textId="77777777" w:rsidR="00AF6C5D" w:rsidRDefault="00AF6C5D" w:rsidP="00AF6C5D">
      <w:pPr>
        <w:pStyle w:val="ListBullet"/>
      </w:pPr>
      <w:r>
        <w:t>retaining the High Voltage Protection Sub-Code</w:t>
      </w:r>
    </w:p>
    <w:p w14:paraId="7905A5B5" w14:textId="77777777" w:rsidR="00AF6C5D" w:rsidRDefault="00AF6C5D" w:rsidP="00AF6C5D">
      <w:pPr>
        <w:pStyle w:val="ListBullet"/>
      </w:pPr>
      <w:r>
        <w:t>r</w:t>
      </w:r>
      <w:r w:rsidRPr="0020024C">
        <w:t>etaining provisions on voltage levels for connection points between transmission and distribution businesses</w:t>
      </w:r>
    </w:p>
    <w:p w14:paraId="68B312AD" w14:textId="77777777" w:rsidR="00AF6C5D" w:rsidRDefault="00AF6C5D" w:rsidP="00AF6C5D">
      <w:pPr>
        <w:pStyle w:val="ListBullet"/>
      </w:pPr>
      <w:r>
        <w:t>c</w:t>
      </w:r>
      <w:r w:rsidRPr="0020024C">
        <w:t>ommunication obligations and planning responsibilities</w:t>
      </w:r>
    </w:p>
    <w:p w14:paraId="38E075DA" w14:textId="77777777" w:rsidR="00AF6C5D" w:rsidRDefault="00AF6C5D" w:rsidP="00AF6C5D">
      <w:pPr>
        <w:pStyle w:val="ListBullet"/>
      </w:pPr>
      <w:r>
        <w:t>t</w:t>
      </w:r>
      <w:r w:rsidRPr="0020024C">
        <w:t>ransmission service standards</w:t>
      </w:r>
    </w:p>
    <w:p w14:paraId="16160177" w14:textId="77777777" w:rsidR="00AF6C5D" w:rsidRDefault="00AF6C5D" w:rsidP="00AF6C5D">
      <w:pPr>
        <w:pStyle w:val="ListBullet"/>
      </w:pPr>
      <w:r>
        <w:t>licence conditions related to d</w:t>
      </w:r>
      <w:r w:rsidRPr="0020024C">
        <w:t>ispute resolution</w:t>
      </w:r>
      <w:r>
        <w:t xml:space="preserve"> for land access rights</w:t>
      </w:r>
    </w:p>
    <w:p w14:paraId="654300D4" w14:textId="77777777" w:rsidR="00AF6C5D" w:rsidRDefault="00AF6C5D" w:rsidP="00AF6C5D">
      <w:pPr>
        <w:pStyle w:val="ListBullet"/>
      </w:pPr>
      <w:r>
        <w:t>licence conditions related to p</w:t>
      </w:r>
      <w:r w:rsidRPr="0020024C">
        <w:t>ublic liability insurance</w:t>
      </w:r>
      <w:r>
        <w:t>.</w:t>
      </w:r>
    </w:p>
    <w:p w14:paraId="5683B39C" w14:textId="77777777" w:rsidR="00AF6C5D" w:rsidRDefault="00AF6C5D" w:rsidP="00AF6C5D">
      <w:pPr>
        <w:pStyle w:val="Heading2"/>
      </w:pPr>
      <w:r>
        <w:lastRenderedPageBreak/>
        <w:t>Next steps</w:t>
      </w:r>
    </w:p>
    <w:p w14:paraId="158E4569" w14:textId="77777777" w:rsidR="00AF6C5D" w:rsidRDefault="00AF6C5D" w:rsidP="00AF6C5D">
      <w:r>
        <w:t>We are reviewing the feedback received and preparing our final decision. We will further engage and work collaboratively with stakeholders in the coming weeks as we prepare our final decision. Our final decision is expected to be published in March 2024.</w:t>
      </w:r>
    </w:p>
    <w:p w14:paraId="1EEE360C" w14:textId="77777777" w:rsidR="00AF6C5D" w:rsidRDefault="00AF6C5D" w:rsidP="00AF6C5D">
      <w:pPr>
        <w:pStyle w:val="Heading2"/>
      </w:pPr>
      <w:r>
        <w:t>Summary of feedback</w:t>
      </w:r>
    </w:p>
    <w:p w14:paraId="48739552" w14:textId="5332D113" w:rsidR="00AF6C5D" w:rsidRDefault="00AF6C5D" w:rsidP="00AF6C5D">
      <w:r>
        <w:t>Overall, most stakeholders agree with our draft decision to revoke the Electricity System Code and to update electricity transmission licences. Some stakeholders suggested some provisions in the code should be retained. These provisions are highlighted below.</w:t>
      </w:r>
    </w:p>
    <w:tbl>
      <w:tblPr>
        <w:tblStyle w:val="TableGrid"/>
        <w:tblW w:w="9785" w:type="dxa"/>
        <w:tblLook w:val="04A0" w:firstRow="1" w:lastRow="0" w:firstColumn="1" w:lastColumn="0" w:noHBand="0" w:noVBand="1"/>
      </w:tblPr>
      <w:tblGrid>
        <w:gridCol w:w="4890"/>
        <w:gridCol w:w="4895"/>
      </w:tblGrid>
      <w:tr w:rsidR="00AF6C5D" w:rsidRPr="00434D63" w14:paraId="4937E612" w14:textId="77777777" w:rsidTr="008E5AEE">
        <w:trPr>
          <w:cnfStyle w:val="100000000000" w:firstRow="1" w:lastRow="0" w:firstColumn="0" w:lastColumn="0" w:oddVBand="0" w:evenVBand="0" w:oddHBand="0" w:evenHBand="0" w:firstRowFirstColumn="0" w:firstRowLastColumn="0" w:lastRowFirstColumn="0" w:lastRowLastColumn="0"/>
          <w:trHeight w:val="340"/>
        </w:trPr>
        <w:tc>
          <w:tcPr>
            <w:tcW w:w="9785" w:type="dxa"/>
            <w:gridSpan w:val="2"/>
            <w:vAlign w:val="center"/>
          </w:tcPr>
          <w:p w14:paraId="48FA666B" w14:textId="77777777" w:rsidR="00AF6C5D" w:rsidRPr="00AF6C5D" w:rsidRDefault="00AF6C5D" w:rsidP="00AF6C5D">
            <w:pPr>
              <w:spacing w:before="0" w:line="240" w:lineRule="auto"/>
              <w:contextualSpacing/>
            </w:pPr>
            <w:r w:rsidRPr="00AF6C5D">
              <w:t xml:space="preserve">List of stakeholder submissions </w:t>
            </w:r>
          </w:p>
        </w:tc>
      </w:tr>
      <w:tr w:rsidR="000B7A39" w:rsidRPr="00434D63" w14:paraId="5D9A7C4E" w14:textId="77777777" w:rsidTr="000B7A39">
        <w:trPr>
          <w:cnfStyle w:val="000000100000" w:firstRow="0" w:lastRow="0" w:firstColumn="0" w:lastColumn="0" w:oddVBand="0" w:evenVBand="0" w:oddHBand="1" w:evenHBand="0" w:firstRowFirstColumn="0" w:firstRowLastColumn="0" w:lastRowFirstColumn="0" w:lastRowLastColumn="0"/>
          <w:trHeight w:val="246"/>
        </w:trPr>
        <w:tc>
          <w:tcPr>
            <w:tcW w:w="4890" w:type="dxa"/>
            <w:vMerge w:val="restart"/>
            <w:vAlign w:val="center"/>
          </w:tcPr>
          <w:p w14:paraId="0F4734A4" w14:textId="2D4C94C3" w:rsidR="000B7A39" w:rsidRPr="00AF6C5D" w:rsidRDefault="00DD1727" w:rsidP="00AF6C5D">
            <w:pPr>
              <w:spacing w:before="0" w:line="240" w:lineRule="auto"/>
              <w:contextualSpacing/>
              <w:rPr>
                <w:b/>
                <w:bCs/>
              </w:rPr>
            </w:pPr>
            <w:r>
              <w:rPr>
                <w:b/>
                <w:bCs/>
              </w:rPr>
              <w:t>Distribution and transmission Companies</w:t>
            </w:r>
          </w:p>
        </w:tc>
        <w:tc>
          <w:tcPr>
            <w:tcW w:w="4895" w:type="dxa"/>
          </w:tcPr>
          <w:p w14:paraId="39BB32D9" w14:textId="77777777" w:rsidR="000B7A39" w:rsidRPr="00AF6C5D" w:rsidRDefault="000B7A39" w:rsidP="00AF6C5D">
            <w:pPr>
              <w:spacing w:before="0" w:line="240" w:lineRule="auto"/>
              <w:contextualSpacing/>
            </w:pPr>
            <w:r w:rsidRPr="00AF6C5D">
              <w:t>AusNet</w:t>
            </w:r>
          </w:p>
        </w:tc>
      </w:tr>
      <w:tr w:rsidR="000B7A39" w:rsidRPr="00434D63" w14:paraId="7A8C9580" w14:textId="77777777" w:rsidTr="000B7A39">
        <w:trPr>
          <w:cnfStyle w:val="000000010000" w:firstRow="0" w:lastRow="0" w:firstColumn="0" w:lastColumn="0" w:oddVBand="0" w:evenVBand="0" w:oddHBand="0" w:evenHBand="1" w:firstRowFirstColumn="0" w:firstRowLastColumn="0" w:lastRowFirstColumn="0" w:lastRowLastColumn="0"/>
          <w:trHeight w:val="317"/>
        </w:trPr>
        <w:tc>
          <w:tcPr>
            <w:tcW w:w="4890" w:type="dxa"/>
            <w:vMerge/>
            <w:vAlign w:val="center"/>
          </w:tcPr>
          <w:p w14:paraId="0A9FB580" w14:textId="6968A605" w:rsidR="000B7A39" w:rsidRPr="00AF6C5D" w:rsidRDefault="000B7A39" w:rsidP="00AF6C5D">
            <w:pPr>
              <w:spacing w:before="0" w:line="240" w:lineRule="auto"/>
              <w:contextualSpacing/>
              <w:rPr>
                <w:b/>
                <w:bCs/>
              </w:rPr>
            </w:pPr>
          </w:p>
        </w:tc>
        <w:tc>
          <w:tcPr>
            <w:tcW w:w="4895" w:type="dxa"/>
          </w:tcPr>
          <w:p w14:paraId="2C0297F6" w14:textId="77777777" w:rsidR="000B7A39" w:rsidRPr="00AF6C5D" w:rsidRDefault="000B7A39" w:rsidP="00AF6C5D">
            <w:pPr>
              <w:spacing w:before="0" w:line="240" w:lineRule="auto"/>
              <w:contextualSpacing/>
            </w:pPr>
            <w:r w:rsidRPr="00AF6C5D">
              <w:t xml:space="preserve">Jemena </w:t>
            </w:r>
          </w:p>
        </w:tc>
      </w:tr>
      <w:tr w:rsidR="00AF6C5D" w:rsidRPr="00434D63" w14:paraId="5E359C8D" w14:textId="77777777" w:rsidTr="000B7A39">
        <w:trPr>
          <w:cnfStyle w:val="000000100000" w:firstRow="0" w:lastRow="0" w:firstColumn="0" w:lastColumn="0" w:oddVBand="0" w:evenVBand="0" w:oddHBand="1" w:evenHBand="0" w:firstRowFirstColumn="0" w:firstRowLastColumn="0" w:lastRowFirstColumn="0" w:lastRowLastColumn="0"/>
          <w:trHeight w:val="340"/>
        </w:trPr>
        <w:tc>
          <w:tcPr>
            <w:tcW w:w="4890" w:type="dxa"/>
            <w:vAlign w:val="center"/>
          </w:tcPr>
          <w:p w14:paraId="153FB6DC" w14:textId="77777777" w:rsidR="00AF6C5D" w:rsidRPr="00AF6C5D" w:rsidRDefault="00AF6C5D" w:rsidP="00AF6C5D">
            <w:pPr>
              <w:spacing w:before="0" w:line="240" w:lineRule="auto"/>
              <w:contextualSpacing/>
              <w:rPr>
                <w:b/>
                <w:bCs/>
              </w:rPr>
            </w:pPr>
            <w:r w:rsidRPr="00AF6C5D">
              <w:rPr>
                <w:b/>
                <w:bCs/>
              </w:rPr>
              <w:t>Interconnector</w:t>
            </w:r>
          </w:p>
        </w:tc>
        <w:tc>
          <w:tcPr>
            <w:tcW w:w="4895" w:type="dxa"/>
          </w:tcPr>
          <w:p w14:paraId="44006529" w14:textId="16D01095" w:rsidR="00AF6C5D" w:rsidRPr="00AF6C5D" w:rsidRDefault="00AF6C5D" w:rsidP="008E5AEE">
            <w:pPr>
              <w:spacing w:before="0" w:line="240" w:lineRule="auto"/>
              <w:contextualSpacing/>
            </w:pPr>
            <w:r w:rsidRPr="00AF6C5D">
              <w:t>APA Group</w:t>
            </w:r>
            <w:r w:rsidR="008E5AEE">
              <w:t xml:space="preserve"> (</w:t>
            </w:r>
            <w:proofErr w:type="spellStart"/>
            <w:r w:rsidRPr="00AF6C5D">
              <w:t>Bass</w:t>
            </w:r>
            <w:r w:rsidR="008E5AEE">
              <w:t>l</w:t>
            </w:r>
            <w:r w:rsidRPr="00AF6C5D">
              <w:t>ink</w:t>
            </w:r>
            <w:proofErr w:type="spellEnd"/>
            <w:r w:rsidR="008E5AEE">
              <w:t>)</w:t>
            </w:r>
          </w:p>
        </w:tc>
      </w:tr>
      <w:tr w:rsidR="00AF6C5D" w:rsidRPr="00434D63" w14:paraId="7A28565C" w14:textId="77777777" w:rsidTr="000B7A39">
        <w:trPr>
          <w:cnfStyle w:val="000000010000" w:firstRow="0" w:lastRow="0" w:firstColumn="0" w:lastColumn="0" w:oddVBand="0" w:evenVBand="0" w:oddHBand="0" w:evenHBand="1" w:firstRowFirstColumn="0" w:firstRowLastColumn="0" w:lastRowFirstColumn="0" w:lastRowLastColumn="0"/>
          <w:trHeight w:val="340"/>
        </w:trPr>
        <w:tc>
          <w:tcPr>
            <w:tcW w:w="4890" w:type="dxa"/>
            <w:vAlign w:val="center"/>
          </w:tcPr>
          <w:p w14:paraId="49C3B213" w14:textId="77777777" w:rsidR="00AF6C5D" w:rsidRPr="00AF6C5D" w:rsidRDefault="00AF6C5D" w:rsidP="00AF6C5D">
            <w:pPr>
              <w:spacing w:before="0" w:line="240" w:lineRule="auto"/>
              <w:contextualSpacing/>
              <w:rPr>
                <w:b/>
                <w:bCs/>
              </w:rPr>
            </w:pPr>
            <w:r w:rsidRPr="00AF6C5D">
              <w:rPr>
                <w:b/>
                <w:bCs/>
              </w:rPr>
              <w:t>Market body</w:t>
            </w:r>
          </w:p>
        </w:tc>
        <w:tc>
          <w:tcPr>
            <w:tcW w:w="4895" w:type="dxa"/>
          </w:tcPr>
          <w:p w14:paraId="73936F78" w14:textId="12DB0B14" w:rsidR="00AF6C5D" w:rsidRPr="00AF6C5D" w:rsidRDefault="00AF6C5D" w:rsidP="00AF6C5D">
            <w:pPr>
              <w:spacing w:before="0" w:line="240" w:lineRule="auto"/>
              <w:contextualSpacing/>
            </w:pPr>
            <w:r w:rsidRPr="00AF6C5D">
              <w:t>Australia</w:t>
            </w:r>
            <w:r w:rsidR="008E5AEE">
              <w:t>n</w:t>
            </w:r>
            <w:r w:rsidRPr="00AF6C5D">
              <w:t xml:space="preserve"> Energy Market Operator (AEMO)</w:t>
            </w:r>
            <w:r w:rsidR="000B7A39">
              <w:t>, Energy and Water Ombudsman Victoria (EWOV)</w:t>
            </w:r>
          </w:p>
        </w:tc>
      </w:tr>
      <w:tr w:rsidR="00AF6C5D" w:rsidRPr="00434D63" w14:paraId="05C8AA03" w14:textId="77777777" w:rsidTr="000B7A39">
        <w:trPr>
          <w:cnfStyle w:val="000000100000" w:firstRow="0" w:lastRow="0" w:firstColumn="0" w:lastColumn="0" w:oddVBand="0" w:evenVBand="0" w:oddHBand="1" w:evenHBand="0" w:firstRowFirstColumn="0" w:firstRowLastColumn="0" w:lastRowFirstColumn="0" w:lastRowLastColumn="0"/>
          <w:trHeight w:val="340"/>
        </w:trPr>
        <w:tc>
          <w:tcPr>
            <w:tcW w:w="4890" w:type="dxa"/>
            <w:vAlign w:val="center"/>
          </w:tcPr>
          <w:p w14:paraId="78860CB7" w14:textId="77777777" w:rsidR="00AF6C5D" w:rsidRPr="00AF6C5D" w:rsidRDefault="00AF6C5D" w:rsidP="00AF6C5D">
            <w:pPr>
              <w:spacing w:before="0" w:line="240" w:lineRule="auto"/>
              <w:contextualSpacing/>
              <w:rPr>
                <w:b/>
                <w:bCs/>
              </w:rPr>
            </w:pPr>
            <w:r w:rsidRPr="00AF6C5D">
              <w:rPr>
                <w:b/>
                <w:bCs/>
              </w:rPr>
              <w:t>Industry body</w:t>
            </w:r>
          </w:p>
        </w:tc>
        <w:tc>
          <w:tcPr>
            <w:tcW w:w="4895" w:type="dxa"/>
          </w:tcPr>
          <w:p w14:paraId="49A2CE14" w14:textId="77777777" w:rsidR="00AF6C5D" w:rsidRPr="00AF6C5D" w:rsidRDefault="00AF6C5D" w:rsidP="00AF6C5D">
            <w:pPr>
              <w:spacing w:before="0" w:line="240" w:lineRule="auto"/>
              <w:contextualSpacing/>
            </w:pPr>
            <w:r w:rsidRPr="00AF6C5D">
              <w:t xml:space="preserve">Master Electricians Australia </w:t>
            </w:r>
          </w:p>
        </w:tc>
      </w:tr>
    </w:tbl>
    <w:p w14:paraId="6B1DD781" w14:textId="0CD52372" w:rsidR="00AF6C5D" w:rsidRDefault="008E5AEE" w:rsidP="00AF6C5D">
      <w:pPr>
        <w:pStyle w:val="Heading3"/>
      </w:pPr>
      <w:r>
        <w:t>High</w:t>
      </w:r>
      <w:r w:rsidR="00AF6C5D" w:rsidRPr="0020024C">
        <w:t xml:space="preserve"> Voltage</w:t>
      </w:r>
      <w:r w:rsidR="00AF6C5D">
        <w:t xml:space="preserve"> (HV)</w:t>
      </w:r>
      <w:r w:rsidR="00AF6C5D" w:rsidRPr="0020024C">
        <w:t xml:space="preserve"> Protection Sub-Code</w:t>
      </w:r>
    </w:p>
    <w:p w14:paraId="72E17169" w14:textId="2DF970E9" w:rsidR="00AF6C5D" w:rsidRPr="00434D63" w:rsidRDefault="00AF6C5D" w:rsidP="004A24F1">
      <w:pPr>
        <w:pStyle w:val="ListBullet"/>
      </w:pPr>
      <w:r w:rsidRPr="00434D63">
        <w:rPr>
          <w:lang w:val="en-US"/>
        </w:rPr>
        <w:t>AEMO Victorian Planning (AVP)</w:t>
      </w:r>
      <w:r w:rsidR="009972A7">
        <w:rPr>
          <w:lang w:val="en-US"/>
        </w:rPr>
        <w:t xml:space="preserve"> stated that they</w:t>
      </w:r>
      <w:r w:rsidRPr="00434D63">
        <w:rPr>
          <w:lang w:val="en-US"/>
        </w:rPr>
        <w:t xml:space="preserve"> require connecting parties to comply with the </w:t>
      </w:r>
      <w:r>
        <w:rPr>
          <w:lang w:val="en-US"/>
        </w:rPr>
        <w:t>High Voltage Protection S</w:t>
      </w:r>
      <w:r w:rsidRPr="00434D63">
        <w:rPr>
          <w:lang w:val="en-US"/>
        </w:rPr>
        <w:t>ub-</w:t>
      </w:r>
      <w:r>
        <w:rPr>
          <w:lang w:val="en-US"/>
        </w:rPr>
        <w:t>C</w:t>
      </w:r>
      <w:r w:rsidRPr="00434D63">
        <w:rPr>
          <w:lang w:val="en-US"/>
        </w:rPr>
        <w:t>ode</w:t>
      </w:r>
      <w:r w:rsidR="009972A7">
        <w:rPr>
          <w:lang w:val="en-US"/>
        </w:rPr>
        <w:t xml:space="preserve"> and that </w:t>
      </w:r>
      <w:r w:rsidRPr="00434D63">
        <w:rPr>
          <w:lang w:val="en-US"/>
        </w:rPr>
        <w:t>AVP is currently supported in this requirement through the existence of clauses 100.4.1 to 100.4.3 of the Electricity System Code</w:t>
      </w:r>
      <w:r>
        <w:rPr>
          <w:lang w:val="en-US"/>
        </w:rPr>
        <w:t>.</w:t>
      </w:r>
    </w:p>
    <w:p w14:paraId="4DC8CB98" w14:textId="67A4D9B6" w:rsidR="00AF6C5D" w:rsidRPr="00434D63" w:rsidRDefault="00AF6C5D" w:rsidP="004A24F1">
      <w:pPr>
        <w:pStyle w:val="ListBullet"/>
      </w:pPr>
      <w:proofErr w:type="spellStart"/>
      <w:r w:rsidRPr="00434D63">
        <w:rPr>
          <w:lang w:val="en-US"/>
        </w:rPr>
        <w:t>AusNet</w:t>
      </w:r>
      <w:proofErr w:type="spellEnd"/>
      <w:r>
        <w:rPr>
          <w:lang w:val="en-US"/>
        </w:rPr>
        <w:t xml:space="preserve"> does not consider </w:t>
      </w:r>
      <w:r w:rsidRPr="00434D63">
        <w:rPr>
          <w:lang w:val="en-US"/>
        </w:rPr>
        <w:t xml:space="preserve">the </w:t>
      </w:r>
      <w:r>
        <w:rPr>
          <w:lang w:val="en-US"/>
        </w:rPr>
        <w:t>HV Protection S</w:t>
      </w:r>
      <w:r w:rsidRPr="00434D63">
        <w:rPr>
          <w:lang w:val="en-US"/>
        </w:rPr>
        <w:t>ub-</w:t>
      </w:r>
      <w:r>
        <w:rPr>
          <w:lang w:val="en-US"/>
        </w:rPr>
        <w:t>C</w:t>
      </w:r>
      <w:r w:rsidRPr="00434D63">
        <w:rPr>
          <w:lang w:val="en-US"/>
        </w:rPr>
        <w:t xml:space="preserve">ode </w:t>
      </w:r>
      <w:r>
        <w:rPr>
          <w:lang w:val="en-US"/>
        </w:rPr>
        <w:t>to be</w:t>
      </w:r>
      <w:r w:rsidRPr="00434D63">
        <w:rPr>
          <w:lang w:val="en-US"/>
        </w:rPr>
        <w:t xml:space="preserve"> referenced operationally </w:t>
      </w:r>
      <w:r>
        <w:rPr>
          <w:lang w:val="en-US"/>
        </w:rPr>
        <w:t>nor</w:t>
      </w:r>
      <w:r w:rsidRPr="00434D63">
        <w:rPr>
          <w:lang w:val="en-US"/>
        </w:rPr>
        <w:t xml:space="preserve"> proactively governed by committee as set out in </w:t>
      </w:r>
      <w:r>
        <w:rPr>
          <w:lang w:val="en-US"/>
        </w:rPr>
        <w:t xml:space="preserve">the Electricity System Code. </w:t>
      </w:r>
      <w:proofErr w:type="spellStart"/>
      <w:r>
        <w:rPr>
          <w:lang w:val="en-US"/>
        </w:rPr>
        <w:t>AusNet</w:t>
      </w:r>
      <w:proofErr w:type="spellEnd"/>
      <w:r>
        <w:rPr>
          <w:lang w:val="en-US"/>
        </w:rPr>
        <w:t xml:space="preserve"> considers the</w:t>
      </w:r>
      <w:r w:rsidRPr="00434D63">
        <w:rPr>
          <w:lang w:val="en-US"/>
        </w:rPr>
        <w:t xml:space="preserve"> requirements </w:t>
      </w:r>
      <w:r>
        <w:rPr>
          <w:lang w:val="en-US"/>
        </w:rPr>
        <w:t xml:space="preserve">of the HV Protection Sub-Code are </w:t>
      </w:r>
      <w:r w:rsidRPr="00434D63">
        <w:rPr>
          <w:lang w:val="en-US"/>
        </w:rPr>
        <w:t xml:space="preserve">deeply embedded into industry </w:t>
      </w:r>
      <w:r w:rsidRPr="00434D63">
        <w:t>standards</w:t>
      </w:r>
      <w:r w:rsidR="00E349BB">
        <w:t xml:space="preserve"> and, as such,</w:t>
      </w:r>
      <w:r>
        <w:t xml:space="preserve"> </w:t>
      </w:r>
      <w:r w:rsidR="00E349BB">
        <w:t>do not need to be retained</w:t>
      </w:r>
      <w:r>
        <w:t>.</w:t>
      </w:r>
    </w:p>
    <w:p w14:paraId="2B376933" w14:textId="032E423D" w:rsidR="00AF6C5D" w:rsidRPr="00434D63" w:rsidRDefault="00AF6C5D" w:rsidP="004A24F1">
      <w:pPr>
        <w:pStyle w:val="ListBullet"/>
      </w:pPr>
      <w:proofErr w:type="spellStart"/>
      <w:r>
        <w:rPr>
          <w:lang w:val="en-US"/>
        </w:rPr>
        <w:t>CitiPower</w:t>
      </w:r>
      <w:proofErr w:type="spellEnd"/>
      <w:r w:rsidR="00E349BB">
        <w:rPr>
          <w:lang w:val="en-US"/>
        </w:rPr>
        <w:t xml:space="preserve">, </w:t>
      </w:r>
      <w:proofErr w:type="spellStart"/>
      <w:r>
        <w:rPr>
          <w:lang w:val="en-US"/>
        </w:rPr>
        <w:t>Powercor</w:t>
      </w:r>
      <w:proofErr w:type="spellEnd"/>
      <w:r w:rsidR="00E349BB">
        <w:rPr>
          <w:lang w:val="en-US"/>
        </w:rPr>
        <w:t xml:space="preserve"> and</w:t>
      </w:r>
      <w:r>
        <w:rPr>
          <w:lang w:val="en-US"/>
        </w:rPr>
        <w:t xml:space="preserve"> United </w:t>
      </w:r>
      <w:r w:rsidR="00E349BB">
        <w:rPr>
          <w:lang w:val="en-US"/>
        </w:rPr>
        <w:t>Energy</w:t>
      </w:r>
      <w:r>
        <w:rPr>
          <w:lang w:val="en-US"/>
        </w:rPr>
        <w:t xml:space="preserve"> </w:t>
      </w:r>
      <w:r w:rsidR="00DE64EE">
        <w:rPr>
          <w:lang w:val="en-US"/>
        </w:rPr>
        <w:t xml:space="preserve">provided us feedback </w:t>
      </w:r>
      <w:r>
        <w:rPr>
          <w:lang w:val="en-US"/>
        </w:rPr>
        <w:t xml:space="preserve">that </w:t>
      </w:r>
      <w:r w:rsidRPr="00434D63">
        <w:rPr>
          <w:lang w:val="en-US"/>
        </w:rPr>
        <w:t xml:space="preserve">it would be beneficial for the </w:t>
      </w:r>
      <w:r w:rsidR="003B7F53">
        <w:rPr>
          <w:lang w:val="en-US"/>
        </w:rPr>
        <w:t>HV Protection S</w:t>
      </w:r>
      <w:r w:rsidRPr="00434D63">
        <w:rPr>
          <w:lang w:val="en-US"/>
        </w:rPr>
        <w:t>ub-</w:t>
      </w:r>
      <w:r w:rsidR="003B7F53">
        <w:rPr>
          <w:lang w:val="en-US"/>
        </w:rPr>
        <w:t>C</w:t>
      </w:r>
      <w:r w:rsidRPr="00434D63">
        <w:rPr>
          <w:lang w:val="en-US"/>
        </w:rPr>
        <w:t>ode to be maintained in a cooperative manner between Victorian distribution and transmission companies.</w:t>
      </w:r>
    </w:p>
    <w:p w14:paraId="07CBA159" w14:textId="3CA1D04E" w:rsidR="00AF6C5D" w:rsidRDefault="008F2C30" w:rsidP="00AF6C5D">
      <w:pPr>
        <w:pStyle w:val="Heading3"/>
      </w:pPr>
      <w:r>
        <w:t>Procedure for setting target</w:t>
      </w:r>
      <w:r w:rsidR="00AF6C5D">
        <w:t xml:space="preserve"> voltage levels for</w:t>
      </w:r>
      <w:r w:rsidR="00D54154">
        <w:t xml:space="preserve"> </w:t>
      </w:r>
      <w:r w:rsidR="00A64901">
        <w:t>points of supply under 100kV</w:t>
      </w:r>
    </w:p>
    <w:p w14:paraId="29F98250" w14:textId="6ADDA663" w:rsidR="00AF6C5D" w:rsidRPr="003C4B9A" w:rsidRDefault="00C4669A" w:rsidP="004A24F1">
      <w:pPr>
        <w:pStyle w:val="ListBullet"/>
      </w:pPr>
      <w:r>
        <w:t>AVP</w:t>
      </w:r>
      <w:r w:rsidR="00AF6C5D">
        <w:t xml:space="preserve"> considers that it </w:t>
      </w:r>
      <w:r w:rsidR="00AF6C5D" w:rsidRPr="003C4B9A">
        <w:rPr>
          <w:lang w:val="en-US"/>
        </w:rPr>
        <w:t>relies on</w:t>
      </w:r>
      <w:r>
        <w:rPr>
          <w:lang w:val="en-US"/>
        </w:rPr>
        <w:t xml:space="preserve"> the</w:t>
      </w:r>
      <w:r w:rsidR="00AF6C5D" w:rsidRPr="003C4B9A">
        <w:rPr>
          <w:lang w:val="en-US"/>
        </w:rPr>
        <w:t xml:space="preserve"> procedures within clauses 110.2.1(a) and (b) </w:t>
      </w:r>
      <w:r w:rsidR="00AF6C5D">
        <w:rPr>
          <w:lang w:val="en-US"/>
        </w:rPr>
        <w:t>of the code</w:t>
      </w:r>
      <w:r w:rsidR="00AF6C5D" w:rsidRPr="00105768">
        <w:rPr>
          <w:lang w:val="en-US"/>
        </w:rPr>
        <w:t xml:space="preserve"> </w:t>
      </w:r>
      <w:r w:rsidR="00AF6C5D" w:rsidRPr="003C4B9A">
        <w:rPr>
          <w:lang w:val="en-US"/>
        </w:rPr>
        <w:t>to request supply quality data from distributors and deems this data relevant for the energy transition.</w:t>
      </w:r>
      <w:r w:rsidR="00AF6C5D">
        <w:rPr>
          <w:lang w:val="en-US"/>
        </w:rPr>
        <w:t xml:space="preserve"> </w:t>
      </w:r>
      <w:r w:rsidR="00AE6C2A">
        <w:rPr>
          <w:lang w:val="en-US"/>
        </w:rPr>
        <w:t>AVP</w:t>
      </w:r>
      <w:r w:rsidR="00AF6C5D">
        <w:rPr>
          <w:lang w:val="en-US"/>
        </w:rPr>
        <w:t xml:space="preserve"> requests th</w:t>
      </w:r>
      <w:r w:rsidR="00AE6C2A">
        <w:rPr>
          <w:lang w:val="en-US"/>
        </w:rPr>
        <w:t xml:space="preserve">e retention of </w:t>
      </w:r>
      <w:r w:rsidR="00AF6C5D">
        <w:rPr>
          <w:lang w:val="en-US"/>
        </w:rPr>
        <w:t>these provisions</w:t>
      </w:r>
      <w:r w:rsidR="00AE6C2A">
        <w:rPr>
          <w:lang w:val="en-US"/>
        </w:rPr>
        <w:t>.</w:t>
      </w:r>
    </w:p>
    <w:p w14:paraId="64090CA1" w14:textId="784E5B48" w:rsidR="00AF6C5D" w:rsidRPr="003C4B9A" w:rsidRDefault="00AF6C5D" w:rsidP="004A24F1">
      <w:pPr>
        <w:pStyle w:val="ListBullet"/>
      </w:pPr>
      <w:proofErr w:type="spellStart"/>
      <w:r w:rsidRPr="003C4B9A">
        <w:rPr>
          <w:lang w:val="en-US"/>
        </w:rPr>
        <w:lastRenderedPageBreak/>
        <w:t>AusNet</w:t>
      </w:r>
      <w:proofErr w:type="spellEnd"/>
      <w:r w:rsidRPr="003C4B9A">
        <w:rPr>
          <w:lang w:val="en-US"/>
        </w:rPr>
        <w:t xml:space="preserve"> considers the process of distributors notifying AEMO of the desired voltage level and AEMO defining voltage levels is deeply embedded in Victoria as part of good industry </w:t>
      </w:r>
      <w:r w:rsidRPr="003C4B9A">
        <w:t>practice for joint planning</w:t>
      </w:r>
      <w:r>
        <w:t>,</w:t>
      </w:r>
      <w:r w:rsidRPr="003C4B9A">
        <w:t xml:space="preserve"> </w:t>
      </w:r>
      <w:r>
        <w:rPr>
          <w:lang w:val="en-US"/>
        </w:rPr>
        <w:t>and therefore,</w:t>
      </w:r>
      <w:r w:rsidRPr="003C4B9A">
        <w:rPr>
          <w:lang w:val="en-US"/>
        </w:rPr>
        <w:t xml:space="preserve"> </w:t>
      </w:r>
      <w:r>
        <w:rPr>
          <w:lang w:val="en-US"/>
        </w:rPr>
        <w:t>supports the revocation of these clauses along with the code.</w:t>
      </w:r>
    </w:p>
    <w:p w14:paraId="4A3666F6" w14:textId="77777777" w:rsidR="00AF6C5D" w:rsidRDefault="00AF6C5D" w:rsidP="00AF6C5D">
      <w:pPr>
        <w:pStyle w:val="Heading3"/>
      </w:pPr>
      <w:r w:rsidRPr="003C4B9A">
        <w:t>Communication obligations and planning responsibilities</w:t>
      </w:r>
    </w:p>
    <w:p w14:paraId="2418C97B" w14:textId="7785D924" w:rsidR="00AF6C5D" w:rsidRPr="003C4B9A" w:rsidRDefault="00AF6C5D" w:rsidP="004A24F1">
      <w:pPr>
        <w:pStyle w:val="ListBullet"/>
      </w:pPr>
      <w:proofErr w:type="spellStart"/>
      <w:r w:rsidRPr="003C4B9A">
        <w:rPr>
          <w:lang w:val="en-US"/>
        </w:rPr>
        <w:t>AusNet</w:t>
      </w:r>
      <w:proofErr w:type="spellEnd"/>
      <w:r w:rsidRPr="003C4B9A">
        <w:rPr>
          <w:lang w:val="en-US"/>
        </w:rPr>
        <w:t xml:space="preserve"> considers that some communication obligations between operator/asset owner and planner </w:t>
      </w:r>
      <w:r>
        <w:rPr>
          <w:lang w:val="en-US"/>
        </w:rPr>
        <w:t>are</w:t>
      </w:r>
      <w:r w:rsidRPr="003C4B9A">
        <w:rPr>
          <w:lang w:val="en-US"/>
        </w:rPr>
        <w:t xml:space="preserve"> set out </w:t>
      </w:r>
      <w:r w:rsidR="0024348C">
        <w:rPr>
          <w:lang w:val="en-US"/>
        </w:rPr>
        <w:t>in t</w:t>
      </w:r>
      <w:r>
        <w:rPr>
          <w:lang w:val="en-US"/>
        </w:rPr>
        <w:t xml:space="preserve">he </w:t>
      </w:r>
      <w:r w:rsidR="0024348C">
        <w:rPr>
          <w:lang w:val="en-US"/>
        </w:rPr>
        <w:t xml:space="preserve">Electricity </w:t>
      </w:r>
      <w:r>
        <w:rPr>
          <w:lang w:val="en-US"/>
        </w:rPr>
        <w:t>System Code</w:t>
      </w:r>
      <w:r w:rsidR="005B616D">
        <w:rPr>
          <w:lang w:val="en-US"/>
        </w:rPr>
        <w:t xml:space="preserve"> and should be reflected in network agreements once Victorian planning functions are subsumed by </w:t>
      </w:r>
      <w:proofErr w:type="spellStart"/>
      <w:r w:rsidR="005B616D">
        <w:rPr>
          <w:lang w:val="en-US"/>
        </w:rPr>
        <w:t>VicGrid</w:t>
      </w:r>
      <w:proofErr w:type="spellEnd"/>
      <w:r w:rsidR="005B616D">
        <w:rPr>
          <w:lang w:val="en-US"/>
        </w:rPr>
        <w:t xml:space="preserve">. </w:t>
      </w:r>
      <w:r w:rsidR="00286BAB">
        <w:rPr>
          <w:lang w:val="en-US"/>
        </w:rPr>
        <w:t xml:space="preserve">However, </w:t>
      </w:r>
      <w:proofErr w:type="spellStart"/>
      <w:r>
        <w:rPr>
          <w:lang w:val="en-US"/>
        </w:rPr>
        <w:t>AusNet</w:t>
      </w:r>
      <w:proofErr w:type="spellEnd"/>
      <w:r>
        <w:rPr>
          <w:lang w:val="en-US"/>
        </w:rPr>
        <w:t xml:space="preserve"> does not</w:t>
      </w:r>
      <w:r w:rsidRPr="003C4B9A">
        <w:rPr>
          <w:lang w:val="en-US"/>
        </w:rPr>
        <w:t xml:space="preserve"> consider that </w:t>
      </w:r>
      <w:r>
        <w:rPr>
          <w:lang w:val="en-US"/>
        </w:rPr>
        <w:t>these obligations</w:t>
      </w:r>
      <w:r w:rsidRPr="003C4B9A">
        <w:rPr>
          <w:lang w:val="en-US"/>
        </w:rPr>
        <w:t xml:space="preserve"> are essential for the functioning of the Victorian regime and </w:t>
      </w:r>
      <w:r w:rsidR="00286BAB">
        <w:rPr>
          <w:lang w:val="en-US"/>
        </w:rPr>
        <w:t>therefore should</w:t>
      </w:r>
      <w:r w:rsidRPr="003C4B9A">
        <w:rPr>
          <w:lang w:val="en-US"/>
        </w:rPr>
        <w:t xml:space="preserve"> not prevent the revocation of the </w:t>
      </w:r>
      <w:r w:rsidR="00286BAB">
        <w:rPr>
          <w:lang w:val="en-US"/>
        </w:rPr>
        <w:t>c</w:t>
      </w:r>
      <w:r w:rsidRPr="003C4B9A">
        <w:rPr>
          <w:lang w:val="en-US"/>
        </w:rPr>
        <w:t>ode</w:t>
      </w:r>
      <w:r>
        <w:rPr>
          <w:lang w:val="en-US"/>
        </w:rPr>
        <w:t>.</w:t>
      </w:r>
    </w:p>
    <w:p w14:paraId="30181842" w14:textId="77777777" w:rsidR="00AF6C5D" w:rsidRDefault="00AF6C5D" w:rsidP="00AF6C5D">
      <w:pPr>
        <w:pStyle w:val="Heading3"/>
      </w:pPr>
      <w:r w:rsidRPr="003C4B9A">
        <w:t>Transmission service standards</w:t>
      </w:r>
    </w:p>
    <w:p w14:paraId="27675932" w14:textId="77777777" w:rsidR="00AF6C5D" w:rsidRPr="00857AF1" w:rsidRDefault="00AF6C5D" w:rsidP="004A24F1">
      <w:pPr>
        <w:pStyle w:val="ListBullet"/>
      </w:pPr>
      <w:proofErr w:type="spellStart"/>
      <w:r w:rsidRPr="00857AF1">
        <w:rPr>
          <w:lang w:val="en-US"/>
        </w:rPr>
        <w:t>Basslink</w:t>
      </w:r>
      <w:proofErr w:type="spellEnd"/>
      <w:r w:rsidRPr="00857AF1">
        <w:rPr>
          <w:lang w:val="en-US"/>
        </w:rPr>
        <w:t xml:space="preserve"> considers that the code should not be revoked until the commission is satisfied that there would be no gap in performance standards for current and future transmission companies in Victoria.</w:t>
      </w:r>
    </w:p>
    <w:p w14:paraId="42D59600" w14:textId="4D15FF7F" w:rsidR="00AF6C5D" w:rsidRDefault="00AF6C5D" w:rsidP="004A24F1">
      <w:pPr>
        <w:pStyle w:val="ListBullet"/>
      </w:pPr>
      <w:proofErr w:type="spellStart"/>
      <w:r w:rsidRPr="003C4B9A">
        <w:rPr>
          <w:lang w:val="en-US"/>
        </w:rPr>
        <w:t>AusNet</w:t>
      </w:r>
      <w:proofErr w:type="spellEnd"/>
      <w:r w:rsidRPr="003C4B9A">
        <w:rPr>
          <w:lang w:val="en-US"/>
        </w:rPr>
        <w:t xml:space="preserve"> states that</w:t>
      </w:r>
      <w:r>
        <w:rPr>
          <w:lang w:val="en-US"/>
        </w:rPr>
        <w:t xml:space="preserve"> transmission service</w:t>
      </w:r>
      <w:r w:rsidRPr="003C4B9A">
        <w:rPr>
          <w:lang w:val="en-US"/>
        </w:rPr>
        <w:t xml:space="preserve"> standards are comprehensively governed by Service Target Incentive Performance Scheme (STPIS) administered by the A</w:t>
      </w:r>
      <w:r w:rsidR="00BD72D2">
        <w:rPr>
          <w:lang w:val="en-US"/>
        </w:rPr>
        <w:t>ustralian Energy Regulator (A</w:t>
      </w:r>
      <w:r w:rsidRPr="003C4B9A">
        <w:rPr>
          <w:lang w:val="en-US"/>
        </w:rPr>
        <w:t>ER</w:t>
      </w:r>
      <w:r w:rsidR="00BD72D2">
        <w:rPr>
          <w:lang w:val="en-US"/>
        </w:rPr>
        <w:t>)</w:t>
      </w:r>
      <w:r>
        <w:rPr>
          <w:lang w:val="en-US"/>
        </w:rPr>
        <w:t xml:space="preserve"> and does </w:t>
      </w:r>
      <w:r w:rsidRPr="003C4B9A">
        <w:rPr>
          <w:lang w:val="en-US"/>
        </w:rPr>
        <w:t xml:space="preserve">not consider the retention of </w:t>
      </w:r>
      <w:r w:rsidRPr="003C4B9A">
        <w:t>clauses</w:t>
      </w:r>
      <w:r>
        <w:t xml:space="preserve"> relating to transmission service standards</w:t>
      </w:r>
      <w:r w:rsidRPr="003C4B9A">
        <w:t xml:space="preserve"> necessary.</w:t>
      </w:r>
    </w:p>
    <w:p w14:paraId="16E858BE" w14:textId="77777777" w:rsidR="00AF6C5D" w:rsidRPr="003C4B9A" w:rsidRDefault="00AF6C5D" w:rsidP="00EE633E">
      <w:pPr>
        <w:pStyle w:val="Heading3"/>
      </w:pPr>
      <w:r>
        <w:t>Transmission Licence conditions</w:t>
      </w:r>
    </w:p>
    <w:p w14:paraId="42D1365F" w14:textId="4DBB3202" w:rsidR="00AF6C5D" w:rsidRDefault="00821D52" w:rsidP="004A24F1">
      <w:pPr>
        <w:pStyle w:val="ListBullet"/>
      </w:pPr>
      <w:r>
        <w:t>The Energy and Water Ombudsman of Victoria (E</w:t>
      </w:r>
      <w:r w:rsidR="00AF6C5D">
        <w:t>WOV</w:t>
      </w:r>
      <w:r>
        <w:t>)</w:t>
      </w:r>
      <w:r w:rsidR="00AF6C5D">
        <w:t xml:space="preserve"> recommends </w:t>
      </w:r>
      <w:r w:rsidR="002B1DE4">
        <w:t xml:space="preserve">considering how to ensure appropriate dispute resolution is available to landholders to ensure complaints are quickly and efficiently resolved. </w:t>
      </w:r>
      <w:r w:rsidR="00CD3BB8">
        <w:t xml:space="preserve">EWOV considers that disputes regarding land access, including those arising from voluntary agreements, should require a robust internal dispute resolution process and the option for </w:t>
      </w:r>
      <w:r w:rsidR="00E07917">
        <w:t>complainants</w:t>
      </w:r>
      <w:r w:rsidR="00AF6C5D" w:rsidRPr="003C4B9A">
        <w:t xml:space="preserve"> to have their complaint</w:t>
      </w:r>
      <w:r w:rsidR="005E1665">
        <w:t>s</w:t>
      </w:r>
      <w:r w:rsidR="00AF6C5D" w:rsidRPr="003C4B9A">
        <w:t xml:space="preserve"> referred to EWOV.</w:t>
      </w:r>
    </w:p>
    <w:p w14:paraId="219D36E4" w14:textId="02D7C914" w:rsidR="001C750A" w:rsidRPr="00AF6C5D" w:rsidRDefault="00AF6C5D" w:rsidP="004A24F1">
      <w:pPr>
        <w:pStyle w:val="ListBullet"/>
      </w:pPr>
      <w:proofErr w:type="spellStart"/>
      <w:r w:rsidRPr="00943214">
        <w:rPr>
          <w:lang w:val="en-US"/>
        </w:rPr>
        <w:t>AusNet</w:t>
      </w:r>
      <w:proofErr w:type="spellEnd"/>
      <w:r w:rsidRPr="00943214">
        <w:rPr>
          <w:lang w:val="en-US"/>
        </w:rPr>
        <w:t xml:space="preserve"> opposes the proposed changes to </w:t>
      </w:r>
      <w:r w:rsidR="00894574">
        <w:rPr>
          <w:lang w:val="en-US"/>
        </w:rPr>
        <w:t xml:space="preserve">the </w:t>
      </w:r>
      <w:r w:rsidRPr="00943214">
        <w:rPr>
          <w:lang w:val="en-US"/>
        </w:rPr>
        <w:t>clause</w:t>
      </w:r>
      <w:r w:rsidR="00894574">
        <w:rPr>
          <w:lang w:val="en-US"/>
        </w:rPr>
        <w:t xml:space="preserve"> </w:t>
      </w:r>
      <w:r w:rsidRPr="00943214">
        <w:rPr>
          <w:lang w:val="en-US"/>
        </w:rPr>
        <w:t xml:space="preserve">relating to insurance </w:t>
      </w:r>
      <w:r>
        <w:rPr>
          <w:lang w:val="en-US"/>
        </w:rPr>
        <w:t>and</w:t>
      </w:r>
      <w:r w:rsidRPr="00943214">
        <w:rPr>
          <w:lang w:val="en-US"/>
        </w:rPr>
        <w:t xml:space="preserve"> consider</w:t>
      </w:r>
      <w:r>
        <w:rPr>
          <w:lang w:val="en-US"/>
        </w:rPr>
        <w:t>s</w:t>
      </w:r>
      <w:r w:rsidRPr="00943214">
        <w:rPr>
          <w:lang w:val="en-US"/>
        </w:rPr>
        <w:t xml:space="preserve"> that Chapter 6A of the NER and the AER’s </w:t>
      </w:r>
      <w:r w:rsidR="007C27F8">
        <w:rPr>
          <w:lang w:val="en-US"/>
        </w:rPr>
        <w:t xml:space="preserve">price review process </w:t>
      </w:r>
      <w:r w:rsidR="00E650AE">
        <w:rPr>
          <w:lang w:val="en-US"/>
        </w:rPr>
        <w:t>more adequately address the efficient sharing of risk between insurance, self-</w:t>
      </w:r>
      <w:r w:rsidR="00112609">
        <w:rPr>
          <w:lang w:val="en-US"/>
        </w:rPr>
        <w:t>insurance and pass-through protection</w:t>
      </w:r>
      <w:r w:rsidR="004A24F1">
        <w:rPr>
          <w:lang w:val="en-US"/>
        </w:rPr>
        <w:t xml:space="preserve"> for regulated businesses.</w:t>
      </w:r>
      <w:bookmarkEnd w:id="1"/>
      <w:bookmarkEnd w:id="2"/>
      <w:bookmarkEnd w:id="3"/>
    </w:p>
    <w:sectPr w:rsidR="001C750A" w:rsidRPr="00AF6C5D" w:rsidSect="000E4F9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F399" w14:textId="77777777" w:rsidR="008164F5" w:rsidRDefault="008164F5" w:rsidP="00AE03FA">
      <w:pPr>
        <w:spacing w:after="0"/>
      </w:pPr>
      <w:r>
        <w:separator/>
      </w:r>
    </w:p>
    <w:p w14:paraId="64B1FB16" w14:textId="77777777" w:rsidR="008164F5" w:rsidRDefault="008164F5"/>
  </w:endnote>
  <w:endnote w:type="continuationSeparator" w:id="0">
    <w:p w14:paraId="15E4E3E2" w14:textId="77777777" w:rsidR="008164F5" w:rsidRDefault="008164F5" w:rsidP="00AE03FA">
      <w:pPr>
        <w:spacing w:after="0"/>
      </w:pPr>
      <w:r>
        <w:continuationSeparator/>
      </w:r>
    </w:p>
    <w:p w14:paraId="09070F66" w14:textId="77777777" w:rsidR="008164F5" w:rsidRDefault="00816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C820" w14:textId="77777777" w:rsidR="008E5AEE" w:rsidRDefault="008E5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DE129D" w14:paraId="5F89A680" w14:textId="77777777" w:rsidTr="00045413">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2902935" w14:textId="77777777" w:rsidR="00DE129D" w:rsidRPr="009E15D6" w:rsidRDefault="00DE129D" w:rsidP="00045413">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15177">
            <w:rPr>
              <w:rStyle w:val="PageNumber"/>
              <w:noProof/>
            </w:rPr>
            <w:t>2</w:t>
          </w:r>
          <w:r w:rsidRPr="009E15D6">
            <w:rPr>
              <w:rStyle w:val="PageNumber"/>
            </w:rPr>
            <w:fldChar w:fldCharType="end"/>
          </w:r>
        </w:p>
      </w:tc>
    </w:tr>
  </w:tbl>
  <w:p w14:paraId="3EC56AF2" w14:textId="081D45CA" w:rsidR="00F06B55" w:rsidRPr="00DE129D" w:rsidRDefault="00DE129D" w:rsidP="008E5CAD">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sidR="00AF6C5D">
          <w:rPr>
            <w:b/>
          </w:rPr>
          <w:t>Consultation Summary – Revoking the Electricity System Code: Draft Decision</w:t>
        </w:r>
      </w:sdtContent>
    </w:sdt>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B7573" w14:paraId="7170A6D1" w14:textId="77777777" w:rsidTr="00A76C8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2542734" w14:textId="77777777" w:rsidR="006B7573" w:rsidRPr="009E15D6" w:rsidRDefault="006B7573" w:rsidP="00A76C8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515177">
            <w:rPr>
              <w:rStyle w:val="PageNumber"/>
              <w:noProof/>
            </w:rPr>
            <w:t>1</w:t>
          </w:r>
          <w:r w:rsidRPr="009E15D6">
            <w:rPr>
              <w:rStyle w:val="PageNumber"/>
            </w:rPr>
            <w:fldChar w:fldCharType="end"/>
          </w:r>
        </w:p>
      </w:tc>
    </w:tr>
  </w:tbl>
  <w:p w14:paraId="09BC9139" w14:textId="63C41CB5" w:rsidR="000E4F95" w:rsidRPr="006B7573" w:rsidRDefault="006B7573" w:rsidP="008E5CAD">
    <w:pPr>
      <w:pStyle w:val="Footer"/>
      <w:ind w:right="707"/>
      <w:rPr>
        <w:b/>
      </w:rPr>
    </w:pPr>
    <w:r>
      <w:t xml:space="preserve">Essential Services Commission </w:t>
    </w:r>
    <w:sdt>
      <w:sdtPr>
        <w:rPr>
          <w:b/>
        </w:rPr>
        <w:alias w:val="Title"/>
        <w:tag w:val=""/>
        <w:id w:val="777452214"/>
        <w:dataBinding w:prefixMappings="xmlns:ns0='http://purl.org/dc/elements/1.1/' xmlns:ns1='http://schemas.openxmlformats.org/package/2006/metadata/core-properties' " w:xpath="/ns1:coreProperties[1]/ns0:title[1]" w:storeItemID="{6C3C8BC8-F283-45AE-878A-BAB7291924A1}"/>
        <w:text/>
      </w:sdtPr>
      <w:sdtContent>
        <w:r w:rsidR="00AF6C5D">
          <w:rPr>
            <w:b/>
          </w:rPr>
          <w:t>Consultation Summary – Revoking the Electricity System Code: Draft Decision</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B039" w14:textId="77777777" w:rsidR="008164F5" w:rsidRPr="00CF33F6" w:rsidRDefault="008164F5" w:rsidP="00AE03FA">
      <w:pPr>
        <w:spacing w:after="0"/>
        <w:rPr>
          <w:color w:val="75787B" w:themeColor="background2"/>
        </w:rPr>
      </w:pPr>
      <w:bookmarkStart w:id="0" w:name="_Hlk480978878"/>
      <w:bookmarkEnd w:id="0"/>
      <w:r w:rsidRPr="00CF33F6">
        <w:rPr>
          <w:color w:val="75787B" w:themeColor="background2"/>
        </w:rPr>
        <w:separator/>
      </w:r>
    </w:p>
    <w:p w14:paraId="4AD94D5A" w14:textId="77777777" w:rsidR="008164F5" w:rsidRDefault="008164F5" w:rsidP="00CF33F6">
      <w:pPr>
        <w:pStyle w:val="NoSpacing"/>
      </w:pPr>
    </w:p>
  </w:footnote>
  <w:footnote w:type="continuationSeparator" w:id="0">
    <w:p w14:paraId="03EF954C" w14:textId="77777777" w:rsidR="008164F5" w:rsidRDefault="008164F5" w:rsidP="00AE03FA">
      <w:pPr>
        <w:spacing w:after="0"/>
      </w:pPr>
      <w:r>
        <w:continuationSeparator/>
      </w:r>
    </w:p>
    <w:p w14:paraId="193F2EDF" w14:textId="77777777" w:rsidR="008164F5" w:rsidRDefault="00816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44C9" w14:textId="77777777" w:rsidR="008E5AEE" w:rsidRDefault="008E5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D36C" w14:textId="1B40D588"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521D" w14:textId="214C907C" w:rsidR="000E4F95" w:rsidRDefault="000E4F95">
    <w:pPr>
      <w:pStyle w:val="Header"/>
    </w:pPr>
    <w:r>
      <w:rPr>
        <w:noProof/>
        <w:lang w:eastAsia="en-AU"/>
      </w:rPr>
      <w:drawing>
        <wp:anchor distT="0" distB="180340" distL="114300" distR="114300" simplePos="0" relativeHeight="251655680" behindDoc="0" locked="0" layoutInCell="1" allowOverlap="1" wp14:anchorId="078E3239" wp14:editId="752964A9">
          <wp:simplePos x="0" y="0"/>
          <wp:positionH relativeFrom="column">
            <wp:posOffset>8890</wp:posOffset>
          </wp:positionH>
          <wp:positionV relativeFrom="paragraph">
            <wp:posOffset>276860</wp:posOffset>
          </wp:positionV>
          <wp:extent cx="2653030" cy="8242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BE5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2043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E74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86A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87B1C"/>
    <w:multiLevelType w:val="hybridMultilevel"/>
    <w:tmpl w:val="8F52CEB0"/>
    <w:lvl w:ilvl="0" w:tplc="E38028F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FA7969"/>
    <w:multiLevelType w:val="hybridMultilevel"/>
    <w:tmpl w:val="74A4411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510C0B"/>
    <w:multiLevelType w:val="multilevel"/>
    <w:tmpl w:val="3D66CBA2"/>
    <w:numStyleLink w:val="CustomNumberlist"/>
  </w:abstractNum>
  <w:abstractNum w:abstractNumId="16" w15:restartNumberingAfterBreak="0">
    <w:nsid w:val="1B3C049B"/>
    <w:multiLevelType w:val="multilevel"/>
    <w:tmpl w:val="6D9A2BC2"/>
    <w:numStyleLink w:val="NumberedHeadings"/>
  </w:abstractNum>
  <w:abstractNum w:abstractNumId="17" w15:restartNumberingAfterBreak="0">
    <w:nsid w:val="1E8052EF"/>
    <w:multiLevelType w:val="multilevel"/>
    <w:tmpl w:val="DF4A9966"/>
    <w:numStyleLink w:val="TableBullets"/>
  </w:abstractNum>
  <w:abstractNum w:abstractNumId="18"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391238"/>
    <w:multiLevelType w:val="multilevel"/>
    <w:tmpl w:val="6D9A2BC2"/>
    <w:numStyleLink w:val="NumberedHeadings"/>
  </w:abstractNum>
  <w:abstractNum w:abstractNumId="20" w15:restartNumberingAfterBreak="0">
    <w:nsid w:val="359E348D"/>
    <w:multiLevelType w:val="multilevel"/>
    <w:tmpl w:val="3D66CBA2"/>
    <w:numStyleLink w:val="CustomNumberlist"/>
  </w:abstractNum>
  <w:abstractNum w:abstractNumId="21" w15:restartNumberingAfterBreak="0">
    <w:nsid w:val="39C20E77"/>
    <w:multiLevelType w:val="multilevel"/>
    <w:tmpl w:val="6D9A2BC2"/>
    <w:numStyleLink w:val="NumberedHeadings"/>
  </w:abstractNum>
  <w:abstractNum w:abstractNumId="22" w15:restartNumberingAfterBreak="0">
    <w:nsid w:val="3AA454D7"/>
    <w:multiLevelType w:val="multilevel"/>
    <w:tmpl w:val="6D9A2BC2"/>
    <w:numStyleLink w:val="NumberedHeadings"/>
  </w:abstractNum>
  <w:abstractNum w:abstractNumId="23"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6449A3"/>
    <w:multiLevelType w:val="hybridMultilevel"/>
    <w:tmpl w:val="CF404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8B0109"/>
    <w:multiLevelType w:val="multilevel"/>
    <w:tmpl w:val="3D66CBA2"/>
    <w:numStyleLink w:val="CustomNumberlist"/>
  </w:abstractNum>
  <w:abstractNum w:abstractNumId="27"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700911"/>
    <w:multiLevelType w:val="hybridMultilevel"/>
    <w:tmpl w:val="1870F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684C08"/>
    <w:multiLevelType w:val="hybridMultilevel"/>
    <w:tmpl w:val="03264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05317"/>
    <w:multiLevelType w:val="multilevel"/>
    <w:tmpl w:val="3D66CBA2"/>
    <w:numStyleLink w:val="CustomNumberlist"/>
  </w:abstractNum>
  <w:abstractNum w:abstractNumId="32"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506F8D"/>
    <w:multiLevelType w:val="hybridMultilevel"/>
    <w:tmpl w:val="77B6F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9398615">
    <w:abstractNumId w:val="9"/>
  </w:num>
  <w:num w:numId="2" w16cid:durableId="1286422269">
    <w:abstractNumId w:val="7"/>
  </w:num>
  <w:num w:numId="3" w16cid:durableId="111369252">
    <w:abstractNumId w:val="6"/>
  </w:num>
  <w:num w:numId="4" w16cid:durableId="896205640">
    <w:abstractNumId w:val="5"/>
  </w:num>
  <w:num w:numId="5" w16cid:durableId="2111703631">
    <w:abstractNumId w:val="4"/>
  </w:num>
  <w:num w:numId="6" w16cid:durableId="986401294">
    <w:abstractNumId w:val="8"/>
  </w:num>
  <w:num w:numId="7" w16cid:durableId="371001521">
    <w:abstractNumId w:val="3"/>
  </w:num>
  <w:num w:numId="8" w16cid:durableId="2102607087">
    <w:abstractNumId w:val="2"/>
  </w:num>
  <w:num w:numId="9" w16cid:durableId="361050690">
    <w:abstractNumId w:val="1"/>
  </w:num>
  <w:num w:numId="10" w16cid:durableId="1421949078">
    <w:abstractNumId w:val="23"/>
  </w:num>
  <w:num w:numId="11" w16cid:durableId="1246961207">
    <w:abstractNumId w:val="18"/>
  </w:num>
  <w:num w:numId="12" w16cid:durableId="1400128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78338">
    <w:abstractNumId w:val="0"/>
  </w:num>
  <w:num w:numId="14" w16cid:durableId="2024284026">
    <w:abstractNumId w:val="18"/>
  </w:num>
  <w:num w:numId="15" w16cid:durableId="1657606764">
    <w:abstractNumId w:val="19"/>
  </w:num>
  <w:num w:numId="16" w16cid:durableId="1392847180">
    <w:abstractNumId w:val="13"/>
  </w:num>
  <w:num w:numId="17" w16cid:durableId="2054115456">
    <w:abstractNumId w:val="25"/>
  </w:num>
  <w:num w:numId="18" w16cid:durableId="1009137139">
    <w:abstractNumId w:val="25"/>
  </w:num>
  <w:num w:numId="19" w16cid:durableId="1225523822">
    <w:abstractNumId w:val="20"/>
  </w:num>
  <w:num w:numId="20" w16cid:durableId="1159538035">
    <w:abstractNumId w:val="15"/>
  </w:num>
  <w:num w:numId="21" w16cid:durableId="1427068324">
    <w:abstractNumId w:val="27"/>
  </w:num>
  <w:num w:numId="22" w16cid:durableId="1740442578">
    <w:abstractNumId w:val="31"/>
  </w:num>
  <w:num w:numId="23" w16cid:durableId="671563341">
    <w:abstractNumId w:val="14"/>
  </w:num>
  <w:num w:numId="24" w16cid:durableId="1528370187">
    <w:abstractNumId w:val="34"/>
  </w:num>
  <w:num w:numId="25" w16cid:durableId="2133791756">
    <w:abstractNumId w:val="30"/>
  </w:num>
  <w:num w:numId="26" w16cid:durableId="438796206">
    <w:abstractNumId w:val="32"/>
  </w:num>
  <w:num w:numId="27" w16cid:durableId="932513253">
    <w:abstractNumId w:val="17"/>
  </w:num>
  <w:num w:numId="28" w16cid:durableId="949240781">
    <w:abstractNumId w:val="22"/>
  </w:num>
  <w:num w:numId="29" w16cid:durableId="1402097938">
    <w:abstractNumId w:val="21"/>
  </w:num>
  <w:num w:numId="30" w16cid:durableId="1983534870">
    <w:abstractNumId w:val="16"/>
  </w:num>
  <w:num w:numId="31" w16cid:durableId="1090151803">
    <w:abstractNumId w:val="26"/>
  </w:num>
  <w:num w:numId="32" w16cid:durableId="1675647414">
    <w:abstractNumId w:val="11"/>
  </w:num>
  <w:num w:numId="33" w16cid:durableId="14965362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0296958">
    <w:abstractNumId w:val="33"/>
  </w:num>
  <w:num w:numId="35" w16cid:durableId="2023629451">
    <w:abstractNumId w:val="10"/>
  </w:num>
  <w:num w:numId="36" w16cid:durableId="329915077">
    <w:abstractNumId w:val="12"/>
  </w:num>
  <w:num w:numId="37" w16cid:durableId="856427145">
    <w:abstractNumId w:val="28"/>
  </w:num>
  <w:num w:numId="38" w16cid:durableId="1337727186">
    <w:abstractNumId w:val="29"/>
  </w:num>
  <w:num w:numId="39" w16cid:durableId="948438355">
    <w:abstractNumId w:val="35"/>
  </w:num>
  <w:num w:numId="40" w16cid:durableId="14303456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5D"/>
    <w:rsid w:val="000046BD"/>
    <w:rsid w:val="00015588"/>
    <w:rsid w:val="000337A0"/>
    <w:rsid w:val="000518F3"/>
    <w:rsid w:val="000566E0"/>
    <w:rsid w:val="00062AE4"/>
    <w:rsid w:val="00067DD9"/>
    <w:rsid w:val="000A1292"/>
    <w:rsid w:val="000A759D"/>
    <w:rsid w:val="000A7FD9"/>
    <w:rsid w:val="000B67B6"/>
    <w:rsid w:val="000B7A39"/>
    <w:rsid w:val="000D4547"/>
    <w:rsid w:val="000E4F95"/>
    <w:rsid w:val="00102044"/>
    <w:rsid w:val="00105220"/>
    <w:rsid w:val="00106608"/>
    <w:rsid w:val="00112609"/>
    <w:rsid w:val="00153081"/>
    <w:rsid w:val="00160F48"/>
    <w:rsid w:val="00184CEF"/>
    <w:rsid w:val="001869B0"/>
    <w:rsid w:val="00187ACF"/>
    <w:rsid w:val="001A4ACF"/>
    <w:rsid w:val="001C750A"/>
    <w:rsid w:val="001D07CD"/>
    <w:rsid w:val="001E3CE3"/>
    <w:rsid w:val="001F3997"/>
    <w:rsid w:val="001F64A3"/>
    <w:rsid w:val="00204C88"/>
    <w:rsid w:val="002056BA"/>
    <w:rsid w:val="00222852"/>
    <w:rsid w:val="0022708E"/>
    <w:rsid w:val="00232581"/>
    <w:rsid w:val="0024348C"/>
    <w:rsid w:val="00251145"/>
    <w:rsid w:val="002750C4"/>
    <w:rsid w:val="00286BAB"/>
    <w:rsid w:val="00293D40"/>
    <w:rsid w:val="002966CE"/>
    <w:rsid w:val="002A059D"/>
    <w:rsid w:val="002B1DE4"/>
    <w:rsid w:val="002C2ADF"/>
    <w:rsid w:val="002D3B02"/>
    <w:rsid w:val="002D682B"/>
    <w:rsid w:val="002E48AC"/>
    <w:rsid w:val="00317C67"/>
    <w:rsid w:val="00344D56"/>
    <w:rsid w:val="00353663"/>
    <w:rsid w:val="00360763"/>
    <w:rsid w:val="00375CBF"/>
    <w:rsid w:val="00375EFC"/>
    <w:rsid w:val="003837CC"/>
    <w:rsid w:val="003904B9"/>
    <w:rsid w:val="00394187"/>
    <w:rsid w:val="00395CFE"/>
    <w:rsid w:val="003A16E1"/>
    <w:rsid w:val="003A2748"/>
    <w:rsid w:val="003A30F3"/>
    <w:rsid w:val="003B5AB1"/>
    <w:rsid w:val="003B7F53"/>
    <w:rsid w:val="003C39F4"/>
    <w:rsid w:val="003F1961"/>
    <w:rsid w:val="004064CD"/>
    <w:rsid w:val="00414AB9"/>
    <w:rsid w:val="0043066B"/>
    <w:rsid w:val="004309BF"/>
    <w:rsid w:val="004347E6"/>
    <w:rsid w:val="0044062D"/>
    <w:rsid w:val="004558CC"/>
    <w:rsid w:val="004626B0"/>
    <w:rsid w:val="0046312A"/>
    <w:rsid w:val="00474670"/>
    <w:rsid w:val="00484F2D"/>
    <w:rsid w:val="004855CE"/>
    <w:rsid w:val="00495E2E"/>
    <w:rsid w:val="00496CF9"/>
    <w:rsid w:val="004A24F1"/>
    <w:rsid w:val="004A3CCB"/>
    <w:rsid w:val="004E0FF2"/>
    <w:rsid w:val="0050064B"/>
    <w:rsid w:val="005014C6"/>
    <w:rsid w:val="00510B23"/>
    <w:rsid w:val="00515177"/>
    <w:rsid w:val="00541F9A"/>
    <w:rsid w:val="00545E3C"/>
    <w:rsid w:val="00563AD8"/>
    <w:rsid w:val="00564BE8"/>
    <w:rsid w:val="00570E5B"/>
    <w:rsid w:val="005A1443"/>
    <w:rsid w:val="005B616D"/>
    <w:rsid w:val="005C6E04"/>
    <w:rsid w:val="005E1665"/>
    <w:rsid w:val="005E2A78"/>
    <w:rsid w:val="005E2E03"/>
    <w:rsid w:val="005E5FCE"/>
    <w:rsid w:val="005F3D90"/>
    <w:rsid w:val="005F5578"/>
    <w:rsid w:val="00615C49"/>
    <w:rsid w:val="00633068"/>
    <w:rsid w:val="0063494B"/>
    <w:rsid w:val="00666190"/>
    <w:rsid w:val="006817B0"/>
    <w:rsid w:val="006B7573"/>
    <w:rsid w:val="006C4904"/>
    <w:rsid w:val="006D0A5E"/>
    <w:rsid w:val="006D0EBF"/>
    <w:rsid w:val="006D4CD9"/>
    <w:rsid w:val="006E6549"/>
    <w:rsid w:val="006E6B2B"/>
    <w:rsid w:val="006F29EA"/>
    <w:rsid w:val="00703C67"/>
    <w:rsid w:val="00707B2F"/>
    <w:rsid w:val="00710792"/>
    <w:rsid w:val="00711BA5"/>
    <w:rsid w:val="0071799F"/>
    <w:rsid w:val="00717CCA"/>
    <w:rsid w:val="007202C6"/>
    <w:rsid w:val="00723853"/>
    <w:rsid w:val="00730ED4"/>
    <w:rsid w:val="00735869"/>
    <w:rsid w:val="00740720"/>
    <w:rsid w:val="00747563"/>
    <w:rsid w:val="00757301"/>
    <w:rsid w:val="00764333"/>
    <w:rsid w:val="00772EB1"/>
    <w:rsid w:val="00781227"/>
    <w:rsid w:val="00782E55"/>
    <w:rsid w:val="00784DEB"/>
    <w:rsid w:val="00792B10"/>
    <w:rsid w:val="00796928"/>
    <w:rsid w:val="007A5734"/>
    <w:rsid w:val="007B565F"/>
    <w:rsid w:val="007B6C8C"/>
    <w:rsid w:val="007C27F8"/>
    <w:rsid w:val="007C7E2D"/>
    <w:rsid w:val="007D495A"/>
    <w:rsid w:val="008164F5"/>
    <w:rsid w:val="00821D52"/>
    <w:rsid w:val="00856B4B"/>
    <w:rsid w:val="00865ECE"/>
    <w:rsid w:val="00881E07"/>
    <w:rsid w:val="00882783"/>
    <w:rsid w:val="00894574"/>
    <w:rsid w:val="008A7A8E"/>
    <w:rsid w:val="008B6874"/>
    <w:rsid w:val="008C1818"/>
    <w:rsid w:val="008D2C44"/>
    <w:rsid w:val="008D5E13"/>
    <w:rsid w:val="008E5AEE"/>
    <w:rsid w:val="008E5CAD"/>
    <w:rsid w:val="008F2C30"/>
    <w:rsid w:val="008F7087"/>
    <w:rsid w:val="009058B1"/>
    <w:rsid w:val="00916721"/>
    <w:rsid w:val="009230CE"/>
    <w:rsid w:val="00933424"/>
    <w:rsid w:val="00935EDD"/>
    <w:rsid w:val="00943BDE"/>
    <w:rsid w:val="00986CF3"/>
    <w:rsid w:val="009972A7"/>
    <w:rsid w:val="009A4DB9"/>
    <w:rsid w:val="009B3ECA"/>
    <w:rsid w:val="009B583F"/>
    <w:rsid w:val="009C3565"/>
    <w:rsid w:val="009E15D6"/>
    <w:rsid w:val="009E2C7E"/>
    <w:rsid w:val="00A22AE5"/>
    <w:rsid w:val="00A27C06"/>
    <w:rsid w:val="00A27D94"/>
    <w:rsid w:val="00A36E4A"/>
    <w:rsid w:val="00A439AA"/>
    <w:rsid w:val="00A64901"/>
    <w:rsid w:val="00A672AE"/>
    <w:rsid w:val="00A67A25"/>
    <w:rsid w:val="00A93CAF"/>
    <w:rsid w:val="00A95F79"/>
    <w:rsid w:val="00AA5609"/>
    <w:rsid w:val="00AD29CB"/>
    <w:rsid w:val="00AD2E14"/>
    <w:rsid w:val="00AE03FA"/>
    <w:rsid w:val="00AE0C8F"/>
    <w:rsid w:val="00AE2C4D"/>
    <w:rsid w:val="00AE6C2A"/>
    <w:rsid w:val="00AF63AC"/>
    <w:rsid w:val="00AF6C5D"/>
    <w:rsid w:val="00B027ED"/>
    <w:rsid w:val="00B04857"/>
    <w:rsid w:val="00B37A15"/>
    <w:rsid w:val="00B503C2"/>
    <w:rsid w:val="00B52E6C"/>
    <w:rsid w:val="00B6173A"/>
    <w:rsid w:val="00B655D9"/>
    <w:rsid w:val="00B72AB0"/>
    <w:rsid w:val="00BC0E1F"/>
    <w:rsid w:val="00BD19DB"/>
    <w:rsid w:val="00BD24AA"/>
    <w:rsid w:val="00BD6DDE"/>
    <w:rsid w:val="00BD72D2"/>
    <w:rsid w:val="00C03B3C"/>
    <w:rsid w:val="00C313B7"/>
    <w:rsid w:val="00C34EF4"/>
    <w:rsid w:val="00C36028"/>
    <w:rsid w:val="00C36E8A"/>
    <w:rsid w:val="00C41F42"/>
    <w:rsid w:val="00C43C6A"/>
    <w:rsid w:val="00C45BF3"/>
    <w:rsid w:val="00C4669A"/>
    <w:rsid w:val="00C47364"/>
    <w:rsid w:val="00C753B8"/>
    <w:rsid w:val="00C80CDA"/>
    <w:rsid w:val="00C848F1"/>
    <w:rsid w:val="00CB7FB8"/>
    <w:rsid w:val="00CD3BB8"/>
    <w:rsid w:val="00CE324D"/>
    <w:rsid w:val="00CF2B15"/>
    <w:rsid w:val="00CF33F6"/>
    <w:rsid w:val="00CF34D6"/>
    <w:rsid w:val="00D02383"/>
    <w:rsid w:val="00D23A3D"/>
    <w:rsid w:val="00D30FA8"/>
    <w:rsid w:val="00D3670C"/>
    <w:rsid w:val="00D54154"/>
    <w:rsid w:val="00DA005C"/>
    <w:rsid w:val="00DB79C6"/>
    <w:rsid w:val="00DC2B59"/>
    <w:rsid w:val="00DC3BE7"/>
    <w:rsid w:val="00DD1727"/>
    <w:rsid w:val="00DE129D"/>
    <w:rsid w:val="00DE64EE"/>
    <w:rsid w:val="00E03B00"/>
    <w:rsid w:val="00E07917"/>
    <w:rsid w:val="00E349BB"/>
    <w:rsid w:val="00E373EE"/>
    <w:rsid w:val="00E5390E"/>
    <w:rsid w:val="00E640D1"/>
    <w:rsid w:val="00E650AE"/>
    <w:rsid w:val="00E736EA"/>
    <w:rsid w:val="00E9393A"/>
    <w:rsid w:val="00E96A82"/>
    <w:rsid w:val="00EA23C9"/>
    <w:rsid w:val="00EA47A3"/>
    <w:rsid w:val="00EA615A"/>
    <w:rsid w:val="00EB6E73"/>
    <w:rsid w:val="00EE3779"/>
    <w:rsid w:val="00EE5935"/>
    <w:rsid w:val="00EE633E"/>
    <w:rsid w:val="00EE6EBB"/>
    <w:rsid w:val="00F06B55"/>
    <w:rsid w:val="00F274F6"/>
    <w:rsid w:val="00F666F0"/>
    <w:rsid w:val="00F81408"/>
    <w:rsid w:val="00F83935"/>
    <w:rsid w:val="00F963FF"/>
    <w:rsid w:val="00FB2CF8"/>
    <w:rsid w:val="00FC5279"/>
    <w:rsid w:val="00FC6E2C"/>
    <w:rsid w:val="00FD7A7B"/>
    <w:rsid w:val="00FE077A"/>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59BFD"/>
  <w15:docId w15:val="{BE82E0D5-D507-4397-BD44-6D5C94FB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5D"/>
    <w:pPr>
      <w:spacing w:before="160" w:line="336" w:lineRule="auto"/>
    </w:pPr>
    <w:rPr>
      <w:lang w:val="en-AU"/>
    </w:rPr>
  </w:style>
  <w:style w:type="paragraph" w:styleId="Heading1">
    <w:name w:val="heading 1"/>
    <w:basedOn w:val="Normal"/>
    <w:next w:val="Normal"/>
    <w:link w:val="Heading1Char"/>
    <w:uiPriority w:val="9"/>
    <w:qFormat/>
    <w:rsid w:val="00A95F79"/>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A95F79"/>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95F79"/>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95F79"/>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105220"/>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102044"/>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A95F79"/>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10204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A95F79"/>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A95F79"/>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10204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95F79"/>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515177"/>
    <w:pPr>
      <w:ind w:left="568" w:hanging="284"/>
    </w:pPr>
    <w:rPr>
      <w:b w:val="0"/>
      <w:noProof/>
    </w:rPr>
  </w:style>
  <w:style w:type="paragraph" w:styleId="TOC1">
    <w:name w:val="toc 1"/>
    <w:basedOn w:val="Normal"/>
    <w:next w:val="Normal"/>
    <w:autoRedefine/>
    <w:uiPriority w:val="39"/>
    <w:semiHidden/>
    <w:rsid w:val="0051517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4626B0"/>
    <w:rPr>
      <w:color w:val="0000FF"/>
      <w:u w:val="single"/>
    </w:rPr>
  </w:style>
  <w:style w:type="paragraph" w:styleId="TOCHeading">
    <w:name w:val="TOC Heading"/>
    <w:next w:val="Normal"/>
    <w:uiPriority w:val="39"/>
    <w:unhideWhenUsed/>
    <w:qFormat/>
    <w:rsid w:val="00A95F79"/>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CF34D6"/>
    <w:pPr>
      <w:numPr>
        <w:numId w:val="32"/>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CF34D6"/>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10204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51517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numPr>
        <w:ilvl w:val="3"/>
        <w:numId w:val="30"/>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A95F79"/>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51517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51517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51517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F06B55"/>
    <w:rPr>
      <w:rFonts w:ascii="Tahoma" w:hAnsi="Tahoma"/>
      <w:b/>
    </w:rPr>
  </w:style>
  <w:style w:type="character" w:customStyle="1" w:styleId="Heading5Char">
    <w:name w:val="Heading 5 Char"/>
    <w:basedOn w:val="DefaultParagraphFont"/>
    <w:link w:val="Heading5"/>
    <w:uiPriority w:val="9"/>
    <w:semiHidden/>
    <w:rsid w:val="00105220"/>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0B23"/>
    <w:rPr>
      <w:color w:val="FF4895" w:themeColor="accent2" w:themeTint="99"/>
    </w:rPr>
  </w:style>
  <w:style w:type="paragraph" w:styleId="TOC7">
    <w:name w:val="toc 7"/>
    <w:basedOn w:val="Normal"/>
    <w:next w:val="Normal"/>
    <w:autoRedefine/>
    <w:uiPriority w:val="39"/>
    <w:semiHidden/>
    <w:unhideWhenUsed/>
    <w:rsid w:val="00515177"/>
    <w:pPr>
      <w:spacing w:before="40" w:after="40" w:line="288" w:lineRule="auto"/>
      <w:ind w:left="1321"/>
    </w:pPr>
  </w:style>
  <w:style w:type="paragraph" w:styleId="TOC8">
    <w:name w:val="toc 8"/>
    <w:basedOn w:val="Normal"/>
    <w:next w:val="Normal"/>
    <w:autoRedefine/>
    <w:uiPriority w:val="39"/>
    <w:semiHidden/>
    <w:unhideWhenUsed/>
    <w:rsid w:val="00515177"/>
    <w:pPr>
      <w:spacing w:before="40" w:after="40" w:line="288" w:lineRule="auto"/>
      <w:ind w:left="1542"/>
    </w:pPr>
  </w:style>
  <w:style w:type="paragraph" w:styleId="TOC9">
    <w:name w:val="toc 9"/>
    <w:basedOn w:val="Normal"/>
    <w:next w:val="Normal"/>
    <w:autoRedefine/>
    <w:uiPriority w:val="39"/>
    <w:semiHidden/>
    <w:unhideWhenUsed/>
    <w:rsid w:val="00515177"/>
    <w:pPr>
      <w:spacing w:before="40" w:after="40" w:line="288" w:lineRule="auto"/>
      <w:ind w:left="1758"/>
    </w:pPr>
  </w:style>
  <w:style w:type="character" w:styleId="CommentReference">
    <w:name w:val="annotation reference"/>
    <w:basedOn w:val="DefaultParagraphFont"/>
    <w:uiPriority w:val="99"/>
    <w:semiHidden/>
    <w:unhideWhenUsed/>
    <w:rsid w:val="00AF6C5D"/>
    <w:rPr>
      <w:sz w:val="16"/>
      <w:szCs w:val="16"/>
    </w:rPr>
  </w:style>
  <w:style w:type="paragraph" w:styleId="CommentText">
    <w:name w:val="annotation text"/>
    <w:basedOn w:val="Normal"/>
    <w:link w:val="CommentTextChar"/>
    <w:uiPriority w:val="99"/>
    <w:unhideWhenUsed/>
    <w:rsid w:val="00AF6C5D"/>
    <w:pPr>
      <w:spacing w:line="240" w:lineRule="auto"/>
    </w:pPr>
    <w:rPr>
      <w:sz w:val="20"/>
      <w:szCs w:val="20"/>
    </w:rPr>
  </w:style>
  <w:style w:type="character" w:customStyle="1" w:styleId="CommentTextChar">
    <w:name w:val="Comment Text Char"/>
    <w:basedOn w:val="DefaultParagraphFont"/>
    <w:link w:val="CommentText"/>
    <w:uiPriority w:val="99"/>
    <w:rsid w:val="00AF6C5D"/>
    <w:rPr>
      <w:sz w:val="20"/>
      <w:szCs w:val="20"/>
      <w:lang w:val="en-AU"/>
    </w:rPr>
  </w:style>
  <w:style w:type="paragraph" w:styleId="CommentSubject">
    <w:name w:val="annotation subject"/>
    <w:basedOn w:val="CommentText"/>
    <w:next w:val="CommentText"/>
    <w:link w:val="CommentSubjectChar"/>
    <w:uiPriority w:val="99"/>
    <w:semiHidden/>
    <w:unhideWhenUsed/>
    <w:rsid w:val="008E5AEE"/>
    <w:rPr>
      <w:b/>
      <w:bCs/>
    </w:rPr>
  </w:style>
  <w:style w:type="character" w:customStyle="1" w:styleId="CommentSubjectChar">
    <w:name w:val="Comment Subject Char"/>
    <w:basedOn w:val="CommentTextChar"/>
    <w:link w:val="CommentSubject"/>
    <w:uiPriority w:val="99"/>
    <w:semiHidden/>
    <w:rsid w:val="008E5AEE"/>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5AA5-DC88-469C-84B7-2F6FED1C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4894</Characters>
  <Application>Microsoft Office Word</Application>
  <DocSecurity>0</DocSecurity>
  <Lines>89</Lines>
  <Paragraphs>47</Paragraphs>
  <ScaleCrop>false</ScaleCrop>
  <HeadingPairs>
    <vt:vector size="2" baseType="variant">
      <vt:variant>
        <vt:lpstr>Title</vt:lpstr>
      </vt:variant>
      <vt:variant>
        <vt:i4>1</vt:i4>
      </vt:variant>
    </vt:vector>
  </HeadingPairs>
  <TitlesOfParts>
    <vt:vector size="1" baseType="lpstr">
      <vt:lpstr>Consultation Summary – Revoking the Electricity System Code: Draft Decision</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Summary – Revoking the Electricity System Code: Draft Decision</dc:title>
  <dc:subject/>
  <dc:creator>Luis Bogliolo (ESC)</dc:creator>
  <cp:keywords>[SEC=UNOFFICIAL]</cp:keywords>
  <dc:description/>
  <cp:lastModifiedBy>Samraansh Sharma (ESC)</cp:lastModifiedBy>
  <cp:revision>3</cp:revision>
  <cp:lastPrinted>2018-01-07T22:51:00Z</cp:lastPrinted>
  <dcterms:created xsi:type="dcterms:W3CDTF">2023-12-13T05:15:00Z</dcterms:created>
  <dcterms:modified xsi:type="dcterms:W3CDTF">2023-12-13T22:06:00Z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4B0D13C348E24131B4E4E0B4551F7AA9</vt:lpwstr>
  </property>
  <property fmtid="{D5CDD505-2E9C-101B-9397-08002B2CF9AE}" pid="9" name="PM_ProtectiveMarkingValue_Footer">
    <vt:lpwstr>UNOFFICIAL</vt:lpwstr>
  </property>
  <property fmtid="{D5CDD505-2E9C-101B-9397-08002B2CF9AE}" pid="10" name="PM_Originator_Hash_SHA1">
    <vt:lpwstr>4EDBE76A9C21EA6B7387BD6D462FF34BCF7CC711</vt:lpwstr>
  </property>
  <property fmtid="{D5CDD505-2E9C-101B-9397-08002B2CF9AE}" pid="11" name="PM_OriginationTimeStamp">
    <vt:lpwstr>2023-12-13T22:06:03Z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D18A81B605FB749CDF12A03F83E5EC20</vt:lpwstr>
  </property>
  <property fmtid="{D5CDD505-2E9C-101B-9397-08002B2CF9AE}" pid="23" name="PM_Hash_Salt">
    <vt:lpwstr>055E030F19F2238A6984B5591161DC60</vt:lpwstr>
  </property>
  <property fmtid="{D5CDD505-2E9C-101B-9397-08002B2CF9AE}" pid="24" name="PM_Hash_SHA1">
    <vt:lpwstr>03573D587108A785D41B3269A269390A95F97C6B</vt:lpwstr>
  </property>
  <property fmtid="{D5CDD505-2E9C-101B-9397-08002B2CF9AE}" pid="25" name="PM_OriginatorUserAccountName_SHA256">
    <vt:lpwstr>296B571D8E65C4253B6D76C5CDFD6485D5D61D8DEBE241309FAD80DBC74D5779</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UNOFFICIAL</vt:lpwstr>
  </property>
  <property fmtid="{D5CDD505-2E9C-101B-9397-08002B2CF9AE}" pid="28" name="PM_Qualifier_Prev">
    <vt:lpwstr/>
  </property>
</Properties>
</file>