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1A2B" w14:textId="42748888" w:rsidR="0077543B" w:rsidRPr="0077543B" w:rsidRDefault="00112BB7" w:rsidP="0077543B">
      <w:pPr>
        <w:pStyle w:val="Heading1"/>
      </w:pPr>
      <w:r>
        <w:t xml:space="preserve">2024-25 </w:t>
      </w:r>
      <w:r w:rsidR="0077543B">
        <w:t xml:space="preserve">Victorian Default </w:t>
      </w:r>
      <w:r w:rsidR="000C6B67">
        <w:t>O</w:t>
      </w:r>
      <w:r w:rsidR="0077543B">
        <w:t>ffer</w:t>
      </w:r>
      <w:r w:rsidR="00010042">
        <w:t>:</w:t>
      </w:r>
      <w:r w:rsidR="00393C25">
        <w:t xml:space="preserve"> </w:t>
      </w:r>
      <w:r w:rsidR="00010042">
        <w:br/>
      </w:r>
      <w:r w:rsidR="0077543B">
        <w:t xml:space="preserve">Request for </w:t>
      </w:r>
      <w:r w:rsidR="000C6B67">
        <w:t>C</w:t>
      </w:r>
      <w:r w:rsidR="0077543B">
        <w:t>omment</w:t>
      </w:r>
    </w:p>
    <w:p w14:paraId="3152545D" w14:textId="77777777" w:rsidR="00D732EE" w:rsidRDefault="00D732EE" w:rsidP="00D732EE">
      <w:pPr>
        <w:pStyle w:val="Heading2"/>
      </w:pPr>
      <w:bookmarkStart w:id="1" w:name="_Toc135838758"/>
      <w:r>
        <w:t>The Victorian Default Offer regulates standing offer prices</w:t>
      </w:r>
      <w:bookmarkEnd w:id="1"/>
    </w:p>
    <w:p w14:paraId="3E7B3233" w14:textId="72E3B3F8" w:rsidR="00D732EE" w:rsidRDefault="00D732EE" w:rsidP="00D732EE">
      <w:pPr>
        <w:spacing w:before="360"/>
        <w:contextualSpacing/>
      </w:pPr>
      <w:r>
        <w:t xml:space="preserve">The Victorian Default Offer was introduced by the Victorian Government in a Governor in Council Order made under section 13 of the </w:t>
      </w:r>
      <w:r w:rsidRPr="0054214C">
        <w:rPr>
          <w:i/>
          <w:iCs/>
        </w:rPr>
        <w:t>Electricity Industry Act 2000</w:t>
      </w:r>
      <w:r>
        <w:t xml:space="preserve"> (pricing order).</w:t>
      </w:r>
      <w:r>
        <w:rPr>
          <w:rStyle w:val="FootnoteReference"/>
        </w:rPr>
        <w:footnoteReference w:id="1"/>
      </w:r>
      <w:r>
        <w:t xml:space="preserve"> The Victorian Default Offer regulates standing offer prices for electricity in Victoria supplied and sold to domestic customers or small business customers. The first Victorian Default Offer was set by the Victorian Government in 2019 based on advice prepared by </w:t>
      </w:r>
      <w:r w:rsidR="001272CD">
        <w:t>the Essential Services Commission</w:t>
      </w:r>
      <w:r>
        <w:t>. Our first determination of Victorian Default Offer prices came into effect 1 January 2020. We have been responsible for setting Victorian Default Offer prices since then.</w:t>
      </w:r>
    </w:p>
    <w:p w14:paraId="1741B422" w14:textId="2FEDEBEF" w:rsidR="00D732EE" w:rsidRDefault="00D732EE" w:rsidP="00D732EE">
      <w:pPr>
        <w:pStyle w:val="Heading2"/>
      </w:pPr>
      <w:bookmarkStart w:id="2" w:name="_Toc129689691"/>
      <w:bookmarkStart w:id="3" w:name="_Toc135838759"/>
      <w:r>
        <w:t>The Victorian Default Offer provides a safeguard for customers</w:t>
      </w:r>
      <w:bookmarkEnd w:id="2"/>
      <w:bookmarkEnd w:id="3"/>
    </w:p>
    <w:p w14:paraId="4EA83B84" w14:textId="4A11DEDD" w:rsidR="00D732EE" w:rsidRPr="00BB3FF6" w:rsidRDefault="00D732EE" w:rsidP="00D732EE">
      <w:r w:rsidRPr="00BB3FF6">
        <w:t xml:space="preserve">As </w:t>
      </w:r>
      <w:r>
        <w:t>a reasonably priced electricity option, based on the efficient costs of the sale of electricity by a retailer, t</w:t>
      </w:r>
      <w:r w:rsidRPr="00BB3FF6">
        <w:t xml:space="preserve">he Victorian Default Offer provides an important safeguard for </w:t>
      </w:r>
      <w:r>
        <w:t>consumers that are unable or unwilling to engage in the electricity retail market.</w:t>
      </w:r>
    </w:p>
    <w:p w14:paraId="27001584" w14:textId="137D849B" w:rsidR="00D732EE" w:rsidRDefault="00D732EE" w:rsidP="00D732EE">
      <w:r>
        <w:t xml:space="preserve">Standing offers are contracts that electricity retailers must make available to domestic and small business customers. A standing offer will apply if the customer has: </w:t>
      </w:r>
    </w:p>
    <w:p w14:paraId="49462545" w14:textId="42329900" w:rsidR="00D732EE" w:rsidRPr="00FD5551" w:rsidRDefault="00D732EE" w:rsidP="00D732EE">
      <w:pPr>
        <w:pStyle w:val="ListBullet"/>
      </w:pPr>
      <w:r w:rsidRPr="00FD5551">
        <w:t>never signed up for an electricity contract</w:t>
      </w:r>
    </w:p>
    <w:p w14:paraId="2310AA60" w14:textId="5197CCF8" w:rsidR="00D732EE" w:rsidRPr="00FD5551" w:rsidRDefault="00D732EE" w:rsidP="00D732EE">
      <w:pPr>
        <w:pStyle w:val="ListBullet"/>
      </w:pPr>
      <w:r w:rsidRPr="00FD5551">
        <w:t xml:space="preserve">entered into an electricity contract, cancelled the contract within the cooling-off period, but continues to use electricity without entering into a new </w:t>
      </w:r>
      <w:proofErr w:type="gramStart"/>
      <w:r w:rsidRPr="00FD5551">
        <w:t>contract</w:t>
      </w:r>
      <w:proofErr w:type="gramEnd"/>
    </w:p>
    <w:p w14:paraId="5164E457" w14:textId="3E48691E" w:rsidR="00D732EE" w:rsidRPr="00FD5551" w:rsidRDefault="00D732EE" w:rsidP="00D732EE">
      <w:pPr>
        <w:pStyle w:val="ListBullet"/>
      </w:pPr>
      <w:r w:rsidRPr="00FD5551">
        <w:t xml:space="preserve">moved into a new address and uses electricity without entering into a </w:t>
      </w:r>
      <w:proofErr w:type="gramStart"/>
      <w:r w:rsidRPr="00FD5551">
        <w:t>contract</w:t>
      </w:r>
      <w:proofErr w:type="gramEnd"/>
    </w:p>
    <w:p w14:paraId="2698B1AD" w14:textId="42DEFB7D" w:rsidR="00D732EE" w:rsidRPr="00FD5551" w:rsidRDefault="00D732EE" w:rsidP="00D732EE">
      <w:pPr>
        <w:pStyle w:val="ListBullet"/>
      </w:pPr>
      <w:r w:rsidRPr="00FD5551">
        <w:t>specifically asked for a standing offer</w:t>
      </w:r>
    </w:p>
    <w:p w14:paraId="4AE50C0B" w14:textId="50CDD4E5" w:rsidR="00D732EE" w:rsidRPr="00EF6364" w:rsidRDefault="00D732EE" w:rsidP="00D732EE">
      <w:pPr>
        <w:pStyle w:val="ListBullet"/>
      </w:pPr>
      <w:bookmarkStart w:id="4" w:name="_Hlk121088763"/>
      <w:r w:rsidRPr="00FD5551">
        <w:t xml:space="preserve">moved onto </w:t>
      </w:r>
      <w:r w:rsidRPr="00EF6364">
        <w:t>a standing offer after their market offer contract came to an end</w:t>
      </w:r>
      <w:bookmarkEnd w:id="4"/>
      <w:r w:rsidRPr="00EF6364">
        <w:t xml:space="preserve">. </w:t>
      </w:r>
    </w:p>
    <w:p w14:paraId="500BE5CD" w14:textId="0421A5DC" w:rsidR="00D732EE" w:rsidRPr="00EF6364" w:rsidRDefault="00D732EE" w:rsidP="00D732EE">
      <w:r w:rsidRPr="00EF6364">
        <w:lastRenderedPageBreak/>
        <w:t>The Victorian Default Offer specifies the prices that may be charged for standing offers. A</w:t>
      </w:r>
      <w:r w:rsidR="001C61AC">
        <w:t xml:space="preserve">s of </w:t>
      </w:r>
      <w:r w:rsidR="007E1C5C">
        <w:t xml:space="preserve">June </w:t>
      </w:r>
      <w:r w:rsidR="001C61AC">
        <w:t>2023 a</w:t>
      </w:r>
      <w:r w:rsidRPr="00EF6364">
        <w:t xml:space="preserve">round </w:t>
      </w:r>
      <w:r w:rsidR="007E1C5C">
        <w:t>382</w:t>
      </w:r>
      <w:r w:rsidRPr="00EF6364">
        <w:t xml:space="preserve">,000 households and </w:t>
      </w:r>
      <w:r w:rsidR="007E1C5C" w:rsidRPr="00EF6364">
        <w:t>5</w:t>
      </w:r>
      <w:r w:rsidR="007E1C5C">
        <w:t>8</w:t>
      </w:r>
      <w:r w:rsidRPr="00EF6364">
        <w:t xml:space="preserve">,000 small businesses </w:t>
      </w:r>
      <w:r w:rsidR="001C61AC">
        <w:t>we</w:t>
      </w:r>
      <w:r w:rsidRPr="00EF6364">
        <w:t>re on standing offers.</w:t>
      </w:r>
      <w:r w:rsidRPr="00EF6364">
        <w:rPr>
          <w:rStyle w:val="FootnoteReference"/>
        </w:rPr>
        <w:footnoteReference w:id="2"/>
      </w:r>
      <w:r w:rsidRPr="00EF6364">
        <w:t xml:space="preserve"> This represents around 1</w:t>
      </w:r>
      <w:r w:rsidR="00BD7582">
        <w:t>4</w:t>
      </w:r>
      <w:r w:rsidRPr="00EF6364">
        <w:t xml:space="preserve"> per cent of households and </w:t>
      </w:r>
      <w:r w:rsidR="007E1C5C">
        <w:t>20</w:t>
      </w:r>
      <w:r w:rsidR="007E1C5C" w:rsidRPr="00EF6364">
        <w:t xml:space="preserve"> </w:t>
      </w:r>
      <w:r w:rsidRPr="00EF6364">
        <w:t>per cent of small businesses.</w:t>
      </w:r>
    </w:p>
    <w:p w14:paraId="737BC136" w14:textId="30F3EF38" w:rsidR="00D732EE" w:rsidRPr="00977638" w:rsidRDefault="00D732EE" w:rsidP="00D732EE">
      <w:r w:rsidRPr="00EF6364">
        <w:t>Since September 2020, the Victorian Default Offer has also applied as a maximum price for most embedded network customers (covering around 150,000 customers).</w:t>
      </w:r>
      <w:r w:rsidRPr="00EF6364">
        <w:rPr>
          <w:rStyle w:val="FootnoteReference"/>
        </w:rPr>
        <w:footnoteReference w:id="3"/>
      </w:r>
      <w:r w:rsidRPr="00EF6364">
        <w:t xml:space="preserve"> Electricity providers in embedded networks may set prices below the Victorian Default</w:t>
      </w:r>
      <w:r>
        <w:t xml:space="preserve"> Offer.</w:t>
      </w:r>
    </w:p>
    <w:p w14:paraId="6DB0295A" w14:textId="2E726F1B" w:rsidR="00D732EE" w:rsidRDefault="00D732EE" w:rsidP="00D732EE">
      <w:pPr>
        <w:pStyle w:val="Heading2"/>
      </w:pPr>
      <w:bookmarkStart w:id="5" w:name="_Toc129689692"/>
      <w:bookmarkStart w:id="6" w:name="_Toc135838760"/>
      <w:r>
        <w:t>The Victorian Default Offer also acts as a comparison price</w:t>
      </w:r>
      <w:bookmarkEnd w:id="5"/>
      <w:bookmarkEnd w:id="6"/>
    </w:p>
    <w:p w14:paraId="1A2F61E6" w14:textId="3CF89B88" w:rsidR="00D732EE" w:rsidRPr="00BB3FF6" w:rsidRDefault="00D732EE" w:rsidP="00D732EE">
      <w:r w:rsidRPr="00BB3FF6">
        <w:t xml:space="preserve">Most customers are on market contracts, not standing offers. </w:t>
      </w:r>
      <w:r>
        <w:t>M</w:t>
      </w:r>
      <w:r w:rsidRPr="00BB3FF6">
        <w:t xml:space="preserve">arket offers </w:t>
      </w:r>
      <w:r>
        <w:t>often have</w:t>
      </w:r>
      <w:r w:rsidRPr="00BB3FF6">
        <w:t xml:space="preserve"> prices below the Victorian Default Offer. </w:t>
      </w:r>
    </w:p>
    <w:p w14:paraId="26CB864E" w14:textId="55E6C0C8" w:rsidR="00D732EE" w:rsidRDefault="00D732EE" w:rsidP="00D732EE">
      <w:r w:rsidRPr="00BB3FF6">
        <w:t xml:space="preserve">The Victorian Default Offer plays a </w:t>
      </w:r>
      <w:r>
        <w:t xml:space="preserve">key </w:t>
      </w:r>
      <w:r w:rsidRPr="00BB3FF6">
        <w:t xml:space="preserve">role </w:t>
      </w:r>
      <w:r>
        <w:t xml:space="preserve">as a benchmark price for these </w:t>
      </w:r>
      <w:r w:rsidRPr="00BB3FF6">
        <w:t>market</w:t>
      </w:r>
      <w:r>
        <w:t xml:space="preserve"> offers.</w:t>
      </w:r>
      <w:r w:rsidRPr="00BB3FF6">
        <w:t xml:space="preserve"> </w:t>
      </w:r>
      <w:r>
        <w:t>R</w:t>
      </w:r>
      <w:r w:rsidRPr="00BB3FF6">
        <w:t xml:space="preserve">etailers </w:t>
      </w:r>
      <w:r>
        <w:t>must</w:t>
      </w:r>
      <w:r w:rsidRPr="00BB3FF6">
        <w:t xml:space="preserve"> </w:t>
      </w:r>
      <w:r>
        <w:t>compare their</w:t>
      </w:r>
      <w:r w:rsidRPr="00BB3FF6">
        <w:t xml:space="preserve"> market offers </w:t>
      </w:r>
      <w:r>
        <w:t>to the default offer prices when advertising</w:t>
      </w:r>
      <w:r w:rsidRPr="00BB3FF6">
        <w:t>. This enables customers to easily compare market offer prices and choose a plan that best suits their needs.</w:t>
      </w:r>
      <w:r>
        <w:t xml:space="preserve"> </w:t>
      </w:r>
    </w:p>
    <w:p w14:paraId="68EC1854" w14:textId="12FB06DF" w:rsidR="00D732EE" w:rsidRDefault="00DF1812" w:rsidP="00D732EE">
      <w:pPr>
        <w:pStyle w:val="Heading2"/>
      </w:pPr>
      <w:bookmarkStart w:id="7" w:name="_Toc129689693"/>
      <w:bookmarkStart w:id="8" w:name="_Toc135838761"/>
      <w:r>
        <w:t>We</w:t>
      </w:r>
      <w:r w:rsidR="00D732EE">
        <w:t xml:space="preserve"> review prices before the end of each regulatory period</w:t>
      </w:r>
      <w:bookmarkEnd w:id="7"/>
      <w:bookmarkEnd w:id="8"/>
    </w:p>
    <w:p w14:paraId="446E3EFC" w14:textId="2E2CF779" w:rsidR="00D732EE" w:rsidRDefault="00D732EE" w:rsidP="00D732EE">
      <w:r>
        <w:t xml:space="preserve">We released our previous </w:t>
      </w:r>
      <w:r w:rsidR="00F26A5A">
        <w:t xml:space="preserve">price </w:t>
      </w:r>
      <w:r>
        <w:t>determination on 2</w:t>
      </w:r>
      <w:r w:rsidR="00556FDF">
        <w:t>5</w:t>
      </w:r>
      <w:r>
        <w:t xml:space="preserve"> May 202</w:t>
      </w:r>
      <w:r w:rsidR="005F17F3">
        <w:t>3</w:t>
      </w:r>
      <w:r>
        <w:t xml:space="preserve"> for the Victorian Default Offer to apply from 1 July 202</w:t>
      </w:r>
      <w:r w:rsidR="00556FDF">
        <w:t>3</w:t>
      </w:r>
      <w:r>
        <w:t xml:space="preserve"> to 30 June 202</w:t>
      </w:r>
      <w:r w:rsidR="00556FDF">
        <w:t>4</w:t>
      </w:r>
      <w:r>
        <w:t xml:space="preserve">. We refer to these arrangements for standing offers </w:t>
      </w:r>
      <w:r w:rsidR="00A6459D">
        <w:t>as the 202</w:t>
      </w:r>
      <w:r w:rsidR="00A20DA3">
        <w:t>3</w:t>
      </w:r>
      <w:r w:rsidR="00A6459D">
        <w:t>–2</w:t>
      </w:r>
      <w:r w:rsidR="00A20DA3">
        <w:t>4</w:t>
      </w:r>
      <w:r w:rsidR="00A6459D">
        <w:t xml:space="preserve"> </w:t>
      </w:r>
      <w:r>
        <w:t xml:space="preserve">Victorian Default Offer. </w:t>
      </w:r>
    </w:p>
    <w:p w14:paraId="547315AC" w14:textId="5082F404" w:rsidR="00D732EE" w:rsidRDefault="00D732EE" w:rsidP="00D732EE">
      <w:r>
        <w:t xml:space="preserve">Under the pricing order, we must make a new </w:t>
      </w:r>
      <w:r w:rsidR="00764568">
        <w:t xml:space="preserve">price </w:t>
      </w:r>
      <w:r>
        <w:t xml:space="preserve">determination for the Victorian Default Offer to </w:t>
      </w:r>
      <w:r w:rsidRPr="0013604C">
        <w:t xml:space="preserve">apply </w:t>
      </w:r>
      <w:r>
        <w:t xml:space="preserve">from </w:t>
      </w:r>
      <w:r w:rsidRPr="0013604C">
        <w:t>1 July 202</w:t>
      </w:r>
      <w:r w:rsidR="00827254">
        <w:t>4</w:t>
      </w:r>
      <w:r>
        <w:t xml:space="preserve"> to 30 June 202</w:t>
      </w:r>
      <w:r w:rsidR="00827254">
        <w:t>5</w:t>
      </w:r>
      <w:r>
        <w:t xml:space="preserve"> on, or before, 24 May 202</w:t>
      </w:r>
      <w:r w:rsidR="00D050B4">
        <w:t>4</w:t>
      </w:r>
      <w:r>
        <w:t>.</w:t>
      </w:r>
      <w:r>
        <w:rPr>
          <w:rStyle w:val="FootnoteReference"/>
        </w:rPr>
        <w:footnoteReference w:id="4"/>
      </w:r>
      <w:r>
        <w:t xml:space="preserve"> We refer to the</w:t>
      </w:r>
      <w:r w:rsidR="00B23409">
        <w:t>se</w:t>
      </w:r>
      <w:r>
        <w:t xml:space="preserve"> new pricing arrangements for standing offers as </w:t>
      </w:r>
      <w:r w:rsidR="00A6459D">
        <w:t xml:space="preserve">the 2024–25 </w:t>
      </w:r>
      <w:r>
        <w:t>Victorian Default Offer</w:t>
      </w:r>
      <w:r w:rsidRPr="0013604C">
        <w:t>.</w:t>
      </w:r>
    </w:p>
    <w:p w14:paraId="1AD13F39" w14:textId="322AEAEE" w:rsidR="009D6331" w:rsidRDefault="009D6331" w:rsidP="009D6331">
      <w:pPr>
        <w:pStyle w:val="Heading2"/>
      </w:pPr>
      <w:r>
        <w:t xml:space="preserve">We </w:t>
      </w:r>
      <w:r w:rsidR="00EC5FAE">
        <w:t>s</w:t>
      </w:r>
      <w:r w:rsidR="00D1229B">
        <w:t>eek submissions</w:t>
      </w:r>
      <w:r w:rsidR="00EC5FAE">
        <w:t xml:space="preserve"> on matters to consider during our next </w:t>
      </w:r>
      <w:r w:rsidR="00764568">
        <w:t xml:space="preserve">price </w:t>
      </w:r>
      <w:r w:rsidR="00EC5FAE">
        <w:t>review</w:t>
      </w:r>
    </w:p>
    <w:p w14:paraId="4F5A9DB1" w14:textId="37DAE539" w:rsidR="003526EB" w:rsidRDefault="00C343F4" w:rsidP="00DE129D">
      <w:r>
        <w:t xml:space="preserve">The commission must adopt an </w:t>
      </w:r>
      <w:r w:rsidR="00FC0AFD">
        <w:t xml:space="preserve">approach and methodology </w:t>
      </w:r>
      <w:r>
        <w:t>that</w:t>
      </w:r>
      <w:r w:rsidR="009D6E20">
        <w:t xml:space="preserve"> </w:t>
      </w:r>
      <w:r w:rsidR="007C2ED3">
        <w:t>meet</w:t>
      </w:r>
      <w:r w:rsidR="009D6E20">
        <w:t>s</w:t>
      </w:r>
      <w:r w:rsidR="007C2ED3">
        <w:t xml:space="preserve"> </w:t>
      </w:r>
      <w:r w:rsidR="0052412D">
        <w:t>our objectives under the Essential Services Commission Act 2001</w:t>
      </w:r>
      <w:r w:rsidR="003B10E7">
        <w:rPr>
          <w:rStyle w:val="FootnoteReference"/>
        </w:rPr>
        <w:footnoteReference w:id="5"/>
      </w:r>
      <w:r w:rsidR="00094790">
        <w:t>,</w:t>
      </w:r>
      <w:r w:rsidR="007765AB">
        <w:t xml:space="preserve"> </w:t>
      </w:r>
      <w:r w:rsidR="003B10E7">
        <w:t>the Electricity Industry Act 2000</w:t>
      </w:r>
      <w:r w:rsidR="00C96386">
        <w:rPr>
          <w:rStyle w:val="FootnoteReference"/>
        </w:rPr>
        <w:footnoteReference w:id="6"/>
      </w:r>
      <w:r w:rsidR="00094790">
        <w:t>,</w:t>
      </w:r>
      <w:r w:rsidR="00BB2163">
        <w:t xml:space="preserve"> and the pricing order</w:t>
      </w:r>
      <w:r w:rsidR="00D52960">
        <w:rPr>
          <w:rStyle w:val="FootnoteReference"/>
        </w:rPr>
        <w:footnoteReference w:id="7"/>
      </w:r>
      <w:r w:rsidR="00094790">
        <w:t>.</w:t>
      </w:r>
      <w:r w:rsidR="004A7F22">
        <w:t xml:space="preserve"> </w:t>
      </w:r>
      <w:r w:rsidR="00341227">
        <w:lastRenderedPageBreak/>
        <w:t>I</w:t>
      </w:r>
      <w:r w:rsidR="003526EB">
        <w:t>n addition, the tariffs we determine must be based on the efficient cost of the sale of electricity by a retailer.</w:t>
      </w:r>
    </w:p>
    <w:p w14:paraId="4833DDDA" w14:textId="6660FEB9" w:rsidR="00FA3C24" w:rsidRDefault="003C6D3B" w:rsidP="00DE129D">
      <w:r>
        <w:t xml:space="preserve">In our final decision on </w:t>
      </w:r>
      <w:r w:rsidR="00A6459D">
        <w:t>the 202</w:t>
      </w:r>
      <w:r w:rsidR="00A20DA3">
        <w:t>3</w:t>
      </w:r>
      <w:r w:rsidR="00A6459D">
        <w:t>–2</w:t>
      </w:r>
      <w:r w:rsidR="00A20DA3">
        <w:t>4</w:t>
      </w:r>
      <w:r w:rsidR="00A6459D">
        <w:t xml:space="preserve"> </w:t>
      </w:r>
      <w:r>
        <w:t xml:space="preserve">Victorian Default Offer we committed to beginning our </w:t>
      </w:r>
      <w:r w:rsidR="001C61AC">
        <w:t>public consultations on Victorian Default Offer decisions by releasing</w:t>
      </w:r>
      <w:r w:rsidR="00A6459D">
        <w:t xml:space="preserve"> brief</w:t>
      </w:r>
      <w:r w:rsidR="001C61AC">
        <w:t xml:space="preserve"> ‘request for comment’ paper</w:t>
      </w:r>
      <w:r w:rsidR="00A6459D">
        <w:t>s</w:t>
      </w:r>
      <w:r w:rsidR="002A3ED7">
        <w:t>.</w:t>
      </w:r>
      <w:r w:rsidR="00112BB7" w:rsidRPr="00112BB7">
        <w:rPr>
          <w:rStyle w:val="FootnoteReference"/>
        </w:rPr>
        <w:t xml:space="preserve"> </w:t>
      </w:r>
      <w:r w:rsidR="00112BB7">
        <w:rPr>
          <w:rStyle w:val="FootnoteReference"/>
        </w:rPr>
        <w:footnoteReference w:id="8"/>
      </w:r>
      <w:r w:rsidR="002A3ED7">
        <w:t xml:space="preserve"> </w:t>
      </w:r>
      <w:r w:rsidR="001C61AC">
        <w:t>Th</w:t>
      </w:r>
      <w:r w:rsidR="00827254">
        <w:t>ese</w:t>
      </w:r>
      <w:r w:rsidR="001C61AC">
        <w:t xml:space="preserve"> </w:t>
      </w:r>
      <w:r w:rsidR="00827254">
        <w:t>papers</w:t>
      </w:r>
      <w:r w:rsidR="001C61AC">
        <w:t xml:space="preserve"> </w:t>
      </w:r>
      <w:r w:rsidR="00827254">
        <w:t>are intended to</w:t>
      </w:r>
      <w:r w:rsidR="001C61AC">
        <w:t xml:space="preserve"> streamline the early stages of our Victorian Default Offer consultation processes</w:t>
      </w:r>
      <w:r w:rsidR="00F746CF">
        <w:t xml:space="preserve"> and provide an early indication on review timelines</w:t>
      </w:r>
      <w:r w:rsidR="001C61AC">
        <w:t>.</w:t>
      </w:r>
      <w:r w:rsidR="0057246B">
        <w:t xml:space="preserve"> </w:t>
      </w:r>
      <w:r w:rsidR="001C61AC">
        <w:t xml:space="preserve">These papers ask for submissions on matters </w:t>
      </w:r>
      <w:r w:rsidR="00282710">
        <w:t xml:space="preserve">which </w:t>
      </w:r>
      <w:r w:rsidR="001C61AC">
        <w:t xml:space="preserve">stakeholders </w:t>
      </w:r>
      <w:r w:rsidR="00774961">
        <w:t>suggest</w:t>
      </w:r>
      <w:r w:rsidR="001C61AC">
        <w:t xml:space="preserve"> we </w:t>
      </w:r>
      <w:r w:rsidR="00C96E5B">
        <w:t>c</w:t>
      </w:r>
      <w:r w:rsidR="001C61AC">
        <w:t xml:space="preserve">ould </w:t>
      </w:r>
      <w:r w:rsidR="00836025">
        <w:t>consider</w:t>
      </w:r>
      <w:r w:rsidR="001C61AC">
        <w:t xml:space="preserve"> as part of our review. </w:t>
      </w:r>
    </w:p>
    <w:p w14:paraId="555F54D1" w14:textId="1353F760" w:rsidR="001C61AC" w:rsidRDefault="001C61AC" w:rsidP="00DE129D">
      <w:r>
        <w:t xml:space="preserve">We will consider all submissions, and where we </w:t>
      </w:r>
      <w:r w:rsidR="007E6F03">
        <w:t>think</w:t>
      </w:r>
      <w:r>
        <w:t xml:space="preserve"> </w:t>
      </w:r>
      <w:r w:rsidR="00386668">
        <w:t xml:space="preserve">a </w:t>
      </w:r>
      <w:r w:rsidR="0054693A">
        <w:t>suggestion</w:t>
      </w:r>
      <w:r w:rsidR="007538D3">
        <w:t xml:space="preserve"> </w:t>
      </w:r>
      <w:r w:rsidR="00FC0AFD">
        <w:t xml:space="preserve">may </w:t>
      </w:r>
      <w:r>
        <w:t xml:space="preserve">align with </w:t>
      </w:r>
      <w:r w:rsidR="004B1FA7">
        <w:t>the</w:t>
      </w:r>
      <w:r>
        <w:t xml:space="preserve"> objectives </w:t>
      </w:r>
      <w:r w:rsidR="00715D11">
        <w:t xml:space="preserve">and requirements </w:t>
      </w:r>
      <w:r w:rsidR="00AD4B0D">
        <w:t>of the Victorian Default Offer legislative framework</w:t>
      </w:r>
      <w:r w:rsidR="00710A85">
        <w:t xml:space="preserve"> </w:t>
      </w:r>
      <w:r>
        <w:t>we</w:t>
      </w:r>
      <w:r w:rsidR="00354514">
        <w:t xml:space="preserve"> will </w:t>
      </w:r>
      <w:r w:rsidR="008A4D12">
        <w:t xml:space="preserve">consider the suggestion in </w:t>
      </w:r>
      <w:r w:rsidR="00FC0AFD">
        <w:t>this review</w:t>
      </w:r>
      <w:r w:rsidR="006A4428">
        <w:t xml:space="preserve">. </w:t>
      </w:r>
      <w:r w:rsidR="00C9421D">
        <w:t xml:space="preserve">If </w:t>
      </w:r>
      <w:r w:rsidR="008A4D12">
        <w:t xml:space="preserve">the </w:t>
      </w:r>
      <w:r w:rsidR="006109D3">
        <w:t xml:space="preserve">timelines for </w:t>
      </w:r>
      <w:r w:rsidR="003D6D5B">
        <w:t xml:space="preserve">this </w:t>
      </w:r>
      <w:r w:rsidR="006109D3">
        <w:t xml:space="preserve">review </w:t>
      </w:r>
      <w:r w:rsidR="003D6D5B">
        <w:t xml:space="preserve">cannot </w:t>
      </w:r>
      <w:r w:rsidR="006109D3">
        <w:t xml:space="preserve">accommodate this, we will </w:t>
      </w:r>
      <w:r w:rsidR="009B6212">
        <w:t xml:space="preserve">consider </w:t>
      </w:r>
      <w:r w:rsidR="00FC0AFD">
        <w:t>the matter</w:t>
      </w:r>
      <w:r w:rsidR="009B6212">
        <w:t xml:space="preserve"> in </w:t>
      </w:r>
      <w:r w:rsidR="00264BDE">
        <w:t>future reviews</w:t>
      </w:r>
      <w:r w:rsidR="006109D3">
        <w:t xml:space="preserve">. </w:t>
      </w:r>
      <w:r w:rsidR="00FA61D9">
        <w:t>W</w:t>
      </w:r>
      <w:r w:rsidR="00A6459D">
        <w:t>e note that the review periods for the Victorian Default Offer are relatively short</w:t>
      </w:r>
      <w:r w:rsidR="00BB6CC6">
        <w:t>.</w:t>
      </w:r>
      <w:r w:rsidR="00A6459D">
        <w:t xml:space="preserve"> </w:t>
      </w:r>
      <w:r w:rsidR="00BB6CC6">
        <w:t xml:space="preserve">As a </w:t>
      </w:r>
      <w:r w:rsidR="00A27B29">
        <w:t>result,</w:t>
      </w:r>
      <w:r w:rsidR="00BB6CC6">
        <w:t xml:space="preserve"> </w:t>
      </w:r>
      <w:r w:rsidR="00A6459D">
        <w:t xml:space="preserve">in some instances </w:t>
      </w:r>
      <w:r w:rsidR="00BB08D9">
        <w:t xml:space="preserve">suggestions </w:t>
      </w:r>
      <w:r w:rsidR="00A6459D">
        <w:t xml:space="preserve">may need to be </w:t>
      </w:r>
      <w:r w:rsidR="00BB08D9">
        <w:t xml:space="preserve">considered </w:t>
      </w:r>
      <w:r w:rsidR="00A6459D">
        <w:t xml:space="preserve">over the course of more than one review. </w:t>
      </w:r>
    </w:p>
    <w:p w14:paraId="7E8474A2" w14:textId="77777777" w:rsidR="006863A6" w:rsidRDefault="006863A6" w:rsidP="006863A6">
      <w:r>
        <w:t>Stakeholders will be able to make submissions on our draft decision paper, and we will have regard to these submissions when we make our final decision and determination.</w:t>
      </w:r>
    </w:p>
    <w:p w14:paraId="4DF2B926" w14:textId="1E0E3BD9" w:rsidR="00D161B0" w:rsidRDefault="00D161B0" w:rsidP="004D6293">
      <w:pPr>
        <w:pStyle w:val="Figure-Table-BoxHeading"/>
        <w:keepNext/>
        <w:numPr>
          <w:ilvl w:val="0"/>
          <w:numId w:val="0"/>
        </w:numPr>
        <w:ind w:left="851" w:hanging="851"/>
      </w:pPr>
      <w:r>
        <w:t xml:space="preserve">Table </w:t>
      </w:r>
      <w:r w:rsidR="00D050B4">
        <w:t>1</w:t>
      </w:r>
      <w:r>
        <w:t xml:space="preserve">: </w:t>
      </w:r>
      <w:r w:rsidR="00A6459D">
        <w:t xml:space="preserve">2024–25 </w:t>
      </w:r>
      <w:r>
        <w:t xml:space="preserve">Victorian Default Offer </w:t>
      </w:r>
      <w:r w:rsidR="00B2678B">
        <w:t>review</w:t>
      </w:r>
      <w:r w:rsidR="003020D4">
        <w:t xml:space="preserve"> timeframes</w:t>
      </w:r>
    </w:p>
    <w:tbl>
      <w:tblPr>
        <w:tblStyle w:val="TableGrid"/>
        <w:tblW w:w="0" w:type="auto"/>
        <w:tblLook w:val="04A0" w:firstRow="1" w:lastRow="0" w:firstColumn="1" w:lastColumn="0" w:noHBand="0" w:noVBand="1"/>
      </w:tblPr>
      <w:tblGrid>
        <w:gridCol w:w="6379"/>
        <w:gridCol w:w="3259"/>
      </w:tblGrid>
      <w:tr w:rsidR="00D161B0" w14:paraId="5834F45F" w14:textId="77777777" w:rsidTr="00E012F5">
        <w:trPr>
          <w:cnfStyle w:val="100000000000" w:firstRow="1" w:lastRow="0" w:firstColumn="0" w:lastColumn="0" w:oddVBand="0" w:evenVBand="0" w:oddHBand="0" w:evenHBand="0" w:firstRowFirstColumn="0" w:firstRowLastColumn="0" w:lastRowFirstColumn="0" w:lastRowLastColumn="0"/>
        </w:trPr>
        <w:tc>
          <w:tcPr>
            <w:tcW w:w="6379" w:type="dxa"/>
          </w:tcPr>
          <w:p w14:paraId="73B5D758" w14:textId="77777777" w:rsidR="00D161B0" w:rsidRDefault="00D161B0" w:rsidP="00D06CAF">
            <w:pPr>
              <w:pStyle w:val="TableHeading"/>
            </w:pPr>
            <w:r w:rsidRPr="006608A2">
              <w:t>Key milestones</w:t>
            </w:r>
          </w:p>
        </w:tc>
        <w:tc>
          <w:tcPr>
            <w:tcW w:w="3259" w:type="dxa"/>
          </w:tcPr>
          <w:p w14:paraId="2213446E" w14:textId="77777777" w:rsidR="00D161B0" w:rsidRDefault="00D161B0" w:rsidP="00D06CAF">
            <w:pPr>
              <w:pStyle w:val="TableHeading"/>
            </w:pPr>
            <w:r w:rsidRPr="006608A2">
              <w:t>Indicative date</w:t>
            </w:r>
          </w:p>
        </w:tc>
      </w:tr>
      <w:tr w:rsidR="00784EA2" w14:paraId="7BEEB9FA" w14:textId="77777777" w:rsidTr="00E012F5">
        <w:trPr>
          <w:cnfStyle w:val="000000100000" w:firstRow="0" w:lastRow="0" w:firstColumn="0" w:lastColumn="0" w:oddVBand="0" w:evenVBand="0" w:oddHBand="1" w:evenHBand="0" w:firstRowFirstColumn="0" w:firstRowLastColumn="0" w:lastRowFirstColumn="0" w:lastRowLastColumn="0"/>
        </w:trPr>
        <w:tc>
          <w:tcPr>
            <w:tcW w:w="6379" w:type="dxa"/>
          </w:tcPr>
          <w:p w14:paraId="28C0B6E3" w14:textId="55779A3F" w:rsidR="00784EA2" w:rsidRPr="00EC788F" w:rsidRDefault="00784EA2" w:rsidP="00D06CAF">
            <w:pPr>
              <w:pStyle w:val="TableBody"/>
            </w:pPr>
            <w:r w:rsidRPr="00EC788F">
              <w:t>Request for comment paper</w:t>
            </w:r>
          </w:p>
        </w:tc>
        <w:tc>
          <w:tcPr>
            <w:tcW w:w="3259" w:type="dxa"/>
          </w:tcPr>
          <w:p w14:paraId="0434E2D5" w14:textId="317F53A8" w:rsidR="00784EA2" w:rsidRPr="00EC788F" w:rsidRDefault="003A5DEC" w:rsidP="00D06CAF">
            <w:pPr>
              <w:pStyle w:val="TableBody"/>
            </w:pPr>
            <w:r w:rsidRPr="00886E46">
              <w:t>2</w:t>
            </w:r>
            <w:r w:rsidR="00784EA2" w:rsidRPr="00EC788F">
              <w:t xml:space="preserve"> </w:t>
            </w:r>
            <w:r w:rsidRPr="00EC788F">
              <w:t xml:space="preserve">November </w:t>
            </w:r>
            <w:r w:rsidR="00784EA2" w:rsidRPr="00EC788F">
              <w:t>2023</w:t>
            </w:r>
          </w:p>
        </w:tc>
      </w:tr>
      <w:tr w:rsidR="00D161B0" w14:paraId="7F93FA9D" w14:textId="77777777" w:rsidTr="00E012F5">
        <w:trPr>
          <w:cnfStyle w:val="000000010000" w:firstRow="0" w:lastRow="0" w:firstColumn="0" w:lastColumn="0" w:oddVBand="0" w:evenVBand="0" w:oddHBand="0" w:evenHBand="1" w:firstRowFirstColumn="0" w:firstRowLastColumn="0" w:lastRowFirstColumn="0" w:lastRowLastColumn="0"/>
        </w:trPr>
        <w:tc>
          <w:tcPr>
            <w:tcW w:w="6379" w:type="dxa"/>
          </w:tcPr>
          <w:p w14:paraId="028FB423" w14:textId="282DE11E" w:rsidR="00D161B0" w:rsidRPr="00EC788F" w:rsidRDefault="00E012F5" w:rsidP="00D06CAF">
            <w:pPr>
              <w:pStyle w:val="TableBody"/>
            </w:pPr>
            <w:r w:rsidRPr="00EC788F">
              <w:t>Submissions on request for comment paper close</w:t>
            </w:r>
          </w:p>
        </w:tc>
        <w:tc>
          <w:tcPr>
            <w:tcW w:w="3259" w:type="dxa"/>
          </w:tcPr>
          <w:p w14:paraId="5DFE4B1A" w14:textId="0C935EB2" w:rsidR="00D161B0" w:rsidRPr="00EC788F" w:rsidRDefault="003A5DEC" w:rsidP="00D06CAF">
            <w:pPr>
              <w:pStyle w:val="TableBody"/>
            </w:pPr>
            <w:r w:rsidRPr="00EC788F">
              <w:t>14</w:t>
            </w:r>
            <w:r w:rsidR="00E012F5" w:rsidRPr="00EC788F">
              <w:t xml:space="preserve"> December 2023</w:t>
            </w:r>
          </w:p>
        </w:tc>
      </w:tr>
      <w:tr w:rsidR="00E012F5" w14:paraId="11BADD9A" w14:textId="77777777" w:rsidTr="00E012F5">
        <w:trPr>
          <w:cnfStyle w:val="000000100000" w:firstRow="0" w:lastRow="0" w:firstColumn="0" w:lastColumn="0" w:oddVBand="0" w:evenVBand="0" w:oddHBand="1" w:evenHBand="0" w:firstRowFirstColumn="0" w:firstRowLastColumn="0" w:lastRowFirstColumn="0" w:lastRowLastColumn="0"/>
        </w:trPr>
        <w:tc>
          <w:tcPr>
            <w:tcW w:w="6379" w:type="dxa"/>
          </w:tcPr>
          <w:p w14:paraId="6B024587" w14:textId="300DC765" w:rsidR="00E012F5" w:rsidRDefault="00E012F5" w:rsidP="00E012F5">
            <w:pPr>
              <w:pStyle w:val="TableBody"/>
            </w:pPr>
            <w:r w:rsidRPr="006608A2">
              <w:t xml:space="preserve">Draft decision </w:t>
            </w:r>
            <w:r w:rsidR="00BB6CC6">
              <w:t xml:space="preserve">paper </w:t>
            </w:r>
            <w:r w:rsidRPr="006608A2">
              <w:t>released</w:t>
            </w:r>
          </w:p>
        </w:tc>
        <w:tc>
          <w:tcPr>
            <w:tcW w:w="3259" w:type="dxa"/>
          </w:tcPr>
          <w:p w14:paraId="51324CD8" w14:textId="69914CC6" w:rsidR="00E012F5" w:rsidRDefault="00481907" w:rsidP="00E012F5">
            <w:pPr>
              <w:pStyle w:val="TableBody"/>
            </w:pPr>
            <w:r>
              <w:t>March</w:t>
            </w:r>
            <w:r w:rsidR="00E012F5" w:rsidRPr="006608A2">
              <w:t xml:space="preserve"> 202</w:t>
            </w:r>
            <w:r w:rsidR="00E012F5">
              <w:t>4</w:t>
            </w:r>
          </w:p>
        </w:tc>
      </w:tr>
      <w:tr w:rsidR="00E012F5" w14:paraId="6EC4F249" w14:textId="77777777" w:rsidTr="00E012F5">
        <w:trPr>
          <w:cnfStyle w:val="000000010000" w:firstRow="0" w:lastRow="0" w:firstColumn="0" w:lastColumn="0" w:oddVBand="0" w:evenVBand="0" w:oddHBand="0" w:evenHBand="1" w:firstRowFirstColumn="0" w:firstRowLastColumn="0" w:lastRowFirstColumn="0" w:lastRowLastColumn="0"/>
        </w:trPr>
        <w:tc>
          <w:tcPr>
            <w:tcW w:w="6379" w:type="dxa"/>
          </w:tcPr>
          <w:p w14:paraId="48D41C56" w14:textId="162126A8" w:rsidR="00E012F5" w:rsidRDefault="00E012F5" w:rsidP="00E012F5">
            <w:pPr>
              <w:pStyle w:val="TableBody"/>
            </w:pPr>
            <w:r>
              <w:t>Public forum on the d</w:t>
            </w:r>
            <w:r w:rsidRPr="006608A2">
              <w:t>raft decision</w:t>
            </w:r>
            <w:r w:rsidR="00BB6CC6">
              <w:t xml:space="preserve"> paper</w:t>
            </w:r>
          </w:p>
        </w:tc>
        <w:tc>
          <w:tcPr>
            <w:tcW w:w="3259" w:type="dxa"/>
          </w:tcPr>
          <w:p w14:paraId="0C4FDC59" w14:textId="6485BC34" w:rsidR="00E012F5" w:rsidRDefault="00E012F5" w:rsidP="00E012F5">
            <w:pPr>
              <w:pStyle w:val="TableBody"/>
            </w:pPr>
            <w:r>
              <w:t>March</w:t>
            </w:r>
            <w:r w:rsidR="00481907">
              <w:t>/April</w:t>
            </w:r>
            <w:r w:rsidRPr="006608A2">
              <w:t xml:space="preserve"> 202</w:t>
            </w:r>
            <w:r>
              <w:t>4</w:t>
            </w:r>
          </w:p>
        </w:tc>
      </w:tr>
      <w:tr w:rsidR="00E012F5" w14:paraId="12ACE6FD" w14:textId="77777777" w:rsidTr="00E012F5">
        <w:trPr>
          <w:cnfStyle w:val="000000100000" w:firstRow="0" w:lastRow="0" w:firstColumn="0" w:lastColumn="0" w:oddVBand="0" w:evenVBand="0" w:oddHBand="1" w:evenHBand="0" w:firstRowFirstColumn="0" w:firstRowLastColumn="0" w:lastRowFirstColumn="0" w:lastRowLastColumn="0"/>
        </w:trPr>
        <w:tc>
          <w:tcPr>
            <w:tcW w:w="6379" w:type="dxa"/>
          </w:tcPr>
          <w:p w14:paraId="148FBDF4" w14:textId="77777777" w:rsidR="00E012F5" w:rsidRDefault="00E012F5" w:rsidP="00E012F5">
            <w:pPr>
              <w:pStyle w:val="TableBody"/>
            </w:pPr>
            <w:r w:rsidRPr="006608A2">
              <w:t>Final decision and determination</w:t>
            </w:r>
          </w:p>
        </w:tc>
        <w:tc>
          <w:tcPr>
            <w:tcW w:w="3259" w:type="dxa"/>
          </w:tcPr>
          <w:p w14:paraId="6976EE9D" w14:textId="6C3FFA21" w:rsidR="00E012F5" w:rsidRDefault="00E012F5" w:rsidP="00E012F5">
            <w:pPr>
              <w:pStyle w:val="TableBody"/>
            </w:pPr>
            <w:r>
              <w:t>Made b</w:t>
            </w:r>
            <w:r w:rsidRPr="006608A2">
              <w:t>y 2</w:t>
            </w:r>
            <w:r>
              <w:t>4</w:t>
            </w:r>
            <w:r w:rsidRPr="006608A2">
              <w:t xml:space="preserve"> </w:t>
            </w:r>
            <w:r>
              <w:t>May</w:t>
            </w:r>
            <w:r w:rsidRPr="006608A2">
              <w:t xml:space="preserve"> 202</w:t>
            </w:r>
            <w:r>
              <w:t>4</w:t>
            </w:r>
          </w:p>
        </w:tc>
      </w:tr>
    </w:tbl>
    <w:p w14:paraId="2C918107" w14:textId="2CF9581F" w:rsidR="00E063E7" w:rsidRDefault="00B36985" w:rsidP="00CB0BA2">
      <w:pPr>
        <w:pStyle w:val="Heading2"/>
      </w:pPr>
      <w:r>
        <w:t>W</w:t>
      </w:r>
      <w:r w:rsidR="00E063E7">
        <w:t xml:space="preserve">e propose to use </w:t>
      </w:r>
      <w:r>
        <w:t xml:space="preserve">generally </w:t>
      </w:r>
      <w:r w:rsidR="00E063E7">
        <w:t>the same methodolog</w:t>
      </w:r>
      <w:r>
        <w:t>ies</w:t>
      </w:r>
      <w:r w:rsidR="00E063E7">
        <w:t xml:space="preserve"> </w:t>
      </w:r>
      <w:r w:rsidR="004A7181">
        <w:t>as</w:t>
      </w:r>
      <w:r w:rsidR="00CB0BA2">
        <w:t xml:space="preserve"> in past </w:t>
      </w:r>
      <w:proofErr w:type="gramStart"/>
      <w:r w:rsidR="00CB0BA2">
        <w:t>reviews</w:t>
      </w:r>
      <w:proofErr w:type="gramEnd"/>
    </w:p>
    <w:p w14:paraId="509D0F0F" w14:textId="33C37C36" w:rsidR="00CB0BA2" w:rsidRDefault="00D050B4" w:rsidP="00DE129D">
      <w:r>
        <w:t>A</w:t>
      </w:r>
      <w:r w:rsidR="00E90213">
        <w:t>n overview of the methodologies we use can be found in our final decision paper on the 202</w:t>
      </w:r>
      <w:r w:rsidR="00A20DA3">
        <w:t>3</w:t>
      </w:r>
      <w:r w:rsidR="00A65C2D">
        <w:t>–</w:t>
      </w:r>
      <w:r w:rsidR="00E90213">
        <w:t>2</w:t>
      </w:r>
      <w:r w:rsidR="00A20DA3">
        <w:t>4</w:t>
      </w:r>
      <w:r w:rsidR="00E90213">
        <w:t xml:space="preserve"> Victorian Default Offer.</w:t>
      </w:r>
      <w:r w:rsidR="00E90213">
        <w:rPr>
          <w:rStyle w:val="FootnoteReference"/>
        </w:rPr>
        <w:footnoteReference w:id="9"/>
      </w:r>
      <w:r w:rsidR="004E3AC0">
        <w:t xml:space="preserve"> We seek stakeholder</w:t>
      </w:r>
      <w:r w:rsidR="00790378">
        <w:t>s’</w:t>
      </w:r>
      <w:r w:rsidR="004E3AC0">
        <w:t xml:space="preserve"> view</w:t>
      </w:r>
      <w:r w:rsidR="00AF158F">
        <w:t>s</w:t>
      </w:r>
      <w:r w:rsidR="004E3AC0">
        <w:t xml:space="preserve"> </w:t>
      </w:r>
      <w:r w:rsidR="00F84165">
        <w:t xml:space="preserve">on </w:t>
      </w:r>
      <w:r w:rsidR="004E3AC0">
        <w:t>our methodologies, but note that</w:t>
      </w:r>
      <w:r w:rsidR="00D23C07">
        <w:t xml:space="preserve"> changes will only be made where there is </w:t>
      </w:r>
      <w:r w:rsidR="00056AE8">
        <w:t>strong</w:t>
      </w:r>
      <w:r w:rsidR="00D23C07">
        <w:t xml:space="preserve"> evidence that a change </w:t>
      </w:r>
      <w:r w:rsidR="004F6EB2">
        <w:t>would better meet the objectives and</w:t>
      </w:r>
      <w:r w:rsidR="00D23C07">
        <w:t xml:space="preserve"> require</w:t>
      </w:r>
      <w:r w:rsidR="004F6EB2">
        <w:t xml:space="preserve">ments of the </w:t>
      </w:r>
      <w:r w:rsidR="00A9496B">
        <w:t>Victorian Default Offer legislative framework</w:t>
      </w:r>
      <w:r w:rsidR="00D23C07">
        <w:t>.</w:t>
      </w:r>
    </w:p>
    <w:p w14:paraId="3056D739" w14:textId="4702492F" w:rsidR="00F746CF" w:rsidRDefault="00F3413E" w:rsidP="00DE129D">
      <w:r>
        <w:t xml:space="preserve">While we welcome submissions on any of the methodologies we use to </w:t>
      </w:r>
      <w:r w:rsidR="00704A1D">
        <w:t xml:space="preserve">set our cost benchmarks, </w:t>
      </w:r>
      <w:r w:rsidR="00070380">
        <w:t xml:space="preserve">in our </w:t>
      </w:r>
      <w:r w:rsidR="00861737">
        <w:t>l</w:t>
      </w:r>
      <w:r w:rsidR="00070380">
        <w:t xml:space="preserve">ast review we committed to </w:t>
      </w:r>
      <w:r w:rsidR="00EA3FDD">
        <w:t>engaging</w:t>
      </w:r>
      <w:r w:rsidR="00FC38A6" w:rsidRPr="00FC38A6">
        <w:t xml:space="preserve"> with stakeholders on potential alternative approaches </w:t>
      </w:r>
      <w:r w:rsidR="00FC38A6" w:rsidRPr="00FC38A6">
        <w:lastRenderedPageBreak/>
        <w:t>we could consider to set the retail margin</w:t>
      </w:r>
      <w:r w:rsidR="00EA3FDD">
        <w:t>.</w:t>
      </w:r>
      <w:r w:rsidR="00ED3322">
        <w:rPr>
          <w:rStyle w:val="FootnoteReference"/>
        </w:rPr>
        <w:footnoteReference w:id="10"/>
      </w:r>
      <w:r w:rsidR="002A3DE1">
        <w:t xml:space="preserve"> </w:t>
      </w:r>
      <w:r w:rsidR="00C47B26">
        <w:t>S</w:t>
      </w:r>
      <w:r w:rsidR="0013137B">
        <w:t>ince our last review</w:t>
      </w:r>
      <w:r w:rsidR="00AC72F4">
        <w:t>,</w:t>
      </w:r>
      <w:r w:rsidR="0013137B">
        <w:t xml:space="preserve"> s</w:t>
      </w:r>
      <w:r w:rsidR="002A3DE1">
        <w:t xml:space="preserve">ome stakeholders </w:t>
      </w:r>
      <w:r w:rsidR="00C47B26">
        <w:t xml:space="preserve">also </w:t>
      </w:r>
      <w:r w:rsidR="00941AA6">
        <w:t>suggested</w:t>
      </w:r>
      <w:r w:rsidR="002A3DE1">
        <w:t xml:space="preserve"> </w:t>
      </w:r>
      <w:r w:rsidR="00BA4B64">
        <w:t xml:space="preserve">that </w:t>
      </w:r>
      <w:r w:rsidR="004C74D2">
        <w:t xml:space="preserve">we should </w:t>
      </w:r>
      <w:r w:rsidR="00B93A0C">
        <w:t xml:space="preserve">consider </w:t>
      </w:r>
      <w:r w:rsidR="0013137B">
        <w:t>contracting strategies</w:t>
      </w:r>
      <w:r w:rsidR="00087FB4">
        <w:t xml:space="preserve"> </w:t>
      </w:r>
      <w:r w:rsidR="0013137B">
        <w:t xml:space="preserve">for </w:t>
      </w:r>
      <w:r w:rsidR="00C614AD">
        <w:t xml:space="preserve">peak </w:t>
      </w:r>
      <w:r w:rsidR="0013137B">
        <w:t xml:space="preserve">wholesale electricity </w:t>
      </w:r>
      <w:r w:rsidR="00C614AD">
        <w:t>prices</w:t>
      </w:r>
      <w:r w:rsidR="00BA2AFD">
        <w:t>.</w:t>
      </w:r>
    </w:p>
    <w:p w14:paraId="76DAE414" w14:textId="77777777" w:rsidR="0013137B" w:rsidRDefault="0013137B" w:rsidP="0013137B">
      <w:pPr>
        <w:pStyle w:val="Heading2"/>
      </w:pPr>
      <w:r>
        <w:t>Alternatives to peak swap wholesale electricity futures contracts</w:t>
      </w:r>
    </w:p>
    <w:p w14:paraId="5E897DF5" w14:textId="7611265E" w:rsidR="00F746CF" w:rsidRDefault="00F746CF" w:rsidP="0013137B">
      <w:r w:rsidRPr="00F746CF">
        <w:t xml:space="preserve">We </w:t>
      </w:r>
      <w:r w:rsidR="00CE215C">
        <w:t>set our benchmark for</w:t>
      </w:r>
      <w:r w:rsidRPr="00F746CF">
        <w:t xml:space="preserve"> wholesale electricity </w:t>
      </w:r>
      <w:r w:rsidR="00CE215C">
        <w:t>costs</w:t>
      </w:r>
      <w:r w:rsidRPr="00F746CF">
        <w:t xml:space="preserve"> based on futures </w:t>
      </w:r>
      <w:r w:rsidR="00CE215C">
        <w:t xml:space="preserve">contract </w:t>
      </w:r>
      <w:r w:rsidRPr="00F746CF">
        <w:t xml:space="preserve">prices on ASX </w:t>
      </w:r>
      <w:r w:rsidR="00CE215C">
        <w:t>E</w:t>
      </w:r>
      <w:r w:rsidRPr="00F746CF">
        <w:t xml:space="preserve">nergy. </w:t>
      </w:r>
      <w:r w:rsidR="00CE215C">
        <w:t xml:space="preserve">The prices we use for contracts are based on the </w:t>
      </w:r>
      <w:r w:rsidRPr="00F746CF">
        <w:t xml:space="preserve">12-month trade-weighted </w:t>
      </w:r>
      <w:r w:rsidR="00CE215C">
        <w:t>average price on ASX Energy.</w:t>
      </w:r>
      <w:r w:rsidR="00CC115C">
        <w:t xml:space="preserve"> </w:t>
      </w:r>
      <w:r w:rsidR="00F876DB">
        <w:t xml:space="preserve">We have consulted widely on this approach over the last six </w:t>
      </w:r>
      <w:r w:rsidR="00BD5CE6">
        <w:t xml:space="preserve">Victorian Default Offer </w:t>
      </w:r>
      <w:r w:rsidR="00F876DB">
        <w:t>reviews and are of the view</w:t>
      </w:r>
      <w:r w:rsidR="00034CC7">
        <w:t xml:space="preserve"> that</w:t>
      </w:r>
      <w:r w:rsidR="00306F31">
        <w:t xml:space="preserve"> it </w:t>
      </w:r>
      <w:r w:rsidR="00034CC7">
        <w:t>remains appropriate for the 20</w:t>
      </w:r>
      <w:r w:rsidR="00BD5CE6">
        <w:t>24-25 Victorian Default Offer.</w:t>
      </w:r>
      <w:r w:rsidR="00306F31">
        <w:t xml:space="preserve"> However, we have made </w:t>
      </w:r>
      <w:r w:rsidR="008623C3">
        <w:t xml:space="preserve">relatively small </w:t>
      </w:r>
      <w:r w:rsidR="00704E8D">
        <w:t>adjustments to this approach in the past where</w:t>
      </w:r>
      <w:r w:rsidR="00A11C97">
        <w:t xml:space="preserve"> there was </w:t>
      </w:r>
      <w:r w:rsidR="00704E8D">
        <w:t>strong evidence</w:t>
      </w:r>
      <w:r w:rsidR="00A11C97">
        <w:t xml:space="preserve"> to do so.</w:t>
      </w:r>
    </w:p>
    <w:p w14:paraId="466CD6EA" w14:textId="7CAB9BEB" w:rsidR="0013137B" w:rsidRDefault="0013137B" w:rsidP="0013137B">
      <w:r>
        <w:t>In our final decision on the 202</w:t>
      </w:r>
      <w:r w:rsidR="00A20DA3">
        <w:t>3</w:t>
      </w:r>
      <w:r>
        <w:t>-2</w:t>
      </w:r>
      <w:r w:rsidR="00A20DA3">
        <w:t>4</w:t>
      </w:r>
      <w:r>
        <w:t xml:space="preserve"> Victorian Default Offer, we did not include peak swap contracts in the estimation of our wholesale electricity cost benchmark. This was based on evidence we gathered from retailers and publicly available information we observed that indicated ASX Energy peak swap contracts were no longer traded in meaningful volumes.</w:t>
      </w:r>
      <w:r>
        <w:rPr>
          <w:rStyle w:val="FootnoteReference"/>
        </w:rPr>
        <w:footnoteReference w:id="11"/>
      </w:r>
      <w:r>
        <w:t xml:space="preserve"> </w:t>
      </w:r>
    </w:p>
    <w:p w14:paraId="587DAE64" w14:textId="5753F366" w:rsidR="0013137B" w:rsidRDefault="0013137B" w:rsidP="0013137B">
      <w:r>
        <w:t>Given this change, Frontier’s STRIKE model included a larger number of base cap and base swap contracts in the wholesale electricity cost benchmark.</w:t>
      </w:r>
      <w:r w:rsidR="00702D44">
        <w:rPr>
          <w:rStyle w:val="FootnoteReference"/>
        </w:rPr>
        <w:footnoteReference w:id="12"/>
      </w:r>
      <w:r>
        <w:t xml:space="preserve"> However, some stakeholders have told us that retailers are now using different instruments (such as over the counter contracts) to manage their peak wholesale price risk.</w:t>
      </w:r>
    </w:p>
    <w:p w14:paraId="5F0AAB2A" w14:textId="77777777" w:rsidR="000D297B" w:rsidRDefault="0013137B" w:rsidP="00DE129D">
      <w:r>
        <w:t>W</w:t>
      </w:r>
      <w:r w:rsidR="00A11C97">
        <w:t>hile we consider that our general approach remains sound, w</w:t>
      </w:r>
      <w:r>
        <w:t>e are interested in submissions from stakeholders on the new instruments and strategies that retailers are now using to manage peak wholesale price risk instead of peak swap contracts</w:t>
      </w:r>
      <w:r w:rsidR="00DC7FD3">
        <w:t xml:space="preserve">. </w:t>
      </w:r>
    </w:p>
    <w:p w14:paraId="73500749" w14:textId="13107765" w:rsidR="0044366C" w:rsidRDefault="00A93D59" w:rsidP="00DE129D">
      <w:r>
        <w:t xml:space="preserve">As in past reviews we plan on using our information gathering powers to collect cost data from retailers. </w:t>
      </w:r>
      <w:r w:rsidR="000D297B">
        <w:t>In addition to submissions from stakeholders</w:t>
      </w:r>
      <w:r w:rsidR="00A97EE8">
        <w:t>,</w:t>
      </w:r>
      <w:r w:rsidR="000D297B">
        <w:t xml:space="preserve"> we will </w:t>
      </w:r>
      <w:r w:rsidR="00E44193">
        <w:t xml:space="preserve">have regard to </w:t>
      </w:r>
      <w:r w:rsidR="000D297B">
        <w:t>this information in making our draft decision.</w:t>
      </w:r>
      <w:r w:rsidR="007E1C5C">
        <w:t xml:space="preserve"> </w:t>
      </w:r>
      <w:r w:rsidR="00DC7FD3">
        <w:t xml:space="preserve">To the extent that </w:t>
      </w:r>
      <w:r w:rsidR="00D47BEC">
        <w:t>there is</w:t>
      </w:r>
      <w:r w:rsidR="004653EE">
        <w:t xml:space="preserve"> evidence that </w:t>
      </w:r>
      <w:r w:rsidR="00D5584A">
        <w:t xml:space="preserve">retailers are making </w:t>
      </w:r>
      <w:r w:rsidR="004653EE">
        <w:t>material</w:t>
      </w:r>
      <w:r w:rsidR="00D5584A">
        <w:t xml:space="preserve"> use of different instruments to manage their peak price risk</w:t>
      </w:r>
      <w:r w:rsidR="00641923">
        <w:t xml:space="preserve"> </w:t>
      </w:r>
      <w:r w:rsidR="00043109">
        <w:t>we encourage submissions</w:t>
      </w:r>
      <w:r w:rsidR="00E363E2">
        <w:t xml:space="preserve"> </w:t>
      </w:r>
      <w:r w:rsidR="00043109">
        <w:t xml:space="preserve">to </w:t>
      </w:r>
      <w:r w:rsidR="003037DF">
        <w:t xml:space="preserve">include </w:t>
      </w:r>
      <w:r w:rsidR="00E04E0F">
        <w:t>consider</w:t>
      </w:r>
      <w:r w:rsidR="003037DF">
        <w:t>ation of</w:t>
      </w:r>
      <w:r w:rsidR="00E04E0F">
        <w:t xml:space="preserve"> </w:t>
      </w:r>
      <w:r w:rsidR="00E363E2">
        <w:t xml:space="preserve">whether and how our benchmark might be </w:t>
      </w:r>
      <w:r w:rsidR="00150808">
        <w:t xml:space="preserve">practically </w:t>
      </w:r>
      <w:r w:rsidR="00E363E2">
        <w:t>refined to take th</w:t>
      </w:r>
      <w:r w:rsidR="003302D8">
        <w:t>ese</w:t>
      </w:r>
      <w:r w:rsidR="00E363E2">
        <w:t xml:space="preserve"> into account</w:t>
      </w:r>
      <w:r w:rsidR="0013137B">
        <w:t>.</w:t>
      </w:r>
    </w:p>
    <w:p w14:paraId="694B5C3C" w14:textId="77777777" w:rsidR="00516E1A" w:rsidRDefault="00516E1A" w:rsidP="00EE21DF">
      <w:pPr>
        <w:pStyle w:val="Heading2"/>
      </w:pPr>
      <w:r>
        <w:lastRenderedPageBreak/>
        <w:t>Retail operating margin</w:t>
      </w:r>
    </w:p>
    <w:p w14:paraId="26076FF3" w14:textId="50629F68" w:rsidR="00F746CF" w:rsidRDefault="00F746CF" w:rsidP="00DE129D">
      <w:r w:rsidRPr="00F746CF">
        <w:t>The pricing order requires us to have regard to the retail operating margin when making a Victorian Default Offer price determination.</w:t>
      </w:r>
      <w:r w:rsidRPr="00F746CF">
        <w:rPr>
          <w:rStyle w:val="FootnoteReference"/>
        </w:rPr>
        <w:footnoteReference w:id="13"/>
      </w:r>
      <w:r w:rsidRPr="00F746CF">
        <w:t xml:space="preserve"> Further, in terms of the costs we include in the Victorian Default Offer, the pricing order also specifies that we must not include headroom; that is, an allowance that does not reflect an efficient cost borne by firms operating in the market.</w:t>
      </w:r>
      <w:r w:rsidRPr="00F746CF">
        <w:rPr>
          <w:rStyle w:val="FootnoteReference"/>
        </w:rPr>
        <w:footnoteReference w:id="14"/>
      </w:r>
      <w:r w:rsidRPr="00F746CF">
        <w:t xml:space="preserve"> </w:t>
      </w:r>
      <w:r w:rsidR="00FF1888">
        <w:t xml:space="preserve"> </w:t>
      </w:r>
    </w:p>
    <w:p w14:paraId="3AC6614B" w14:textId="004F86EA" w:rsidR="00F746CF" w:rsidRPr="00F746CF" w:rsidRDefault="00F746CF" w:rsidP="00F746CF">
      <w:r w:rsidRPr="00F746CF">
        <w:t>For the 202</w:t>
      </w:r>
      <w:r w:rsidR="00A65C2D">
        <w:t>3–</w:t>
      </w:r>
      <w:r w:rsidRPr="00F746CF">
        <w:t>2</w:t>
      </w:r>
      <w:r w:rsidR="00A65C2D">
        <w:t>4</w:t>
      </w:r>
      <w:r w:rsidRPr="00F746CF">
        <w:t xml:space="preserve"> Victorian default </w:t>
      </w:r>
      <w:r w:rsidR="00524709">
        <w:t>O</w:t>
      </w:r>
      <w:r w:rsidRPr="00F746CF">
        <w:t xml:space="preserve">ffer, we set the retail margin at 5.3 per cent based on benchmarks set by other regulators and </w:t>
      </w:r>
      <w:r w:rsidR="00FF1888">
        <w:t xml:space="preserve">having regard to </w:t>
      </w:r>
      <w:r w:rsidRPr="00F746CF">
        <w:t>the expected returns model.</w:t>
      </w:r>
      <w:r w:rsidR="00A65C2D" w:rsidRPr="00A65C2D">
        <w:rPr>
          <w:rStyle w:val="FootnoteReference"/>
        </w:rPr>
        <w:t xml:space="preserve"> </w:t>
      </w:r>
      <w:r w:rsidR="00A65C2D">
        <w:rPr>
          <w:rStyle w:val="FootnoteReference"/>
        </w:rPr>
        <w:footnoteReference w:id="15"/>
      </w:r>
    </w:p>
    <w:p w14:paraId="678F4CAA" w14:textId="68CEC18F" w:rsidR="00F746CF" w:rsidRDefault="00F746CF" w:rsidP="00F746CF">
      <w:r w:rsidRPr="00F746CF">
        <w:t xml:space="preserve">The retail operating margin accounts for a relatively small share of the costs that make up the Victorian Default Offer. As the retail operating margin is expressed as a percentage of the cost stack, the dollar amount </w:t>
      </w:r>
      <w:r w:rsidR="00A65C2D">
        <w:t xml:space="preserve">of the benchmark margin </w:t>
      </w:r>
      <w:r w:rsidRPr="00F746CF">
        <w:t>varies based on movements in other costs (such as wholesale and network costs).</w:t>
      </w:r>
    </w:p>
    <w:p w14:paraId="07C877A9" w14:textId="77144F94" w:rsidR="00F746CF" w:rsidRPr="00401286" w:rsidRDefault="00401286" w:rsidP="00DE129D">
      <w:r w:rsidRPr="00401286">
        <w:t>As noted above, in our final decision</w:t>
      </w:r>
      <w:r>
        <w:t xml:space="preserve"> for the 2023-24 Victorian Default Offer</w:t>
      </w:r>
      <w:r w:rsidRPr="00401286">
        <w:t xml:space="preserve">, we committed to engaging with stakeholders on alternative approaches to set the retail operating margin. </w:t>
      </w:r>
      <w:r w:rsidR="008D5E02">
        <w:t xml:space="preserve">This was in response to </w:t>
      </w:r>
      <w:r w:rsidR="005C6654">
        <w:t xml:space="preserve">submissions noting </w:t>
      </w:r>
      <w:r w:rsidRPr="00401286">
        <w:t>the potential for circularity if regulators continue to use benchmarks set by other</w:t>
      </w:r>
      <w:r w:rsidR="00FF1888">
        <w:t xml:space="preserve"> regulators</w:t>
      </w:r>
      <w:r w:rsidRPr="00401286">
        <w:t>.</w:t>
      </w:r>
    </w:p>
    <w:p w14:paraId="33D2CF6D" w14:textId="3FAFAFAB" w:rsidR="00401286" w:rsidRDefault="00401286" w:rsidP="00DE129D">
      <w:r w:rsidRPr="00401286">
        <w:t xml:space="preserve">Accordingly, we are seeking </w:t>
      </w:r>
      <w:r w:rsidR="009E3B02">
        <w:t>suggestions</w:t>
      </w:r>
      <w:r w:rsidRPr="00401286">
        <w:t xml:space="preserve"> from stakeholders on</w:t>
      </w:r>
      <w:r w:rsidR="001F5A35">
        <w:t xml:space="preserve"> potential</w:t>
      </w:r>
      <w:r w:rsidRPr="00401286">
        <w:t xml:space="preserve"> </w:t>
      </w:r>
      <w:r w:rsidR="00A65C2D">
        <w:t xml:space="preserve">alternative </w:t>
      </w:r>
      <w:r w:rsidRPr="00401286">
        <w:t>approaches for us to consider</w:t>
      </w:r>
      <w:r w:rsidR="00A65C2D">
        <w:t xml:space="preserve"> in setting the retail operating margin</w:t>
      </w:r>
      <w:r w:rsidRPr="00401286">
        <w:t>. Any suggestions for alternative approach</w:t>
      </w:r>
      <w:r w:rsidR="00A65C2D">
        <w:t>es</w:t>
      </w:r>
      <w:r w:rsidRPr="00401286">
        <w:t xml:space="preserve"> should also include consideration of </w:t>
      </w:r>
      <w:r w:rsidR="00FA68FB">
        <w:t>how practical those approaches are to implement</w:t>
      </w:r>
      <w:r w:rsidR="00492490">
        <w:t xml:space="preserve"> and </w:t>
      </w:r>
      <w:r w:rsidRPr="00401286">
        <w:t xml:space="preserve">how </w:t>
      </w:r>
      <w:r w:rsidR="00A65C2D">
        <w:t>they</w:t>
      </w:r>
      <w:r w:rsidRPr="00401286">
        <w:t xml:space="preserve"> might better meet the </w:t>
      </w:r>
      <w:r w:rsidR="00A65C2D">
        <w:t xml:space="preserve">requirements and </w:t>
      </w:r>
      <w:r w:rsidRPr="00401286">
        <w:t>objectives of the Victorian Default Offer legislative framework compared to the current approach.</w:t>
      </w:r>
      <w:r w:rsidR="00F23944">
        <w:t xml:space="preserve"> We will only adopt a</w:t>
      </w:r>
      <w:r w:rsidR="00A65C51">
        <w:t xml:space="preserve"> new</w:t>
      </w:r>
      <w:r w:rsidR="00F23944">
        <w:t xml:space="preserve"> approach</w:t>
      </w:r>
      <w:r w:rsidR="00AD2E8C">
        <w:t xml:space="preserve"> if it</w:t>
      </w:r>
      <w:r w:rsidR="001B6229">
        <w:t xml:space="preserve"> </w:t>
      </w:r>
      <w:r w:rsidR="00AD2E8C">
        <w:t>better meet</w:t>
      </w:r>
      <w:r w:rsidR="00C678EA">
        <w:t>s</w:t>
      </w:r>
      <w:r w:rsidR="00AD2E8C">
        <w:t xml:space="preserve"> the</w:t>
      </w:r>
      <w:r w:rsidR="006A4380">
        <w:t>se</w:t>
      </w:r>
      <w:r w:rsidR="00AD2E8C">
        <w:t xml:space="preserve"> requirements and objectives</w:t>
      </w:r>
      <w:r w:rsidR="006A4380">
        <w:t>,</w:t>
      </w:r>
      <w:r w:rsidR="001B6229">
        <w:t xml:space="preserve"> and it is </w:t>
      </w:r>
      <w:r w:rsidR="00C678EA">
        <w:t xml:space="preserve">also </w:t>
      </w:r>
      <w:r w:rsidR="001B6229">
        <w:t>practical to implement</w:t>
      </w:r>
      <w:r w:rsidR="00AD2E8C">
        <w:t>.</w:t>
      </w:r>
    </w:p>
    <w:p w14:paraId="453AF0C5" w14:textId="47B1B97B" w:rsidR="00910710" w:rsidRDefault="0039441E" w:rsidP="007E1C5C">
      <w:r>
        <w:t xml:space="preserve">In </w:t>
      </w:r>
      <w:r w:rsidR="00B32ED0">
        <w:t>past reviews</w:t>
      </w:r>
      <w:r>
        <w:t xml:space="preserve"> </w:t>
      </w:r>
      <w:r w:rsidR="00B32ED0">
        <w:t xml:space="preserve">the commission has </w:t>
      </w:r>
      <w:r w:rsidR="00EA3FDD">
        <w:t>consider</w:t>
      </w:r>
      <w:r w:rsidR="00B32ED0">
        <w:t>ed</w:t>
      </w:r>
      <w:r w:rsidR="00EA3FDD">
        <w:t xml:space="preserve"> different options for</w:t>
      </w:r>
      <w:r w:rsidR="004B07D5">
        <w:t xml:space="preserve"> </w:t>
      </w:r>
      <w:r w:rsidR="0034003D">
        <w:t>assessing the retail operating margin benchmark.</w:t>
      </w:r>
      <w:r w:rsidR="00E90213">
        <w:rPr>
          <w:rStyle w:val="FootnoteReference"/>
        </w:rPr>
        <w:footnoteReference w:id="16"/>
      </w:r>
    </w:p>
    <w:p w14:paraId="6E9432D3" w14:textId="5A363516" w:rsidR="00D90FD7" w:rsidRDefault="00401286" w:rsidP="00DE129D">
      <w:r>
        <w:t>S</w:t>
      </w:r>
      <w:r w:rsidR="002C4F94">
        <w:t xml:space="preserve">takeholders </w:t>
      </w:r>
      <w:r>
        <w:t xml:space="preserve">may wish </w:t>
      </w:r>
      <w:r w:rsidR="002C4F94">
        <w:t>to provide</w:t>
      </w:r>
      <w:r w:rsidR="00EE21DF">
        <w:t xml:space="preserve"> </w:t>
      </w:r>
      <w:r w:rsidR="00B87F2D">
        <w:t>their views on these alternatives</w:t>
      </w:r>
      <w:r>
        <w:t>, or</w:t>
      </w:r>
      <w:r w:rsidR="00E93344">
        <w:t xml:space="preserve"> </w:t>
      </w:r>
      <w:r w:rsidR="00517C72">
        <w:t xml:space="preserve">propose </w:t>
      </w:r>
      <w:r w:rsidR="00E93344">
        <w:t>others</w:t>
      </w:r>
      <w:r w:rsidR="00A65C2D">
        <w:t>,</w:t>
      </w:r>
      <w:r w:rsidR="00E93344">
        <w:t xml:space="preserve"> </w:t>
      </w:r>
      <w:r w:rsidR="002C4F94">
        <w:t>for us to consider</w:t>
      </w:r>
      <w:r w:rsidR="00EE21DF">
        <w:t>.</w:t>
      </w:r>
    </w:p>
    <w:p w14:paraId="48A8FD05" w14:textId="65747448" w:rsidR="00FC0AFD" w:rsidRDefault="00FC0AFD" w:rsidP="00C11E2F">
      <w:pPr>
        <w:pStyle w:val="Heading2"/>
      </w:pPr>
      <w:bookmarkStart w:id="9" w:name="_Toc129689696"/>
      <w:r>
        <w:lastRenderedPageBreak/>
        <w:t xml:space="preserve">Victorian Default Offer </w:t>
      </w:r>
      <w:r w:rsidR="00B853C4">
        <w:t>p</w:t>
      </w:r>
      <w:r>
        <w:t xml:space="preserve">ricing </w:t>
      </w:r>
      <w:r w:rsidR="00B853C4">
        <w:t>o</w:t>
      </w:r>
      <w:r>
        <w:t>rder</w:t>
      </w:r>
    </w:p>
    <w:p w14:paraId="351B4629" w14:textId="45A6E6B8" w:rsidR="005475F4" w:rsidRPr="006D3438" w:rsidRDefault="00AC71B2" w:rsidP="00B3019E">
      <w:r>
        <w:t xml:space="preserve">An expert independent chair has provided recommendations to </w:t>
      </w:r>
      <w:r w:rsidR="00A20881">
        <w:t xml:space="preserve">the Victorian </w:t>
      </w:r>
      <w:r w:rsidR="00E01F55">
        <w:t xml:space="preserve">Government </w:t>
      </w:r>
      <w:r>
        <w:t xml:space="preserve">on possible changes to the </w:t>
      </w:r>
      <w:r w:rsidR="00B34CD1">
        <w:t>Victorian Default Offer pricing order</w:t>
      </w:r>
      <w:r w:rsidR="00921D4C">
        <w:t>.</w:t>
      </w:r>
      <w:r>
        <w:rPr>
          <w:rStyle w:val="FootnoteReference"/>
        </w:rPr>
        <w:footnoteReference w:id="17"/>
      </w:r>
      <w:r w:rsidR="00921D4C">
        <w:t xml:space="preserve"> </w:t>
      </w:r>
      <w:r w:rsidR="0021138F">
        <w:t xml:space="preserve">If changes are made to the </w:t>
      </w:r>
      <w:r w:rsidR="00CF513A">
        <w:t>p</w:t>
      </w:r>
      <w:r w:rsidR="0021138F">
        <w:t xml:space="preserve">ricing </w:t>
      </w:r>
      <w:r w:rsidR="00CF513A">
        <w:t>o</w:t>
      </w:r>
      <w:r w:rsidR="0021138F">
        <w:t xml:space="preserve">rder during our </w:t>
      </w:r>
      <w:proofErr w:type="gramStart"/>
      <w:r w:rsidR="0021138F">
        <w:t>review</w:t>
      </w:r>
      <w:proofErr w:type="gramEnd"/>
      <w:r w:rsidR="0021138F">
        <w:t xml:space="preserve"> w</w:t>
      </w:r>
      <w:r w:rsidR="005475F4">
        <w:t xml:space="preserve">e will </w:t>
      </w:r>
      <w:r w:rsidR="0021138F">
        <w:t>give</w:t>
      </w:r>
      <w:r w:rsidR="005475F4">
        <w:t xml:space="preserve"> </w:t>
      </w:r>
      <w:r w:rsidR="0021138F">
        <w:t>them appropriate consideration</w:t>
      </w:r>
      <w:r w:rsidR="005261A4">
        <w:t xml:space="preserve"> </w:t>
      </w:r>
      <w:r w:rsidR="00564F60">
        <w:t>in consultation with stakeholders</w:t>
      </w:r>
      <w:r w:rsidR="006B018E">
        <w:t>.</w:t>
      </w:r>
    </w:p>
    <w:p w14:paraId="3E07812C" w14:textId="1F9F885B" w:rsidR="0013736C" w:rsidRDefault="0013736C" w:rsidP="006D61D7">
      <w:r w:rsidRPr="006D3438">
        <w:rPr>
          <w:rStyle w:val="Heading2Char"/>
        </w:rPr>
        <w:t xml:space="preserve">How to provide </w:t>
      </w:r>
      <w:bookmarkEnd w:id="9"/>
      <w:r w:rsidR="001E6B24" w:rsidRPr="006D3438">
        <w:rPr>
          <w:rStyle w:val="Heading2Char"/>
        </w:rPr>
        <w:t>submissions</w:t>
      </w:r>
    </w:p>
    <w:p w14:paraId="344CB7D3" w14:textId="5FDEDC8A" w:rsidR="003302D8" w:rsidRDefault="0013736C" w:rsidP="0013736C">
      <w:r>
        <w:t xml:space="preserve">We invite stakeholders to make submissions in response to this </w:t>
      </w:r>
      <w:r w:rsidR="00FD055F">
        <w:t>request for comment</w:t>
      </w:r>
      <w:r>
        <w:t xml:space="preserve"> paper</w:t>
      </w:r>
      <w:r w:rsidR="003302D8">
        <w:t xml:space="preserve"> </w:t>
      </w:r>
      <w:r>
        <w:t xml:space="preserve">by 5pm </w:t>
      </w:r>
      <w:r w:rsidR="006D61D7" w:rsidRPr="00C57969">
        <w:t>14</w:t>
      </w:r>
      <w:r w:rsidR="007945E3" w:rsidRPr="00C57969">
        <w:t xml:space="preserve"> December</w:t>
      </w:r>
      <w:r>
        <w:t xml:space="preserve"> 2023. </w:t>
      </w:r>
    </w:p>
    <w:p w14:paraId="511B26B6" w14:textId="34FD89A5" w:rsidR="0013736C" w:rsidRDefault="0013736C" w:rsidP="0013736C">
      <w:r>
        <w:t>We may not be able to consider</w:t>
      </w:r>
      <w:r w:rsidR="00497D58">
        <w:t xml:space="preserve"> suggestions made in</w:t>
      </w:r>
      <w:r>
        <w:t xml:space="preserve"> submissions received after th</w:t>
      </w:r>
      <w:r w:rsidR="00497D58">
        <w:t>is</w:t>
      </w:r>
      <w:r>
        <w:t xml:space="preserve"> date.</w:t>
      </w:r>
    </w:p>
    <w:p w14:paraId="19A8F9DF" w14:textId="77777777" w:rsidR="0013736C" w:rsidRDefault="0013736C" w:rsidP="0013736C">
      <w:pPr>
        <w:pStyle w:val="Pull-outHeading"/>
      </w:pPr>
      <w:r>
        <w:t xml:space="preserve">Visit Engage Victoria's website to make your submission: </w:t>
      </w:r>
      <w:hyperlink r:id="rId8" w:history="1">
        <w:r w:rsidRPr="0087598B">
          <w:rPr>
            <w:rStyle w:val="Hyperlink"/>
          </w:rPr>
          <w:t>www.engage.vic.gov.au</w:t>
        </w:r>
      </w:hyperlink>
      <w:r>
        <w:t xml:space="preserve">. </w:t>
      </w:r>
    </w:p>
    <w:p w14:paraId="0286AD1E" w14:textId="7D965DDF" w:rsidR="0013736C" w:rsidRDefault="0013736C" w:rsidP="0013736C">
      <w:r>
        <w:t xml:space="preserve">If the deadline for making submissions, or method for making a submission, presents an issue, please email us at </w:t>
      </w:r>
      <w:hyperlink r:id="rId9" w:history="1">
        <w:r w:rsidRPr="0087598B">
          <w:rPr>
            <w:rStyle w:val="Hyperlink"/>
          </w:rPr>
          <w:t>VDO@esc.vic.gov.au</w:t>
        </w:r>
      </w:hyperlink>
      <w:r>
        <w:t xml:space="preserve"> to discuss other options. </w:t>
      </w:r>
    </w:p>
    <w:p w14:paraId="03AC07DB" w14:textId="77777777" w:rsidR="0013736C" w:rsidRDefault="0013736C" w:rsidP="0013736C">
      <w:pPr>
        <w:pStyle w:val="Heading4"/>
      </w:pPr>
      <w:r>
        <w:t>Sensitive or confidential information</w:t>
      </w:r>
    </w:p>
    <w:p w14:paraId="79B619A0" w14:textId="0C9C398A" w:rsidR="0013736C" w:rsidRDefault="0013736C" w:rsidP="0013736C">
      <w:r>
        <w:t>Submissions will be made available on our website, except for any information that is commercially sensitive or confidential. Submissions should clearly identify which information is sensitive or confidential.</w:t>
      </w:r>
    </w:p>
    <w:sectPr w:rsidR="0013736C" w:rsidSect="000E4F9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FA2B" w14:textId="77777777" w:rsidR="00444F92" w:rsidRDefault="00444F92" w:rsidP="00AE03FA">
      <w:pPr>
        <w:spacing w:after="0"/>
      </w:pPr>
      <w:r>
        <w:separator/>
      </w:r>
    </w:p>
    <w:p w14:paraId="423906D5" w14:textId="77777777" w:rsidR="00444F92" w:rsidRDefault="00444F92"/>
  </w:endnote>
  <w:endnote w:type="continuationSeparator" w:id="0">
    <w:p w14:paraId="3165E18B" w14:textId="77777777" w:rsidR="00444F92" w:rsidRDefault="00444F92" w:rsidP="00AE03FA">
      <w:pPr>
        <w:spacing w:after="0"/>
      </w:pPr>
      <w:r>
        <w:continuationSeparator/>
      </w:r>
    </w:p>
    <w:p w14:paraId="2C8A61AC" w14:textId="77777777" w:rsidR="00444F92" w:rsidRDefault="00444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D916" w14:textId="77777777" w:rsidR="00D10170" w:rsidRDefault="00D10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E129D" w14:paraId="55788325"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E672161" w14:textId="77777777" w:rsidR="00DE129D" w:rsidRPr="009E15D6" w:rsidRDefault="00DE129D"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2</w:t>
          </w:r>
          <w:r w:rsidRPr="009E15D6">
            <w:rPr>
              <w:rStyle w:val="PageNumber"/>
            </w:rPr>
            <w:fldChar w:fldCharType="end"/>
          </w:r>
        </w:p>
      </w:tc>
    </w:tr>
  </w:tbl>
  <w:p w14:paraId="0B4BF47E" w14:textId="559E1206" w:rsidR="00F06B55" w:rsidRPr="00DE129D" w:rsidRDefault="00DE129D" w:rsidP="008E5CAD">
    <w:pPr>
      <w:pStyle w:val="Footer"/>
      <w:ind w:right="707"/>
      <w:rPr>
        <w:b/>
      </w:rPr>
    </w:pPr>
    <w:r>
      <w:t xml:space="preserve">Essential Services Commission </w:t>
    </w:r>
    <w:r w:rsidR="00A6459D">
      <w:rPr>
        <w:b/>
      </w:rPr>
      <w:t xml:space="preserve">2024–25 </w:t>
    </w:r>
    <w:r w:rsidR="003A46E4">
      <w:rPr>
        <w:b/>
      </w:rPr>
      <w:t>Victorian Default Offer</w:t>
    </w:r>
    <w:r w:rsidR="000C6B67">
      <w:rPr>
        <w:b/>
      </w:rPr>
      <w:t xml:space="preserve">: </w:t>
    </w:r>
    <w:r w:rsidR="003A46E4">
      <w:rPr>
        <w:b/>
      </w:rPr>
      <w:t xml:space="preserve">Request for </w:t>
    </w:r>
    <w:r w:rsidR="000C6B67">
      <w:rPr>
        <w:b/>
      </w:rPr>
      <w:t>C</w:t>
    </w:r>
    <w:r w:rsidR="003A46E4">
      <w:rPr>
        <w:b/>
      </w:rPr>
      <w:t>omment</w:t>
    </w:r>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B7573" w14:paraId="65A49F48" w14:textId="77777777" w:rsidTr="00A76C8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99EFA" w14:textId="77777777" w:rsidR="006B7573" w:rsidRPr="009E15D6" w:rsidRDefault="006B7573" w:rsidP="00A76C8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1</w:t>
          </w:r>
          <w:r w:rsidRPr="009E15D6">
            <w:rPr>
              <w:rStyle w:val="PageNumber"/>
            </w:rPr>
            <w:fldChar w:fldCharType="end"/>
          </w:r>
        </w:p>
      </w:tc>
    </w:tr>
  </w:tbl>
  <w:p w14:paraId="777F6B6A" w14:textId="06846690" w:rsidR="000E4F95" w:rsidRPr="006B7573" w:rsidRDefault="006B7573" w:rsidP="008E5CAD">
    <w:pPr>
      <w:pStyle w:val="Footer"/>
      <w:ind w:right="707"/>
      <w:rPr>
        <w:b/>
      </w:rPr>
    </w:pPr>
    <w:r>
      <w:t xml:space="preserve">Essential Services Commission </w:t>
    </w:r>
    <w:r w:rsidR="00A6459D">
      <w:rPr>
        <w:b/>
      </w:rPr>
      <w:t>2024–25 Victorian Default Offer: Request for Comment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3F49" w14:textId="77777777" w:rsidR="00444F92" w:rsidRPr="00CF33F6" w:rsidRDefault="00444F92" w:rsidP="00AE03FA">
      <w:pPr>
        <w:spacing w:after="0"/>
        <w:rPr>
          <w:color w:val="75787B" w:themeColor="background2"/>
        </w:rPr>
      </w:pPr>
      <w:bookmarkStart w:id="0" w:name="_Hlk480978878"/>
      <w:bookmarkEnd w:id="0"/>
      <w:r w:rsidRPr="00CF33F6">
        <w:rPr>
          <w:color w:val="75787B" w:themeColor="background2"/>
        </w:rPr>
        <w:separator/>
      </w:r>
    </w:p>
    <w:p w14:paraId="6752B560" w14:textId="77777777" w:rsidR="00444F92" w:rsidRDefault="00444F92" w:rsidP="00CF33F6">
      <w:pPr>
        <w:pStyle w:val="NoSpacing"/>
      </w:pPr>
    </w:p>
  </w:footnote>
  <w:footnote w:type="continuationSeparator" w:id="0">
    <w:p w14:paraId="3ACDD869" w14:textId="77777777" w:rsidR="00444F92" w:rsidRDefault="00444F92" w:rsidP="00AE03FA">
      <w:pPr>
        <w:spacing w:after="0"/>
      </w:pPr>
      <w:r>
        <w:continuationSeparator/>
      </w:r>
    </w:p>
    <w:p w14:paraId="05F40419" w14:textId="77777777" w:rsidR="00444F92" w:rsidRDefault="00444F92"/>
  </w:footnote>
  <w:footnote w:id="1">
    <w:p w14:paraId="5E13564D" w14:textId="77777777" w:rsidR="00D732EE" w:rsidRPr="00540A08" w:rsidRDefault="00D732EE" w:rsidP="00D732EE">
      <w:pPr>
        <w:pStyle w:val="FootnoteText"/>
        <w:rPr>
          <w:lang w:val="en-US"/>
        </w:rPr>
      </w:pPr>
      <w:r>
        <w:rPr>
          <w:rStyle w:val="FootnoteReference"/>
        </w:rPr>
        <w:footnoteRef/>
      </w:r>
      <w:r>
        <w:t xml:space="preserve"> </w:t>
      </w:r>
      <w:r>
        <w:rPr>
          <w:szCs w:val="18"/>
        </w:rPr>
        <w:t xml:space="preserve">The </w:t>
      </w:r>
      <w:r w:rsidRPr="009C7164">
        <w:rPr>
          <w:szCs w:val="18"/>
        </w:rPr>
        <w:t xml:space="preserve">Order in Council made under section 13 of the </w:t>
      </w:r>
      <w:r w:rsidRPr="00E177D5">
        <w:rPr>
          <w:szCs w:val="18"/>
        </w:rPr>
        <w:t>Electricity Industry Act 2000</w:t>
      </w:r>
      <w:r w:rsidRPr="009C7164">
        <w:rPr>
          <w:szCs w:val="18"/>
        </w:rPr>
        <w:t xml:space="preserve"> </w:t>
      </w:r>
      <w:r>
        <w:rPr>
          <w:szCs w:val="18"/>
        </w:rPr>
        <w:t xml:space="preserve">was </w:t>
      </w:r>
      <w:r w:rsidRPr="009C7164">
        <w:rPr>
          <w:szCs w:val="18"/>
        </w:rPr>
        <w:t xml:space="preserve">published in the </w:t>
      </w:r>
      <w:r w:rsidRPr="00E177D5">
        <w:rPr>
          <w:szCs w:val="18"/>
        </w:rPr>
        <w:t>Victorian Government Gazette</w:t>
      </w:r>
      <w:r w:rsidRPr="009C7164">
        <w:rPr>
          <w:szCs w:val="18"/>
        </w:rPr>
        <w:t xml:space="preserve"> No. S 208 on Thursday 30 May 2019.</w:t>
      </w:r>
    </w:p>
  </w:footnote>
  <w:footnote w:id="2">
    <w:p w14:paraId="092097C8" w14:textId="7804BA0A" w:rsidR="00D732EE" w:rsidRPr="00946888" w:rsidRDefault="00D732EE" w:rsidP="00D732EE">
      <w:pPr>
        <w:pStyle w:val="FootnoteText"/>
        <w:rPr>
          <w:lang w:val="en-US"/>
        </w:rPr>
      </w:pPr>
      <w:r>
        <w:rPr>
          <w:rStyle w:val="FootnoteReference"/>
        </w:rPr>
        <w:footnoteRef/>
      </w:r>
      <w:r>
        <w:t xml:space="preserve"> </w:t>
      </w:r>
      <w:r w:rsidR="001C61AC">
        <w:rPr>
          <w:lang w:val="en-US"/>
        </w:rPr>
        <w:t xml:space="preserve">Essential Services Commission, Energy Market Dashboard, available at: </w:t>
      </w:r>
      <w:hyperlink r:id="rId1" w:history="1">
        <w:r w:rsidR="001C61AC" w:rsidRPr="00D027A3">
          <w:rPr>
            <w:rStyle w:val="Hyperlink"/>
            <w:lang w:val="en-US"/>
          </w:rPr>
          <w:t>https://www.esc.vic.gov.au/electricity-and-gas/market-performance-and-reporting/victorian-energy-market-report/energy-market-dashboard</w:t>
        </w:r>
      </w:hyperlink>
      <w:r w:rsidR="001C61AC">
        <w:rPr>
          <w:lang w:val="en-US"/>
        </w:rPr>
        <w:t xml:space="preserve"> .</w:t>
      </w:r>
    </w:p>
  </w:footnote>
  <w:footnote w:id="3">
    <w:p w14:paraId="426B90A6" w14:textId="77777777" w:rsidR="00D732EE" w:rsidRPr="002C47DA" w:rsidRDefault="00D732EE" w:rsidP="00D732EE">
      <w:pPr>
        <w:spacing w:after="0" w:line="240" w:lineRule="auto"/>
        <w:rPr>
          <w:sz w:val="18"/>
          <w:szCs w:val="18"/>
        </w:rPr>
      </w:pPr>
      <w:r w:rsidRPr="009C7164">
        <w:rPr>
          <w:rStyle w:val="FootnoteReference"/>
          <w:sz w:val="18"/>
          <w:szCs w:val="18"/>
        </w:rPr>
        <w:footnoteRef/>
      </w:r>
      <w:r w:rsidRPr="002C47DA">
        <w:rPr>
          <w:sz w:val="18"/>
          <w:szCs w:val="18"/>
        </w:rPr>
        <w:t xml:space="preserve"> Embedded networks supply electricity for many domestic and small business customers in apartment buildings, caravan parks or office blocks.</w:t>
      </w:r>
    </w:p>
  </w:footnote>
  <w:footnote w:id="4">
    <w:p w14:paraId="3399049A" w14:textId="77777777" w:rsidR="00D732EE" w:rsidRPr="007C6023" w:rsidRDefault="00D732EE" w:rsidP="00D732EE">
      <w:pPr>
        <w:pStyle w:val="FootnoteText"/>
        <w:rPr>
          <w:lang w:val="en-US"/>
        </w:rPr>
      </w:pPr>
      <w:r>
        <w:rPr>
          <w:rStyle w:val="FootnoteReference"/>
        </w:rPr>
        <w:footnoteRef/>
      </w:r>
      <w:r>
        <w:t xml:space="preserve"> </w:t>
      </w:r>
      <w:r>
        <w:rPr>
          <w:lang w:val="en-US"/>
        </w:rPr>
        <w:t>Clause 10(1) of the pricing order.</w:t>
      </w:r>
    </w:p>
  </w:footnote>
  <w:footnote w:id="5">
    <w:p w14:paraId="65828A04" w14:textId="35487AA7" w:rsidR="003B10E7" w:rsidRDefault="003B10E7">
      <w:pPr>
        <w:pStyle w:val="FootnoteText"/>
      </w:pPr>
      <w:r>
        <w:rPr>
          <w:rStyle w:val="FootnoteReference"/>
        </w:rPr>
        <w:footnoteRef/>
      </w:r>
      <w:r>
        <w:t xml:space="preserve"> </w:t>
      </w:r>
      <w:r w:rsidR="00D313CF">
        <w:t>T</w:t>
      </w:r>
      <w:r w:rsidR="00AC4973">
        <w:t xml:space="preserve">o promote the </w:t>
      </w:r>
      <w:proofErr w:type="gramStart"/>
      <w:r w:rsidR="00AC4973">
        <w:t>long</w:t>
      </w:r>
      <w:r w:rsidR="008E36A5">
        <w:t xml:space="preserve"> </w:t>
      </w:r>
      <w:r w:rsidR="00AC4973">
        <w:t>term</w:t>
      </w:r>
      <w:proofErr w:type="gramEnd"/>
      <w:r w:rsidR="00AC4973">
        <w:t xml:space="preserve"> interests of Victorian consumers </w:t>
      </w:r>
      <w:r w:rsidR="00101893">
        <w:t xml:space="preserve">having regard to the price, quality and reliability </w:t>
      </w:r>
      <w:r w:rsidR="009E05B7">
        <w:t xml:space="preserve">of </w:t>
      </w:r>
      <w:r w:rsidR="00F91A35">
        <w:t>retail electricity services</w:t>
      </w:r>
      <w:r w:rsidR="00020D3F">
        <w:t>.</w:t>
      </w:r>
      <w:r w:rsidR="007325D5">
        <w:t xml:space="preserve"> </w:t>
      </w:r>
      <w:r w:rsidR="00D313CF">
        <w:t>See</w:t>
      </w:r>
      <w:r w:rsidR="00341227">
        <w:t xml:space="preserve"> the</w:t>
      </w:r>
      <w:r w:rsidR="00D313CF">
        <w:t xml:space="preserve"> Essential Services Commission Act 2001, s8.</w:t>
      </w:r>
    </w:p>
  </w:footnote>
  <w:footnote w:id="6">
    <w:p w14:paraId="5C9E42EF" w14:textId="659ED04B" w:rsidR="00C96386" w:rsidRDefault="00C96386">
      <w:pPr>
        <w:pStyle w:val="FootnoteText"/>
      </w:pPr>
      <w:r>
        <w:rPr>
          <w:rStyle w:val="FootnoteReference"/>
        </w:rPr>
        <w:footnoteRef/>
      </w:r>
      <w:r>
        <w:t xml:space="preserve"> </w:t>
      </w:r>
      <w:r w:rsidR="007E1C5C">
        <w:t>B</w:t>
      </w:r>
      <w:r w:rsidR="00BB2163">
        <w:t>eing to</w:t>
      </w:r>
      <w:r w:rsidR="00C16E47">
        <w:t xml:space="preserve"> facilitate</w:t>
      </w:r>
      <w:r w:rsidR="009E4A97">
        <w:t xml:space="preserve"> the development of </w:t>
      </w:r>
      <w:r w:rsidR="00C16E47">
        <w:t>full retail co</w:t>
      </w:r>
      <w:r w:rsidR="009E4A97">
        <w:t>mpetition</w:t>
      </w:r>
      <w:r w:rsidR="008E36A5">
        <w:t>,</w:t>
      </w:r>
      <w:r w:rsidR="008C02AC">
        <w:t xml:space="preserve"> and to promote protections for customers</w:t>
      </w:r>
      <w:r w:rsidR="00BB2163">
        <w:t xml:space="preserve"> </w:t>
      </w:r>
      <w:r w:rsidR="008C02AC">
        <w:t>including in relation to assisting customers who face payment difficulties.</w:t>
      </w:r>
      <w:r w:rsidR="00BB2163" w:rsidRPr="00BB2163">
        <w:t xml:space="preserve"> </w:t>
      </w:r>
      <w:r w:rsidR="00341227">
        <w:t>See the</w:t>
      </w:r>
      <w:r w:rsidR="00BB2163">
        <w:t xml:space="preserve"> Electricity Industry Act 2000, s10.  </w:t>
      </w:r>
    </w:p>
  </w:footnote>
  <w:footnote w:id="7">
    <w:p w14:paraId="7179554E" w14:textId="6A143D75" w:rsidR="00D52960" w:rsidRDefault="00D52960">
      <w:pPr>
        <w:pStyle w:val="FootnoteText"/>
      </w:pPr>
      <w:r>
        <w:rPr>
          <w:rStyle w:val="FootnoteReference"/>
        </w:rPr>
        <w:footnoteRef/>
      </w:r>
      <w:r>
        <w:t xml:space="preserve"> </w:t>
      </w:r>
      <w:r w:rsidR="00CB61E5">
        <w:t>To provide a simple trusted and reasonably priced electricity option that safeguards consumers unable or unwilling to engage in the electricity retail market.</w:t>
      </w:r>
      <w:r w:rsidR="00341227">
        <w:t xml:space="preserve"> </w:t>
      </w:r>
      <w:r w:rsidR="00CB61E5">
        <w:t>See</w:t>
      </w:r>
      <w:r w:rsidR="00341227">
        <w:t xml:space="preserve"> clause 3 of the pricing order.</w:t>
      </w:r>
    </w:p>
  </w:footnote>
  <w:footnote w:id="8">
    <w:p w14:paraId="57F8A869" w14:textId="5B84D225" w:rsidR="00112BB7" w:rsidRDefault="00112BB7" w:rsidP="00112BB7">
      <w:pPr>
        <w:pStyle w:val="FootnoteText"/>
      </w:pPr>
      <w:r>
        <w:rPr>
          <w:rStyle w:val="FootnoteReference"/>
        </w:rPr>
        <w:footnoteRef/>
      </w:r>
      <w:r>
        <w:t xml:space="preserve"> Essential Services Commission, Victorian Default Offer 2023–24: Final Decision Paper, p. </w:t>
      </w:r>
      <w:r w:rsidR="001C61AC">
        <w:t>56</w:t>
      </w:r>
      <w:r>
        <w:t>, 25 May 2023.</w:t>
      </w:r>
    </w:p>
  </w:footnote>
  <w:footnote w:id="9">
    <w:p w14:paraId="37537CA1" w14:textId="527D4B86" w:rsidR="00E90213" w:rsidRDefault="00E90213" w:rsidP="00E90213">
      <w:pPr>
        <w:pStyle w:val="FootnoteText"/>
      </w:pPr>
      <w:r>
        <w:rPr>
          <w:rStyle w:val="FootnoteReference"/>
        </w:rPr>
        <w:footnoteRef/>
      </w:r>
      <w:r>
        <w:t xml:space="preserve"> Essential Services Commission, Victorian Default Offer 2023–24: Final Decision Paper, pp. 11-55, 25 May 2023.</w:t>
      </w:r>
    </w:p>
  </w:footnote>
  <w:footnote w:id="10">
    <w:p w14:paraId="301FABE2" w14:textId="36C09C62" w:rsidR="00ED3322" w:rsidRDefault="00ED3322" w:rsidP="00ED3322">
      <w:pPr>
        <w:pStyle w:val="FootnoteText"/>
      </w:pPr>
      <w:r>
        <w:rPr>
          <w:rStyle w:val="FootnoteReference"/>
        </w:rPr>
        <w:footnoteRef/>
      </w:r>
      <w:r>
        <w:t xml:space="preserve"> Essential Services Commission, Victorian Default Offer 2023–24: Final Decision Paper, p. 49, 25 May 2023.</w:t>
      </w:r>
    </w:p>
  </w:footnote>
  <w:footnote w:id="11">
    <w:p w14:paraId="184DB3B7" w14:textId="1968CA63" w:rsidR="0013137B" w:rsidRDefault="0013137B">
      <w:pPr>
        <w:pStyle w:val="FootnoteText"/>
      </w:pPr>
      <w:r>
        <w:rPr>
          <w:rStyle w:val="FootnoteReference"/>
        </w:rPr>
        <w:footnoteRef/>
      </w:r>
      <w:r>
        <w:t xml:space="preserve"> Essential Services Commission, Victorian Default Offer 2023–24: Final Decision Paper, p</w:t>
      </w:r>
      <w:r w:rsidR="00ED3322">
        <w:t>p</w:t>
      </w:r>
      <w:r>
        <w:t xml:space="preserve">. </w:t>
      </w:r>
      <w:r w:rsidR="00ED3322">
        <w:t xml:space="preserve">13 – 14, </w:t>
      </w:r>
      <w:r>
        <w:t>25 May 2023.</w:t>
      </w:r>
    </w:p>
  </w:footnote>
  <w:footnote w:id="12">
    <w:p w14:paraId="4AAD726F" w14:textId="5BB17538" w:rsidR="00702D44" w:rsidRDefault="00702D44">
      <w:pPr>
        <w:pStyle w:val="FootnoteText"/>
      </w:pPr>
      <w:r>
        <w:rPr>
          <w:rStyle w:val="FootnoteReference"/>
        </w:rPr>
        <w:footnoteRef/>
      </w:r>
      <w:r>
        <w:t xml:space="preserve"> </w:t>
      </w:r>
      <w:r w:rsidR="00FE58DF" w:rsidRPr="00B629FC">
        <w:rPr>
          <w:lang w:val="en-US"/>
        </w:rPr>
        <w:t>Frontier</w:t>
      </w:r>
      <w:r w:rsidR="00FE58DF">
        <w:rPr>
          <w:lang w:val="en-US"/>
        </w:rPr>
        <w:t xml:space="preserve"> Economics</w:t>
      </w:r>
      <w:r w:rsidR="00FE58DF" w:rsidRPr="00B629FC">
        <w:rPr>
          <w:lang w:val="en-US"/>
        </w:rPr>
        <w:t>, Wholesale electricity costs for 202</w:t>
      </w:r>
      <w:r w:rsidR="00FE58DF">
        <w:rPr>
          <w:lang w:val="en-US"/>
        </w:rPr>
        <w:t>3</w:t>
      </w:r>
      <w:r w:rsidR="00FE58DF" w:rsidRPr="00DD0017">
        <w:rPr>
          <w:lang w:val="en-US"/>
        </w:rPr>
        <w:t>–</w:t>
      </w:r>
      <w:r w:rsidR="00FE58DF" w:rsidRPr="00B629FC">
        <w:rPr>
          <w:lang w:val="en-US"/>
        </w:rPr>
        <w:t>2</w:t>
      </w:r>
      <w:r w:rsidR="00FE58DF">
        <w:rPr>
          <w:lang w:val="en-US"/>
        </w:rPr>
        <w:t>4</w:t>
      </w:r>
      <w:r w:rsidR="00FE58DF" w:rsidRPr="00B629FC">
        <w:rPr>
          <w:lang w:val="en-US"/>
        </w:rPr>
        <w:t xml:space="preserve">: A </w:t>
      </w:r>
      <w:r w:rsidR="00FE58DF" w:rsidRPr="007E5097">
        <w:rPr>
          <w:lang w:val="en-US"/>
        </w:rPr>
        <w:t>final</w:t>
      </w:r>
      <w:r w:rsidR="00FE58DF" w:rsidRPr="0053536F">
        <w:rPr>
          <w:lang w:val="en-US"/>
        </w:rPr>
        <w:t xml:space="preserve"> </w:t>
      </w:r>
      <w:r w:rsidR="00FE58DF" w:rsidRPr="00B629FC">
        <w:rPr>
          <w:lang w:val="en-US"/>
        </w:rPr>
        <w:t xml:space="preserve">report for the Essential Services Commission, </w:t>
      </w:r>
      <w:r w:rsidR="00FE58DF">
        <w:rPr>
          <w:lang w:val="en-US"/>
        </w:rPr>
        <w:t>May</w:t>
      </w:r>
      <w:r w:rsidR="00FE58DF" w:rsidRPr="0053536F">
        <w:rPr>
          <w:lang w:val="en-US"/>
        </w:rPr>
        <w:t xml:space="preserve"> </w:t>
      </w:r>
      <w:r w:rsidR="00FE58DF" w:rsidRPr="00B629FC">
        <w:rPr>
          <w:lang w:val="en-US"/>
        </w:rPr>
        <w:t>202</w:t>
      </w:r>
      <w:r w:rsidR="00FE58DF">
        <w:rPr>
          <w:lang w:val="en-US"/>
        </w:rPr>
        <w:t>3</w:t>
      </w:r>
      <w:r w:rsidR="00FE58DF" w:rsidRPr="0065695F">
        <w:rPr>
          <w:lang w:val="en-US"/>
        </w:rPr>
        <w:t>.</w:t>
      </w:r>
    </w:p>
  </w:footnote>
  <w:footnote w:id="13">
    <w:p w14:paraId="300F4D47" w14:textId="3DBE6F62" w:rsidR="00F746CF" w:rsidRDefault="00F746CF" w:rsidP="00F746CF">
      <w:pPr>
        <w:pStyle w:val="FootnoteText"/>
      </w:pPr>
      <w:r>
        <w:rPr>
          <w:rStyle w:val="FootnoteReference"/>
        </w:rPr>
        <w:footnoteRef/>
      </w:r>
      <w:r>
        <w:t xml:space="preserve"> Clause 12(4)(e).</w:t>
      </w:r>
    </w:p>
  </w:footnote>
  <w:footnote w:id="14">
    <w:p w14:paraId="56146EB0" w14:textId="691966F5" w:rsidR="00F746CF" w:rsidRDefault="00F746CF" w:rsidP="00F746CF">
      <w:pPr>
        <w:pStyle w:val="FootnoteText"/>
      </w:pPr>
      <w:r>
        <w:rPr>
          <w:rStyle w:val="FootnoteReference"/>
        </w:rPr>
        <w:footnoteRef/>
      </w:r>
      <w:r>
        <w:t xml:space="preserve"> Clause 12(10) of the pricing order.</w:t>
      </w:r>
    </w:p>
  </w:footnote>
  <w:footnote w:id="15">
    <w:p w14:paraId="0E368D5E" w14:textId="40A31F3B" w:rsidR="00A65C2D" w:rsidRDefault="00A65C2D" w:rsidP="00A65C2D">
      <w:pPr>
        <w:pStyle w:val="FootnoteText"/>
      </w:pPr>
      <w:r>
        <w:rPr>
          <w:rStyle w:val="FootnoteReference"/>
        </w:rPr>
        <w:footnoteRef/>
      </w:r>
      <w:r>
        <w:t xml:space="preserve"> Essential Services Commission, Victorian Default Offer 2023–24: Final Decision Paper, p. 48, 25 May 2023.</w:t>
      </w:r>
    </w:p>
  </w:footnote>
  <w:footnote w:id="16">
    <w:p w14:paraId="53D65544" w14:textId="6DCA55A2" w:rsidR="00E90213" w:rsidRDefault="00E90213">
      <w:pPr>
        <w:pStyle w:val="FootnoteText"/>
      </w:pPr>
      <w:r>
        <w:rPr>
          <w:rStyle w:val="FootnoteReference"/>
        </w:rPr>
        <w:footnoteRef/>
      </w:r>
      <w:r>
        <w:t xml:space="preserve"> Essential Services Commission, Victorian Default Offer to apply from 1 July 2019: Advice to Victorian Government, p. 77, 3 May 2019.</w:t>
      </w:r>
    </w:p>
  </w:footnote>
  <w:footnote w:id="17">
    <w:p w14:paraId="28C3500A" w14:textId="1FBCD216" w:rsidR="00AC71B2" w:rsidRDefault="00AC71B2">
      <w:pPr>
        <w:pStyle w:val="FootnoteText"/>
      </w:pPr>
      <w:r>
        <w:rPr>
          <w:rStyle w:val="FootnoteReference"/>
        </w:rPr>
        <w:footnoteRef/>
      </w:r>
      <w:r>
        <w:t xml:space="preserve"> </w:t>
      </w:r>
      <w:r w:rsidR="002F5DF8">
        <w:t>Review of the Victorian Default Offer Order in Council – Final Report</w:t>
      </w:r>
      <w:r w:rsidR="004B1FF8">
        <w:t>, October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0B1D" w14:textId="77777777" w:rsidR="00D10170" w:rsidRDefault="00D10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1C5A" w14:textId="2F45FC2E"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C4C7" w14:textId="66AE027D" w:rsidR="000E4F95" w:rsidRDefault="000E4F95">
    <w:pPr>
      <w:pStyle w:val="Header"/>
    </w:pPr>
    <w:r>
      <w:rPr>
        <w:noProof/>
        <w:lang w:eastAsia="en-AU"/>
      </w:rPr>
      <w:drawing>
        <wp:anchor distT="0" distB="180340" distL="114300" distR="114300" simplePos="0" relativeHeight="251659264" behindDoc="0" locked="0" layoutInCell="1" allowOverlap="1" wp14:anchorId="4EE7D27D" wp14:editId="3CA272C4">
          <wp:simplePos x="0" y="0"/>
          <wp:positionH relativeFrom="column">
            <wp:posOffset>8890</wp:posOffset>
          </wp:positionH>
          <wp:positionV relativeFrom="paragraph">
            <wp:posOffset>276860</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E5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204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E7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6A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B9C7094"/>
    <w:multiLevelType w:val="hybridMultilevel"/>
    <w:tmpl w:val="4E6A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021846">
    <w:abstractNumId w:val="9"/>
  </w:num>
  <w:num w:numId="2" w16cid:durableId="570775768">
    <w:abstractNumId w:val="7"/>
  </w:num>
  <w:num w:numId="3" w16cid:durableId="992568886">
    <w:abstractNumId w:val="6"/>
  </w:num>
  <w:num w:numId="4" w16cid:durableId="1836727432">
    <w:abstractNumId w:val="5"/>
  </w:num>
  <w:num w:numId="5" w16cid:durableId="595286853">
    <w:abstractNumId w:val="4"/>
  </w:num>
  <w:num w:numId="6" w16cid:durableId="1961496164">
    <w:abstractNumId w:val="8"/>
  </w:num>
  <w:num w:numId="7" w16cid:durableId="1261252494">
    <w:abstractNumId w:val="3"/>
  </w:num>
  <w:num w:numId="8" w16cid:durableId="1250040568">
    <w:abstractNumId w:val="2"/>
  </w:num>
  <w:num w:numId="9" w16cid:durableId="813910626">
    <w:abstractNumId w:val="1"/>
  </w:num>
  <w:num w:numId="10" w16cid:durableId="388723752">
    <w:abstractNumId w:val="22"/>
  </w:num>
  <w:num w:numId="11" w16cid:durableId="406609160">
    <w:abstractNumId w:val="17"/>
  </w:num>
  <w:num w:numId="12" w16cid:durableId="1186478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750093">
    <w:abstractNumId w:val="0"/>
  </w:num>
  <w:num w:numId="14" w16cid:durableId="1996492004">
    <w:abstractNumId w:val="17"/>
  </w:num>
  <w:num w:numId="15" w16cid:durableId="173541814">
    <w:abstractNumId w:val="18"/>
  </w:num>
  <w:num w:numId="16" w16cid:durableId="1832714891">
    <w:abstractNumId w:val="11"/>
  </w:num>
  <w:num w:numId="17" w16cid:durableId="141435587">
    <w:abstractNumId w:val="23"/>
  </w:num>
  <w:num w:numId="18" w16cid:durableId="454254816">
    <w:abstractNumId w:val="23"/>
  </w:num>
  <w:num w:numId="19" w16cid:durableId="1335181189">
    <w:abstractNumId w:val="19"/>
  </w:num>
  <w:num w:numId="20" w16cid:durableId="159002358">
    <w:abstractNumId w:val="13"/>
  </w:num>
  <w:num w:numId="21" w16cid:durableId="70741885">
    <w:abstractNumId w:val="25"/>
  </w:num>
  <w:num w:numId="22" w16cid:durableId="305404126">
    <w:abstractNumId w:val="27"/>
  </w:num>
  <w:num w:numId="23" w16cid:durableId="1927759707">
    <w:abstractNumId w:val="12"/>
  </w:num>
  <w:num w:numId="24" w16cid:durableId="782191927">
    <w:abstractNumId w:val="30"/>
  </w:num>
  <w:num w:numId="25" w16cid:durableId="800416629">
    <w:abstractNumId w:val="26"/>
  </w:num>
  <w:num w:numId="26" w16cid:durableId="831222159">
    <w:abstractNumId w:val="28"/>
  </w:num>
  <w:num w:numId="27" w16cid:durableId="1945573502">
    <w:abstractNumId w:val="16"/>
  </w:num>
  <w:num w:numId="28" w16cid:durableId="1416129120">
    <w:abstractNumId w:val="21"/>
  </w:num>
  <w:num w:numId="29" w16cid:durableId="162009473">
    <w:abstractNumId w:val="20"/>
  </w:num>
  <w:num w:numId="30" w16cid:durableId="801770326">
    <w:abstractNumId w:val="14"/>
  </w:num>
  <w:num w:numId="31" w16cid:durableId="950627612">
    <w:abstractNumId w:val="24"/>
  </w:num>
  <w:num w:numId="32" w16cid:durableId="317269041">
    <w:abstractNumId w:val="10"/>
  </w:num>
  <w:num w:numId="33" w16cid:durableId="944000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2149185">
    <w:abstractNumId w:val="29"/>
  </w:num>
  <w:num w:numId="35" w16cid:durableId="1992057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3B"/>
    <w:rsid w:val="000046BD"/>
    <w:rsid w:val="00005A5E"/>
    <w:rsid w:val="00010042"/>
    <w:rsid w:val="00015588"/>
    <w:rsid w:val="0001595D"/>
    <w:rsid w:val="00015FB2"/>
    <w:rsid w:val="00016040"/>
    <w:rsid w:val="000171A2"/>
    <w:rsid w:val="00020D3F"/>
    <w:rsid w:val="00031AF7"/>
    <w:rsid w:val="00032320"/>
    <w:rsid w:val="000337A0"/>
    <w:rsid w:val="00034CC7"/>
    <w:rsid w:val="00035CCB"/>
    <w:rsid w:val="00041B80"/>
    <w:rsid w:val="00043109"/>
    <w:rsid w:val="00044B5C"/>
    <w:rsid w:val="000518F3"/>
    <w:rsid w:val="000566E0"/>
    <w:rsid w:val="00056AE8"/>
    <w:rsid w:val="00062AE4"/>
    <w:rsid w:val="00067DD9"/>
    <w:rsid w:val="00070380"/>
    <w:rsid w:val="00074CDF"/>
    <w:rsid w:val="00081BA2"/>
    <w:rsid w:val="00087FB4"/>
    <w:rsid w:val="00094790"/>
    <w:rsid w:val="000A1292"/>
    <w:rsid w:val="000A759D"/>
    <w:rsid w:val="000A7FD9"/>
    <w:rsid w:val="000B431A"/>
    <w:rsid w:val="000B7C12"/>
    <w:rsid w:val="000C28E9"/>
    <w:rsid w:val="000C6B67"/>
    <w:rsid w:val="000C70F3"/>
    <w:rsid w:val="000D297B"/>
    <w:rsid w:val="000D4547"/>
    <w:rsid w:val="000E4F95"/>
    <w:rsid w:val="000E75EF"/>
    <w:rsid w:val="000E76BA"/>
    <w:rsid w:val="000F3B59"/>
    <w:rsid w:val="000F51DF"/>
    <w:rsid w:val="00101893"/>
    <w:rsid w:val="00102044"/>
    <w:rsid w:val="00105220"/>
    <w:rsid w:val="0010561A"/>
    <w:rsid w:val="00106608"/>
    <w:rsid w:val="00112BB7"/>
    <w:rsid w:val="00123A15"/>
    <w:rsid w:val="001272CD"/>
    <w:rsid w:val="0013137B"/>
    <w:rsid w:val="001350A3"/>
    <w:rsid w:val="00135F4B"/>
    <w:rsid w:val="0013736C"/>
    <w:rsid w:val="001417E5"/>
    <w:rsid w:val="00147626"/>
    <w:rsid w:val="00150808"/>
    <w:rsid w:val="00153081"/>
    <w:rsid w:val="00160F48"/>
    <w:rsid w:val="00162F57"/>
    <w:rsid w:val="00164475"/>
    <w:rsid w:val="00176EF1"/>
    <w:rsid w:val="00184CEF"/>
    <w:rsid w:val="00185285"/>
    <w:rsid w:val="0018628E"/>
    <w:rsid w:val="001869B0"/>
    <w:rsid w:val="00187ACF"/>
    <w:rsid w:val="00191920"/>
    <w:rsid w:val="001A02AA"/>
    <w:rsid w:val="001A2E14"/>
    <w:rsid w:val="001A4ACF"/>
    <w:rsid w:val="001B2393"/>
    <w:rsid w:val="001B4048"/>
    <w:rsid w:val="001B6229"/>
    <w:rsid w:val="001C61AC"/>
    <w:rsid w:val="001C750A"/>
    <w:rsid w:val="001D07CD"/>
    <w:rsid w:val="001D5594"/>
    <w:rsid w:val="001D6839"/>
    <w:rsid w:val="001D777A"/>
    <w:rsid w:val="001E3CE3"/>
    <w:rsid w:val="001E6B24"/>
    <w:rsid w:val="001F3997"/>
    <w:rsid w:val="001F5A35"/>
    <w:rsid w:val="001F62F3"/>
    <w:rsid w:val="001F64A3"/>
    <w:rsid w:val="00204C88"/>
    <w:rsid w:val="002056BA"/>
    <w:rsid w:val="00206B79"/>
    <w:rsid w:val="0021138F"/>
    <w:rsid w:val="00220E3F"/>
    <w:rsid w:val="00222629"/>
    <w:rsid w:val="0022263D"/>
    <w:rsid w:val="002251BF"/>
    <w:rsid w:val="0022708E"/>
    <w:rsid w:val="00230FE9"/>
    <w:rsid w:val="00232581"/>
    <w:rsid w:val="00251145"/>
    <w:rsid w:val="0025573F"/>
    <w:rsid w:val="00264BDE"/>
    <w:rsid w:val="002750C4"/>
    <w:rsid w:val="0027532A"/>
    <w:rsid w:val="00282710"/>
    <w:rsid w:val="00290EBE"/>
    <w:rsid w:val="00292177"/>
    <w:rsid w:val="00293391"/>
    <w:rsid w:val="002966CE"/>
    <w:rsid w:val="002A059D"/>
    <w:rsid w:val="002A3DE1"/>
    <w:rsid w:val="002A3ED7"/>
    <w:rsid w:val="002A77AD"/>
    <w:rsid w:val="002A7F5A"/>
    <w:rsid w:val="002C0A75"/>
    <w:rsid w:val="002C2ADF"/>
    <w:rsid w:val="002C4F94"/>
    <w:rsid w:val="002C676F"/>
    <w:rsid w:val="002D3B02"/>
    <w:rsid w:val="002D682B"/>
    <w:rsid w:val="002E48AC"/>
    <w:rsid w:val="002F5DF8"/>
    <w:rsid w:val="00301872"/>
    <w:rsid w:val="003020D4"/>
    <w:rsid w:val="003037DF"/>
    <w:rsid w:val="00305157"/>
    <w:rsid w:val="00306F31"/>
    <w:rsid w:val="00317C67"/>
    <w:rsid w:val="003302D8"/>
    <w:rsid w:val="0034003D"/>
    <w:rsid w:val="00341227"/>
    <w:rsid w:val="00344D56"/>
    <w:rsid w:val="003526EB"/>
    <w:rsid w:val="00353663"/>
    <w:rsid w:val="00354514"/>
    <w:rsid w:val="00360763"/>
    <w:rsid w:val="00363204"/>
    <w:rsid w:val="00370DA8"/>
    <w:rsid w:val="00371235"/>
    <w:rsid w:val="00375CBF"/>
    <w:rsid w:val="00375EFC"/>
    <w:rsid w:val="003774D8"/>
    <w:rsid w:val="0038013C"/>
    <w:rsid w:val="003828B5"/>
    <w:rsid w:val="003837CC"/>
    <w:rsid w:val="00385F5E"/>
    <w:rsid w:val="00386668"/>
    <w:rsid w:val="003904B9"/>
    <w:rsid w:val="00393C25"/>
    <w:rsid w:val="00394187"/>
    <w:rsid w:val="0039441E"/>
    <w:rsid w:val="00395CFE"/>
    <w:rsid w:val="003A16E1"/>
    <w:rsid w:val="003A2748"/>
    <w:rsid w:val="003A30F3"/>
    <w:rsid w:val="003A3853"/>
    <w:rsid w:val="003A3F60"/>
    <w:rsid w:val="003A46E4"/>
    <w:rsid w:val="003A5DEC"/>
    <w:rsid w:val="003B10B9"/>
    <w:rsid w:val="003B10E7"/>
    <w:rsid w:val="003B2EFC"/>
    <w:rsid w:val="003B5AB1"/>
    <w:rsid w:val="003C39F4"/>
    <w:rsid w:val="003C6D3B"/>
    <w:rsid w:val="003D69B9"/>
    <w:rsid w:val="003D6D5B"/>
    <w:rsid w:val="003E2533"/>
    <w:rsid w:val="003E5E46"/>
    <w:rsid w:val="003F1961"/>
    <w:rsid w:val="003F4D38"/>
    <w:rsid w:val="003F7899"/>
    <w:rsid w:val="00401286"/>
    <w:rsid w:val="00406305"/>
    <w:rsid w:val="004064CD"/>
    <w:rsid w:val="00412069"/>
    <w:rsid w:val="00412D75"/>
    <w:rsid w:val="00414AB9"/>
    <w:rsid w:val="0043066B"/>
    <w:rsid w:val="004309BF"/>
    <w:rsid w:val="00431FCA"/>
    <w:rsid w:val="00436314"/>
    <w:rsid w:val="004368B6"/>
    <w:rsid w:val="0044062D"/>
    <w:rsid w:val="0044366C"/>
    <w:rsid w:val="00444F92"/>
    <w:rsid w:val="00454AE2"/>
    <w:rsid w:val="004558CC"/>
    <w:rsid w:val="00456A3A"/>
    <w:rsid w:val="004609D7"/>
    <w:rsid w:val="004626B0"/>
    <w:rsid w:val="0046312A"/>
    <w:rsid w:val="00463A14"/>
    <w:rsid w:val="004653EE"/>
    <w:rsid w:val="00470E7F"/>
    <w:rsid w:val="004717FC"/>
    <w:rsid w:val="00473DB8"/>
    <w:rsid w:val="00474670"/>
    <w:rsid w:val="00476CEE"/>
    <w:rsid w:val="00481907"/>
    <w:rsid w:val="00484F2D"/>
    <w:rsid w:val="004855CE"/>
    <w:rsid w:val="00486F0F"/>
    <w:rsid w:val="004876B4"/>
    <w:rsid w:val="004912B3"/>
    <w:rsid w:val="00492490"/>
    <w:rsid w:val="00495E2E"/>
    <w:rsid w:val="00496CF9"/>
    <w:rsid w:val="00497D58"/>
    <w:rsid w:val="004A243D"/>
    <w:rsid w:val="004A3CCB"/>
    <w:rsid w:val="004A7181"/>
    <w:rsid w:val="004A7F22"/>
    <w:rsid w:val="004B07D5"/>
    <w:rsid w:val="004B1D6F"/>
    <w:rsid w:val="004B1FA7"/>
    <w:rsid w:val="004B1FF8"/>
    <w:rsid w:val="004B5197"/>
    <w:rsid w:val="004C1628"/>
    <w:rsid w:val="004C6CB3"/>
    <w:rsid w:val="004C74D2"/>
    <w:rsid w:val="004D301F"/>
    <w:rsid w:val="004D3FD8"/>
    <w:rsid w:val="004D6293"/>
    <w:rsid w:val="004E0FF2"/>
    <w:rsid w:val="004E3AC0"/>
    <w:rsid w:val="004E3BB8"/>
    <w:rsid w:val="004F6EB2"/>
    <w:rsid w:val="004F6FF3"/>
    <w:rsid w:val="0050064B"/>
    <w:rsid w:val="005014C6"/>
    <w:rsid w:val="00506603"/>
    <w:rsid w:val="00510B23"/>
    <w:rsid w:val="00510FFE"/>
    <w:rsid w:val="005117E7"/>
    <w:rsid w:val="00515177"/>
    <w:rsid w:val="00516E1A"/>
    <w:rsid w:val="00517C72"/>
    <w:rsid w:val="0052412D"/>
    <w:rsid w:val="00524709"/>
    <w:rsid w:val="005261A4"/>
    <w:rsid w:val="00541F9A"/>
    <w:rsid w:val="00545E3C"/>
    <w:rsid w:val="0054693A"/>
    <w:rsid w:val="005475F4"/>
    <w:rsid w:val="00556FDF"/>
    <w:rsid w:val="00563AD8"/>
    <w:rsid w:val="00564BE8"/>
    <w:rsid w:val="00564F60"/>
    <w:rsid w:val="00565D5D"/>
    <w:rsid w:val="00570E5B"/>
    <w:rsid w:val="0057246B"/>
    <w:rsid w:val="005805AE"/>
    <w:rsid w:val="0058453D"/>
    <w:rsid w:val="00584622"/>
    <w:rsid w:val="005902CB"/>
    <w:rsid w:val="005959AD"/>
    <w:rsid w:val="005A02D4"/>
    <w:rsid w:val="005A1443"/>
    <w:rsid w:val="005A20BE"/>
    <w:rsid w:val="005A3633"/>
    <w:rsid w:val="005B01DF"/>
    <w:rsid w:val="005C1909"/>
    <w:rsid w:val="005C4E04"/>
    <w:rsid w:val="005C6654"/>
    <w:rsid w:val="005C6E04"/>
    <w:rsid w:val="005D1310"/>
    <w:rsid w:val="005D6CB4"/>
    <w:rsid w:val="005E16CD"/>
    <w:rsid w:val="005E2A78"/>
    <w:rsid w:val="005E2E03"/>
    <w:rsid w:val="005E5FCE"/>
    <w:rsid w:val="005F1460"/>
    <w:rsid w:val="005F17F3"/>
    <w:rsid w:val="005F35D4"/>
    <w:rsid w:val="005F3D90"/>
    <w:rsid w:val="005F5578"/>
    <w:rsid w:val="006109D3"/>
    <w:rsid w:val="00615551"/>
    <w:rsid w:val="00615C49"/>
    <w:rsid w:val="006215BC"/>
    <w:rsid w:val="0062771C"/>
    <w:rsid w:val="00633068"/>
    <w:rsid w:val="0063494B"/>
    <w:rsid w:val="0063635F"/>
    <w:rsid w:val="00641923"/>
    <w:rsid w:val="006465B7"/>
    <w:rsid w:val="00650B65"/>
    <w:rsid w:val="00662EC1"/>
    <w:rsid w:val="00663DB0"/>
    <w:rsid w:val="00666190"/>
    <w:rsid w:val="00667014"/>
    <w:rsid w:val="006817B0"/>
    <w:rsid w:val="00683B92"/>
    <w:rsid w:val="006863A6"/>
    <w:rsid w:val="006950FC"/>
    <w:rsid w:val="006A2D58"/>
    <w:rsid w:val="006A4380"/>
    <w:rsid w:val="006A4428"/>
    <w:rsid w:val="006B018E"/>
    <w:rsid w:val="006B2745"/>
    <w:rsid w:val="006B2960"/>
    <w:rsid w:val="006B7573"/>
    <w:rsid w:val="006C305C"/>
    <w:rsid w:val="006C4904"/>
    <w:rsid w:val="006C7B08"/>
    <w:rsid w:val="006C7DCF"/>
    <w:rsid w:val="006D0A5E"/>
    <w:rsid w:val="006D0EBF"/>
    <w:rsid w:val="006D19D1"/>
    <w:rsid w:val="006D2FAA"/>
    <w:rsid w:val="006D3438"/>
    <w:rsid w:val="006D4CD9"/>
    <w:rsid w:val="006D61D7"/>
    <w:rsid w:val="006D6632"/>
    <w:rsid w:val="006E2AA4"/>
    <w:rsid w:val="006E5CE8"/>
    <w:rsid w:val="006E6549"/>
    <w:rsid w:val="006E6B2B"/>
    <w:rsid w:val="006F29EA"/>
    <w:rsid w:val="006F518E"/>
    <w:rsid w:val="007005F9"/>
    <w:rsid w:val="00702309"/>
    <w:rsid w:val="00702D44"/>
    <w:rsid w:val="00703708"/>
    <w:rsid w:val="00703C67"/>
    <w:rsid w:val="00704A1D"/>
    <w:rsid w:val="00704E8D"/>
    <w:rsid w:val="00707B2F"/>
    <w:rsid w:val="00710792"/>
    <w:rsid w:val="00710A85"/>
    <w:rsid w:val="00711BA5"/>
    <w:rsid w:val="00715D11"/>
    <w:rsid w:val="007177C5"/>
    <w:rsid w:val="0071799F"/>
    <w:rsid w:val="00717CCA"/>
    <w:rsid w:val="007202C6"/>
    <w:rsid w:val="00723853"/>
    <w:rsid w:val="00724B1C"/>
    <w:rsid w:val="007325D5"/>
    <w:rsid w:val="00740720"/>
    <w:rsid w:val="00747563"/>
    <w:rsid w:val="007538D3"/>
    <w:rsid w:val="00757301"/>
    <w:rsid w:val="00757548"/>
    <w:rsid w:val="00762F1D"/>
    <w:rsid w:val="00764333"/>
    <w:rsid w:val="00764568"/>
    <w:rsid w:val="00764F9C"/>
    <w:rsid w:val="0076674E"/>
    <w:rsid w:val="007708DC"/>
    <w:rsid w:val="00770E5F"/>
    <w:rsid w:val="00772EB1"/>
    <w:rsid w:val="00774961"/>
    <w:rsid w:val="0077543B"/>
    <w:rsid w:val="007765AB"/>
    <w:rsid w:val="00781227"/>
    <w:rsid w:val="00781DAC"/>
    <w:rsid w:val="00782E55"/>
    <w:rsid w:val="00784DEB"/>
    <w:rsid w:val="00784EA2"/>
    <w:rsid w:val="00790378"/>
    <w:rsid w:val="00792B10"/>
    <w:rsid w:val="007945E3"/>
    <w:rsid w:val="00796928"/>
    <w:rsid w:val="007969CC"/>
    <w:rsid w:val="007A4CA4"/>
    <w:rsid w:val="007A5734"/>
    <w:rsid w:val="007A6606"/>
    <w:rsid w:val="007B565F"/>
    <w:rsid w:val="007B6C8C"/>
    <w:rsid w:val="007C2ED3"/>
    <w:rsid w:val="007C3ACF"/>
    <w:rsid w:val="007C7E2D"/>
    <w:rsid w:val="007D3212"/>
    <w:rsid w:val="007D495A"/>
    <w:rsid w:val="007E1C5C"/>
    <w:rsid w:val="007E2DB2"/>
    <w:rsid w:val="007E6F03"/>
    <w:rsid w:val="007F2599"/>
    <w:rsid w:val="00815058"/>
    <w:rsid w:val="00817D2D"/>
    <w:rsid w:val="008259A4"/>
    <w:rsid w:val="00827254"/>
    <w:rsid w:val="00836025"/>
    <w:rsid w:val="0083793D"/>
    <w:rsid w:val="008467BB"/>
    <w:rsid w:val="00846A1A"/>
    <w:rsid w:val="00853650"/>
    <w:rsid w:val="00856B4B"/>
    <w:rsid w:val="00861647"/>
    <w:rsid w:val="00861737"/>
    <w:rsid w:val="008623C3"/>
    <w:rsid w:val="00865ECE"/>
    <w:rsid w:val="008753B2"/>
    <w:rsid w:val="00877E0C"/>
    <w:rsid w:val="00880D9B"/>
    <w:rsid w:val="00881E07"/>
    <w:rsid w:val="00882783"/>
    <w:rsid w:val="00884E46"/>
    <w:rsid w:val="00886E46"/>
    <w:rsid w:val="008A4D12"/>
    <w:rsid w:val="008A6911"/>
    <w:rsid w:val="008A7A8E"/>
    <w:rsid w:val="008B6874"/>
    <w:rsid w:val="008C02AC"/>
    <w:rsid w:val="008C1818"/>
    <w:rsid w:val="008C2A9D"/>
    <w:rsid w:val="008C2B47"/>
    <w:rsid w:val="008C60DA"/>
    <w:rsid w:val="008D2C44"/>
    <w:rsid w:val="008D5E02"/>
    <w:rsid w:val="008D5E13"/>
    <w:rsid w:val="008E36A5"/>
    <w:rsid w:val="008E5CAD"/>
    <w:rsid w:val="008F385A"/>
    <w:rsid w:val="008F39F9"/>
    <w:rsid w:val="008F68B7"/>
    <w:rsid w:val="008F7087"/>
    <w:rsid w:val="009058B1"/>
    <w:rsid w:val="00910710"/>
    <w:rsid w:val="0091350E"/>
    <w:rsid w:val="00916721"/>
    <w:rsid w:val="009176E2"/>
    <w:rsid w:val="00921D4C"/>
    <w:rsid w:val="009230CE"/>
    <w:rsid w:val="00926662"/>
    <w:rsid w:val="00935EDD"/>
    <w:rsid w:val="00941AA6"/>
    <w:rsid w:val="00943BDE"/>
    <w:rsid w:val="00951AE4"/>
    <w:rsid w:val="009525BC"/>
    <w:rsid w:val="00966220"/>
    <w:rsid w:val="00966E62"/>
    <w:rsid w:val="00971832"/>
    <w:rsid w:val="00976A79"/>
    <w:rsid w:val="00980916"/>
    <w:rsid w:val="0098457B"/>
    <w:rsid w:val="009864C5"/>
    <w:rsid w:val="00986CF3"/>
    <w:rsid w:val="00987698"/>
    <w:rsid w:val="0099287D"/>
    <w:rsid w:val="0099428C"/>
    <w:rsid w:val="009A13E8"/>
    <w:rsid w:val="009A15DB"/>
    <w:rsid w:val="009A4DB9"/>
    <w:rsid w:val="009A519E"/>
    <w:rsid w:val="009A7A67"/>
    <w:rsid w:val="009B3ECA"/>
    <w:rsid w:val="009B461E"/>
    <w:rsid w:val="009B583F"/>
    <w:rsid w:val="009B6212"/>
    <w:rsid w:val="009C1512"/>
    <w:rsid w:val="009C3565"/>
    <w:rsid w:val="009D0AA4"/>
    <w:rsid w:val="009D30B4"/>
    <w:rsid w:val="009D6331"/>
    <w:rsid w:val="009D6E20"/>
    <w:rsid w:val="009E05B7"/>
    <w:rsid w:val="009E0B2C"/>
    <w:rsid w:val="009E15D6"/>
    <w:rsid w:val="009E2C7E"/>
    <w:rsid w:val="009E30D2"/>
    <w:rsid w:val="009E3B02"/>
    <w:rsid w:val="009E4A97"/>
    <w:rsid w:val="009E4F1C"/>
    <w:rsid w:val="009F12C3"/>
    <w:rsid w:val="009F1D35"/>
    <w:rsid w:val="00A03962"/>
    <w:rsid w:val="00A11C97"/>
    <w:rsid w:val="00A13DA6"/>
    <w:rsid w:val="00A20881"/>
    <w:rsid w:val="00A20DA3"/>
    <w:rsid w:val="00A26C2C"/>
    <w:rsid w:val="00A273A8"/>
    <w:rsid w:val="00A27B29"/>
    <w:rsid w:val="00A27C06"/>
    <w:rsid w:val="00A27D94"/>
    <w:rsid w:val="00A36E4A"/>
    <w:rsid w:val="00A3767F"/>
    <w:rsid w:val="00A6459D"/>
    <w:rsid w:val="00A648BE"/>
    <w:rsid w:val="00A65C2D"/>
    <w:rsid w:val="00A65C51"/>
    <w:rsid w:val="00A672AE"/>
    <w:rsid w:val="00A67A25"/>
    <w:rsid w:val="00A76908"/>
    <w:rsid w:val="00A774E3"/>
    <w:rsid w:val="00A83E2E"/>
    <w:rsid w:val="00A93CAF"/>
    <w:rsid w:val="00A93D59"/>
    <w:rsid w:val="00A9496B"/>
    <w:rsid w:val="00A95F79"/>
    <w:rsid w:val="00A97EE8"/>
    <w:rsid w:val="00AA048D"/>
    <w:rsid w:val="00AA3377"/>
    <w:rsid w:val="00AA5609"/>
    <w:rsid w:val="00AB34DE"/>
    <w:rsid w:val="00AB594D"/>
    <w:rsid w:val="00AC4973"/>
    <w:rsid w:val="00AC6D78"/>
    <w:rsid w:val="00AC71B2"/>
    <w:rsid w:val="00AC72F4"/>
    <w:rsid w:val="00AD29CB"/>
    <w:rsid w:val="00AD2E14"/>
    <w:rsid w:val="00AD2E8C"/>
    <w:rsid w:val="00AD4B0D"/>
    <w:rsid w:val="00AD5665"/>
    <w:rsid w:val="00AD7B55"/>
    <w:rsid w:val="00AE03FA"/>
    <w:rsid w:val="00AE0C8F"/>
    <w:rsid w:val="00AE0F81"/>
    <w:rsid w:val="00AE2C4D"/>
    <w:rsid w:val="00AF158F"/>
    <w:rsid w:val="00AF23D0"/>
    <w:rsid w:val="00AF5C95"/>
    <w:rsid w:val="00AF63AC"/>
    <w:rsid w:val="00B027ED"/>
    <w:rsid w:val="00B04857"/>
    <w:rsid w:val="00B06E34"/>
    <w:rsid w:val="00B1308E"/>
    <w:rsid w:val="00B14336"/>
    <w:rsid w:val="00B17113"/>
    <w:rsid w:val="00B23409"/>
    <w:rsid w:val="00B24E48"/>
    <w:rsid w:val="00B2678B"/>
    <w:rsid w:val="00B3019E"/>
    <w:rsid w:val="00B32ED0"/>
    <w:rsid w:val="00B34CD1"/>
    <w:rsid w:val="00B35565"/>
    <w:rsid w:val="00B36985"/>
    <w:rsid w:val="00B369CE"/>
    <w:rsid w:val="00B37A15"/>
    <w:rsid w:val="00B41124"/>
    <w:rsid w:val="00B41A7A"/>
    <w:rsid w:val="00B503C2"/>
    <w:rsid w:val="00B51B96"/>
    <w:rsid w:val="00B52E6C"/>
    <w:rsid w:val="00B53571"/>
    <w:rsid w:val="00B546EA"/>
    <w:rsid w:val="00B56FAC"/>
    <w:rsid w:val="00B6173A"/>
    <w:rsid w:val="00B655D9"/>
    <w:rsid w:val="00B66AB5"/>
    <w:rsid w:val="00B72AB0"/>
    <w:rsid w:val="00B822CB"/>
    <w:rsid w:val="00B84D18"/>
    <w:rsid w:val="00B853C4"/>
    <w:rsid w:val="00B87F2D"/>
    <w:rsid w:val="00B9382A"/>
    <w:rsid w:val="00B93A0C"/>
    <w:rsid w:val="00BA166F"/>
    <w:rsid w:val="00BA2AFD"/>
    <w:rsid w:val="00BA4B64"/>
    <w:rsid w:val="00BA6AB2"/>
    <w:rsid w:val="00BA7D9D"/>
    <w:rsid w:val="00BB08D9"/>
    <w:rsid w:val="00BB2163"/>
    <w:rsid w:val="00BB30CE"/>
    <w:rsid w:val="00BB6CC6"/>
    <w:rsid w:val="00BC0E1F"/>
    <w:rsid w:val="00BC7D29"/>
    <w:rsid w:val="00BD19DB"/>
    <w:rsid w:val="00BD24AA"/>
    <w:rsid w:val="00BD278C"/>
    <w:rsid w:val="00BD5CE6"/>
    <w:rsid w:val="00BD6DDE"/>
    <w:rsid w:val="00BD7582"/>
    <w:rsid w:val="00BE02A4"/>
    <w:rsid w:val="00BE78E7"/>
    <w:rsid w:val="00C01770"/>
    <w:rsid w:val="00C03B3C"/>
    <w:rsid w:val="00C11E2F"/>
    <w:rsid w:val="00C16E47"/>
    <w:rsid w:val="00C255FB"/>
    <w:rsid w:val="00C313B7"/>
    <w:rsid w:val="00C343F4"/>
    <w:rsid w:val="00C34EF4"/>
    <w:rsid w:val="00C35C4A"/>
    <w:rsid w:val="00C36028"/>
    <w:rsid w:val="00C36E8A"/>
    <w:rsid w:val="00C41F42"/>
    <w:rsid w:val="00C43C6A"/>
    <w:rsid w:val="00C45BF3"/>
    <w:rsid w:val="00C47364"/>
    <w:rsid w:val="00C47B26"/>
    <w:rsid w:val="00C51B04"/>
    <w:rsid w:val="00C55654"/>
    <w:rsid w:val="00C55F7A"/>
    <w:rsid w:val="00C57969"/>
    <w:rsid w:val="00C614AD"/>
    <w:rsid w:val="00C64C86"/>
    <w:rsid w:val="00C66BA4"/>
    <w:rsid w:val="00C678EA"/>
    <w:rsid w:val="00C753B8"/>
    <w:rsid w:val="00C80CDA"/>
    <w:rsid w:val="00C82F88"/>
    <w:rsid w:val="00C848F1"/>
    <w:rsid w:val="00C84EC6"/>
    <w:rsid w:val="00C9421D"/>
    <w:rsid w:val="00C96386"/>
    <w:rsid w:val="00C96E5B"/>
    <w:rsid w:val="00CB0BA2"/>
    <w:rsid w:val="00CB61E5"/>
    <w:rsid w:val="00CB7FB8"/>
    <w:rsid w:val="00CC115C"/>
    <w:rsid w:val="00CC57AE"/>
    <w:rsid w:val="00CD4125"/>
    <w:rsid w:val="00CE1823"/>
    <w:rsid w:val="00CE215C"/>
    <w:rsid w:val="00CE2CCC"/>
    <w:rsid w:val="00CE324D"/>
    <w:rsid w:val="00CE404F"/>
    <w:rsid w:val="00CE5D5F"/>
    <w:rsid w:val="00CE62AF"/>
    <w:rsid w:val="00CF17F2"/>
    <w:rsid w:val="00CF1C91"/>
    <w:rsid w:val="00CF1CED"/>
    <w:rsid w:val="00CF21EA"/>
    <w:rsid w:val="00CF2B15"/>
    <w:rsid w:val="00CF2FB7"/>
    <w:rsid w:val="00CF33F6"/>
    <w:rsid w:val="00CF34D6"/>
    <w:rsid w:val="00CF513A"/>
    <w:rsid w:val="00CF6404"/>
    <w:rsid w:val="00D02383"/>
    <w:rsid w:val="00D050B4"/>
    <w:rsid w:val="00D06C61"/>
    <w:rsid w:val="00D10170"/>
    <w:rsid w:val="00D1229B"/>
    <w:rsid w:val="00D161B0"/>
    <w:rsid w:val="00D23A3D"/>
    <w:rsid w:val="00D23C07"/>
    <w:rsid w:val="00D26BBE"/>
    <w:rsid w:val="00D30FA8"/>
    <w:rsid w:val="00D313CF"/>
    <w:rsid w:val="00D32499"/>
    <w:rsid w:val="00D3670C"/>
    <w:rsid w:val="00D47BEC"/>
    <w:rsid w:val="00D508B9"/>
    <w:rsid w:val="00D52960"/>
    <w:rsid w:val="00D5584A"/>
    <w:rsid w:val="00D602F6"/>
    <w:rsid w:val="00D732EE"/>
    <w:rsid w:val="00D75BD7"/>
    <w:rsid w:val="00D90FD7"/>
    <w:rsid w:val="00DA005C"/>
    <w:rsid w:val="00DA2160"/>
    <w:rsid w:val="00DA277A"/>
    <w:rsid w:val="00DA358B"/>
    <w:rsid w:val="00DA5E21"/>
    <w:rsid w:val="00DB79C6"/>
    <w:rsid w:val="00DC0FA0"/>
    <w:rsid w:val="00DC152C"/>
    <w:rsid w:val="00DC2B59"/>
    <w:rsid w:val="00DC3BE7"/>
    <w:rsid w:val="00DC3E5B"/>
    <w:rsid w:val="00DC7FD3"/>
    <w:rsid w:val="00DE129D"/>
    <w:rsid w:val="00DE65A9"/>
    <w:rsid w:val="00DF1812"/>
    <w:rsid w:val="00E012F5"/>
    <w:rsid w:val="00E01F55"/>
    <w:rsid w:val="00E03B00"/>
    <w:rsid w:val="00E04E0F"/>
    <w:rsid w:val="00E063E7"/>
    <w:rsid w:val="00E12A30"/>
    <w:rsid w:val="00E21DD3"/>
    <w:rsid w:val="00E26FC3"/>
    <w:rsid w:val="00E363E2"/>
    <w:rsid w:val="00E36CDF"/>
    <w:rsid w:val="00E4152F"/>
    <w:rsid w:val="00E43BEC"/>
    <w:rsid w:val="00E4402C"/>
    <w:rsid w:val="00E44193"/>
    <w:rsid w:val="00E471D2"/>
    <w:rsid w:val="00E5390E"/>
    <w:rsid w:val="00E640D1"/>
    <w:rsid w:val="00E667F8"/>
    <w:rsid w:val="00E736EA"/>
    <w:rsid w:val="00E90213"/>
    <w:rsid w:val="00E93344"/>
    <w:rsid w:val="00E9393A"/>
    <w:rsid w:val="00E93B27"/>
    <w:rsid w:val="00E9517C"/>
    <w:rsid w:val="00E96A82"/>
    <w:rsid w:val="00EA23C9"/>
    <w:rsid w:val="00EA3FDD"/>
    <w:rsid w:val="00EA47A3"/>
    <w:rsid w:val="00EB1B19"/>
    <w:rsid w:val="00EB2AE9"/>
    <w:rsid w:val="00EB6E73"/>
    <w:rsid w:val="00EC40BC"/>
    <w:rsid w:val="00EC5B06"/>
    <w:rsid w:val="00EC5FAE"/>
    <w:rsid w:val="00EC788F"/>
    <w:rsid w:val="00ED3322"/>
    <w:rsid w:val="00ED4766"/>
    <w:rsid w:val="00EE21DF"/>
    <w:rsid w:val="00EE3779"/>
    <w:rsid w:val="00EE5935"/>
    <w:rsid w:val="00EE5FC9"/>
    <w:rsid w:val="00EE6EBB"/>
    <w:rsid w:val="00F06B55"/>
    <w:rsid w:val="00F13CAB"/>
    <w:rsid w:val="00F2183F"/>
    <w:rsid w:val="00F218A7"/>
    <w:rsid w:val="00F23944"/>
    <w:rsid w:val="00F265DD"/>
    <w:rsid w:val="00F26A5A"/>
    <w:rsid w:val="00F274F6"/>
    <w:rsid w:val="00F3413E"/>
    <w:rsid w:val="00F352A4"/>
    <w:rsid w:val="00F46ACF"/>
    <w:rsid w:val="00F56B5E"/>
    <w:rsid w:val="00F62FCF"/>
    <w:rsid w:val="00F666F0"/>
    <w:rsid w:val="00F709C9"/>
    <w:rsid w:val="00F746CF"/>
    <w:rsid w:val="00F7649B"/>
    <w:rsid w:val="00F81408"/>
    <w:rsid w:val="00F83935"/>
    <w:rsid w:val="00F840CA"/>
    <w:rsid w:val="00F84165"/>
    <w:rsid w:val="00F876DB"/>
    <w:rsid w:val="00F87B41"/>
    <w:rsid w:val="00F91A35"/>
    <w:rsid w:val="00F953CC"/>
    <w:rsid w:val="00F963FF"/>
    <w:rsid w:val="00FA248D"/>
    <w:rsid w:val="00FA3C24"/>
    <w:rsid w:val="00FA4C9C"/>
    <w:rsid w:val="00FA61D9"/>
    <w:rsid w:val="00FA68FB"/>
    <w:rsid w:val="00FB2CF8"/>
    <w:rsid w:val="00FB3553"/>
    <w:rsid w:val="00FB521D"/>
    <w:rsid w:val="00FC0AFD"/>
    <w:rsid w:val="00FC1A6E"/>
    <w:rsid w:val="00FC299C"/>
    <w:rsid w:val="00FC38A6"/>
    <w:rsid w:val="00FC5279"/>
    <w:rsid w:val="00FC5BB8"/>
    <w:rsid w:val="00FC6E2C"/>
    <w:rsid w:val="00FD055F"/>
    <w:rsid w:val="00FD129B"/>
    <w:rsid w:val="00FD7A7B"/>
    <w:rsid w:val="00FE077A"/>
    <w:rsid w:val="00FE5155"/>
    <w:rsid w:val="00FE58DF"/>
    <w:rsid w:val="00FE699E"/>
    <w:rsid w:val="00FF1888"/>
    <w:rsid w:val="00FF6261"/>
    <w:rsid w:val="00FF72C0"/>
    <w:rsid w:val="00FF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77"/>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105220"/>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102044"/>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10204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10204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515177"/>
    <w:pPr>
      <w:ind w:left="568" w:hanging="284"/>
    </w:pPr>
    <w:rPr>
      <w:b w:val="0"/>
      <w:noProof/>
    </w:rPr>
  </w:style>
  <w:style w:type="paragraph" w:styleId="TOC1">
    <w:name w:val="toc 1"/>
    <w:basedOn w:val="Normal"/>
    <w:next w:val="Normal"/>
    <w:autoRedefine/>
    <w:uiPriority w:val="39"/>
    <w:semiHidden/>
    <w:rsid w:val="0051517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4626B0"/>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10204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51517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NECG) Footnote Text,DTE-Voetnoottekst,ALTS FOOTNOTE,Footnote,fn,FT,ft,SD Footnote Text,Footnote Text AG,Footnote Text Char Char Char,Footnote Text Char1 Char Char,Footnote Text Char Char Char Char Char,Footnote Text Char Char1 Char Char,f"/>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NECG) Footnote Text Char,DTE-Voetnoottekst Char,ALTS FOOTNOTE Char,Footnote Char,fn Char,FT Char,ft Char,SD Footnote Text Char,Footnote Text AG Char,Footnote Text Char Char Char Char,Footnote Text Char1 Char Char Char,f Char"/>
    <w:basedOn w:val="DefaultParagraphFont"/>
    <w:link w:val="FootnoteText"/>
    <w:uiPriority w:val="99"/>
    <w:rsid w:val="00CF33F6"/>
    <w:rPr>
      <w:sz w:val="18"/>
      <w:szCs w:val="20"/>
    </w:rPr>
  </w:style>
  <w:style w:type="character" w:styleId="FootnoteReference">
    <w:name w:val="footnote reference"/>
    <w:aliases w:val="SFG_Footnote_Reference,(NECG) Footnote Reference,fr,Footnote reference,o,Style 6,Style 20,(NECG) Footnote Reference1,(NECG) Footnote Reference2,(NECG) Footnote Reference3,(NECG) Footnote Reference4,(NECG) Footnote Reference5,Style 3"/>
    <w:basedOn w:val="DefaultParagraphFont"/>
    <w:uiPriority w:val="99"/>
    <w:unhideWhenUsed/>
    <w:qFormat/>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1517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51517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51517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105220"/>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0B23"/>
    <w:rPr>
      <w:color w:val="FF4895" w:themeColor="accent2" w:themeTint="99"/>
    </w:rPr>
  </w:style>
  <w:style w:type="paragraph" w:styleId="TOC7">
    <w:name w:val="toc 7"/>
    <w:basedOn w:val="Normal"/>
    <w:next w:val="Normal"/>
    <w:autoRedefine/>
    <w:uiPriority w:val="39"/>
    <w:semiHidden/>
    <w:unhideWhenUsed/>
    <w:rsid w:val="00515177"/>
    <w:pPr>
      <w:spacing w:before="40" w:after="40" w:line="288" w:lineRule="auto"/>
      <w:ind w:left="1321"/>
    </w:pPr>
  </w:style>
  <w:style w:type="paragraph" w:styleId="TOC8">
    <w:name w:val="toc 8"/>
    <w:basedOn w:val="Normal"/>
    <w:next w:val="Normal"/>
    <w:autoRedefine/>
    <w:uiPriority w:val="39"/>
    <w:semiHidden/>
    <w:unhideWhenUsed/>
    <w:rsid w:val="00515177"/>
    <w:pPr>
      <w:spacing w:before="40" w:after="40" w:line="288" w:lineRule="auto"/>
      <w:ind w:left="1542"/>
    </w:pPr>
  </w:style>
  <w:style w:type="paragraph" w:styleId="TOC9">
    <w:name w:val="toc 9"/>
    <w:basedOn w:val="Normal"/>
    <w:next w:val="Normal"/>
    <w:autoRedefine/>
    <w:uiPriority w:val="39"/>
    <w:semiHidden/>
    <w:unhideWhenUsed/>
    <w:rsid w:val="00515177"/>
    <w:pPr>
      <w:spacing w:before="40" w:after="40" w:line="288" w:lineRule="auto"/>
      <w:ind w:left="1758"/>
    </w:pPr>
  </w:style>
  <w:style w:type="character" w:styleId="CommentReference">
    <w:name w:val="annotation reference"/>
    <w:basedOn w:val="DefaultParagraphFont"/>
    <w:uiPriority w:val="99"/>
    <w:semiHidden/>
    <w:unhideWhenUsed/>
    <w:rsid w:val="00016040"/>
    <w:rPr>
      <w:sz w:val="16"/>
      <w:szCs w:val="16"/>
    </w:rPr>
  </w:style>
  <w:style w:type="paragraph" w:styleId="CommentText">
    <w:name w:val="annotation text"/>
    <w:basedOn w:val="Normal"/>
    <w:link w:val="CommentTextChar"/>
    <w:uiPriority w:val="99"/>
    <w:unhideWhenUsed/>
    <w:rsid w:val="00016040"/>
    <w:pPr>
      <w:spacing w:line="240" w:lineRule="auto"/>
    </w:pPr>
    <w:rPr>
      <w:sz w:val="20"/>
      <w:szCs w:val="20"/>
    </w:rPr>
  </w:style>
  <w:style w:type="character" w:customStyle="1" w:styleId="CommentTextChar">
    <w:name w:val="Comment Text Char"/>
    <w:basedOn w:val="DefaultParagraphFont"/>
    <w:link w:val="CommentText"/>
    <w:uiPriority w:val="99"/>
    <w:rsid w:val="00016040"/>
    <w:rPr>
      <w:sz w:val="20"/>
      <w:szCs w:val="20"/>
      <w:lang w:val="en-AU"/>
    </w:rPr>
  </w:style>
  <w:style w:type="paragraph" w:styleId="CommentSubject">
    <w:name w:val="annotation subject"/>
    <w:basedOn w:val="CommentText"/>
    <w:next w:val="CommentText"/>
    <w:link w:val="CommentSubjectChar"/>
    <w:uiPriority w:val="99"/>
    <w:semiHidden/>
    <w:unhideWhenUsed/>
    <w:rsid w:val="00016040"/>
    <w:rPr>
      <w:b/>
      <w:bCs/>
    </w:rPr>
  </w:style>
  <w:style w:type="character" w:customStyle="1" w:styleId="CommentSubjectChar">
    <w:name w:val="Comment Subject Char"/>
    <w:basedOn w:val="CommentTextChar"/>
    <w:link w:val="CommentSubject"/>
    <w:uiPriority w:val="99"/>
    <w:semiHidden/>
    <w:rsid w:val="00016040"/>
    <w:rPr>
      <w:b/>
      <w:bCs/>
      <w:sz w:val="20"/>
      <w:szCs w:val="20"/>
      <w:lang w:val="en-AU"/>
    </w:rPr>
  </w:style>
  <w:style w:type="paragraph" w:styleId="Revision">
    <w:name w:val="Revision"/>
    <w:hidden/>
    <w:uiPriority w:val="99"/>
    <w:semiHidden/>
    <w:rsid w:val="00781DAC"/>
    <w:pPr>
      <w:spacing w:after="0" w:line="240" w:lineRule="auto"/>
    </w:pPr>
    <w:rPr>
      <w:lang w:val="en-AU"/>
    </w:rPr>
  </w:style>
  <w:style w:type="character" w:styleId="UnresolvedMention">
    <w:name w:val="Unresolved Mention"/>
    <w:basedOn w:val="DefaultParagraphFont"/>
    <w:uiPriority w:val="99"/>
    <w:semiHidden/>
    <w:unhideWhenUsed/>
    <w:rsid w:val="001C6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age.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DO@esc.vic.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electricity-and-gas/market-performance-and-reporting/victorian-energy-market-report/energy-market-dashboar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5AA5-DC88-469C-84B7-2F6FED1C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2023-10-31T22:22:00Z</dcterms:created>
  <dcterms:modified xsi:type="dcterms:W3CDTF">2023-10-31T22:27:00Z</dcterms:modified>
  <cp:category/>
</cp:coreProperties>
</file>