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0F57" w14:textId="7D6CD3CE" w:rsidR="0006451B" w:rsidRPr="00273ADA" w:rsidRDefault="00C113EE" w:rsidP="00C113EE">
      <w:r>
        <w:rPr>
          <w:noProof/>
          <w:lang w:val="en-AU" w:eastAsia="en-AU" w:bidi="ar-SA"/>
        </w:rPr>
        <w:drawing>
          <wp:anchor distT="0" distB="0" distL="114300" distR="114300" simplePos="0" relativeHeight="251659264" behindDoc="1" locked="0" layoutInCell="1" allowOverlap="1" wp14:anchorId="3BF569A1" wp14:editId="3893EA4B">
            <wp:simplePos x="0" y="0"/>
            <wp:positionH relativeFrom="page">
              <wp:align>left</wp:align>
            </wp:positionH>
            <wp:positionV relativeFrom="page">
              <wp:align>top</wp:align>
            </wp:positionV>
            <wp:extent cx="7552055" cy="10683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Cover-Page-Template.jpg"/>
                    <pic:cNvPicPr/>
                  </pic:nvPicPr>
                  <pic:blipFill>
                    <a:blip r:embed="rId13" cstate="screen">
                      <a:extLst>
                        <a:ext uri="{28A0092B-C50C-407E-A947-70E740481C1C}">
                          <a14:useLocalDpi xmlns:a14="http://schemas.microsoft.com/office/drawing/2010/main"/>
                        </a:ext>
                      </a:extLst>
                    </a:blip>
                    <a:stretch>
                      <a:fillRect/>
                    </a:stretch>
                  </pic:blipFill>
                  <pic:spPr>
                    <a:xfrm>
                      <a:off x="0" y="0"/>
                      <a:ext cx="7552055" cy="10683240"/>
                    </a:xfrm>
                    <a:prstGeom prst="rect">
                      <a:avLst/>
                    </a:prstGeom>
                  </pic:spPr>
                </pic:pic>
              </a:graphicData>
            </a:graphic>
            <wp14:sizeRelH relativeFrom="margin">
              <wp14:pctWidth>0</wp14:pctWidth>
            </wp14:sizeRelH>
            <wp14:sizeRelV relativeFrom="margin">
              <wp14:pctHeight>0</wp14:pctHeight>
            </wp14:sizeRelV>
          </wp:anchor>
        </w:drawing>
      </w:r>
    </w:p>
    <w:p w14:paraId="2B915F5D" w14:textId="5CB22862" w:rsidR="0006451B" w:rsidRPr="00273ADA" w:rsidRDefault="0006451B" w:rsidP="00C113EE"/>
    <w:p w14:paraId="030435DA" w14:textId="75257154" w:rsidR="0006451B" w:rsidRPr="00273ADA" w:rsidRDefault="0006451B" w:rsidP="00C113EE"/>
    <w:p w14:paraId="53928F1C" w14:textId="77777777" w:rsidR="0006451B" w:rsidRPr="00273ADA" w:rsidRDefault="0006451B" w:rsidP="00C113EE"/>
    <w:p w14:paraId="388917BE" w14:textId="7D34181D" w:rsidR="0006451B" w:rsidRPr="00273ADA" w:rsidRDefault="0006451B" w:rsidP="00C113EE"/>
    <w:p w14:paraId="7E609415" w14:textId="697AE5EF" w:rsidR="0006451B" w:rsidRPr="00273ADA" w:rsidRDefault="0006451B" w:rsidP="00C113EE"/>
    <w:p w14:paraId="5A1DF572" w14:textId="3C77F0B5" w:rsidR="0006451B" w:rsidRPr="00273ADA" w:rsidRDefault="0006451B" w:rsidP="00C113EE"/>
    <w:p w14:paraId="14C1CBCE" w14:textId="2001D02D" w:rsidR="0006451B" w:rsidRPr="00273ADA" w:rsidRDefault="0006451B" w:rsidP="00C113EE"/>
    <w:p w14:paraId="449207E4" w14:textId="2B1D5809" w:rsidR="0006451B" w:rsidRPr="00273ADA" w:rsidRDefault="0006451B" w:rsidP="00C113EE"/>
    <w:p w14:paraId="314592F7" w14:textId="3879927C" w:rsidR="0006451B" w:rsidRPr="00273ADA" w:rsidRDefault="00C113EE" w:rsidP="00C113EE">
      <w:r w:rsidRPr="00737CEB">
        <w:rPr>
          <w:noProof/>
          <w:lang w:val="en-AU" w:eastAsia="en-AU" w:bidi="ar-SA"/>
        </w:rPr>
        <mc:AlternateContent>
          <mc:Choice Requires="wps">
            <w:drawing>
              <wp:anchor distT="45720" distB="45720" distL="114300" distR="114300" simplePos="0" relativeHeight="251661312" behindDoc="0" locked="0" layoutInCell="1" allowOverlap="1" wp14:anchorId="3C18F77B" wp14:editId="6F2D6C80">
                <wp:simplePos x="0" y="0"/>
                <wp:positionH relativeFrom="column">
                  <wp:posOffset>-463550</wp:posOffset>
                </wp:positionH>
                <wp:positionV relativeFrom="paragraph">
                  <wp:posOffset>304800</wp:posOffset>
                </wp:positionV>
                <wp:extent cx="4348480" cy="39052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3905250"/>
                        </a:xfrm>
                        <a:prstGeom prst="rect">
                          <a:avLst/>
                        </a:prstGeom>
                        <a:noFill/>
                        <a:ln w="9525">
                          <a:noFill/>
                          <a:miter lim="800000"/>
                          <a:headEnd/>
                          <a:tailEnd/>
                        </a:ln>
                      </wps:spPr>
                      <wps:txbx>
                        <w:txbxContent>
                          <w:p w14:paraId="2EC9E519" w14:textId="77777777" w:rsidR="00072BDD" w:rsidRPr="008A4EE2" w:rsidRDefault="00072BDD" w:rsidP="008A4EE2">
                            <w:pPr>
                              <w:pStyle w:val="Heading5"/>
                              <w:numPr>
                                <w:ilvl w:val="0"/>
                                <w:numId w:val="0"/>
                              </w:numPr>
                              <w:rPr>
                                <w:rStyle w:val="SubtleEmphasis"/>
                                <w:i w:val="0"/>
                                <w:color w:val="004165"/>
                              </w:rPr>
                            </w:pPr>
                            <w:bookmarkStart w:id="0" w:name="_Toc97540272"/>
                            <w:r w:rsidRPr="008A4EE2">
                              <w:rPr>
                                <w:rStyle w:val="SubtleEmphasis"/>
                                <w:i w:val="0"/>
                                <w:color w:val="004165"/>
                              </w:rPr>
                              <w:t>2023 Water Price Review</w:t>
                            </w:r>
                            <w:bookmarkEnd w:id="0"/>
                          </w:p>
                          <w:p w14:paraId="1266C3DB" w14:textId="27557EC3" w:rsidR="00072BDD" w:rsidRPr="008A4EE2" w:rsidRDefault="00072BDD" w:rsidP="00A43B04">
                            <w:pPr>
                              <w:pStyle w:val="Heading1"/>
                              <w:rPr>
                                <w:rStyle w:val="SubtleEmphasis"/>
                                <w:i w:val="0"/>
                                <w:color w:val="008998"/>
                                <w:sz w:val="44"/>
                                <w:szCs w:val="44"/>
                              </w:rPr>
                            </w:pPr>
                            <w:r w:rsidRPr="008A4EE2">
                              <w:rPr>
                                <w:rStyle w:val="SubtleEmphasis"/>
                                <w:i w:val="0"/>
                                <w:color w:val="008998"/>
                                <w:sz w:val="44"/>
                                <w:szCs w:val="44"/>
                              </w:rPr>
                              <w:br/>
                            </w:r>
                            <w:bookmarkStart w:id="1" w:name="_Toc115768748"/>
                            <w:r w:rsidRPr="008A4EE2">
                              <w:rPr>
                                <w:rStyle w:val="SubtleEmphasis"/>
                                <w:i w:val="0"/>
                                <w:color w:val="008998"/>
                                <w:sz w:val="44"/>
                                <w:szCs w:val="44"/>
                              </w:rPr>
                              <w:t xml:space="preserve">Supporting Paper 7: </w:t>
                            </w:r>
                            <w:r w:rsidRPr="008A4EE2">
                              <w:rPr>
                                <w:rStyle w:val="SubtleEmphasis"/>
                                <w:i w:val="0"/>
                                <w:color w:val="008998"/>
                                <w:sz w:val="44"/>
                                <w:szCs w:val="44"/>
                              </w:rPr>
                              <w:br/>
                              <w:t>NCC tariff structure and prices</w:t>
                            </w:r>
                            <w:bookmarkEnd w:id="1"/>
                          </w:p>
                          <w:p w14:paraId="0B745EE3" w14:textId="77777777" w:rsidR="00072BDD" w:rsidRDefault="00072BDD" w:rsidP="00C11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8F77B" id="_x0000_t202" coordsize="21600,21600" o:spt="202" path="m,l,21600r21600,l21600,xe">
                <v:stroke joinstyle="miter"/>
                <v:path gradientshapeok="t" o:connecttype="rect"/>
              </v:shapetype>
              <v:shape id="Text Box 2" o:spid="_x0000_s1026" type="#_x0000_t202" style="position:absolute;margin-left:-36.5pt;margin-top:24pt;width:342.4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" filled="f" stroked="f">
                <v:textbox>
                  <w:txbxContent>
                    <w:p w14:paraId="2EC9E519" w14:textId="77777777" w:rsidR="00072BDD" w:rsidRPr="008A4EE2" w:rsidRDefault="00072BDD" w:rsidP="008A4EE2">
                      <w:pPr>
                        <w:pStyle w:val="Heading5"/>
                        <w:numPr>
                          <w:ilvl w:val="0"/>
                          <w:numId w:val="0"/>
                        </w:numPr>
                        <w:rPr>
                          <w:rStyle w:val="SubtleEmphasis"/>
                          <w:i w:val="0"/>
                          <w:color w:val="004165"/>
                        </w:rPr>
                      </w:pPr>
                      <w:bookmarkStart w:id="2" w:name="_Toc97540272"/>
                      <w:r w:rsidRPr="008A4EE2">
                        <w:rPr>
                          <w:rStyle w:val="SubtleEmphasis"/>
                          <w:i w:val="0"/>
                          <w:color w:val="004165"/>
                        </w:rPr>
                        <w:t>2023 Water Price Review</w:t>
                      </w:r>
                      <w:bookmarkEnd w:id="2"/>
                    </w:p>
                    <w:p w14:paraId="1266C3DB" w14:textId="27557EC3" w:rsidR="00072BDD" w:rsidRPr="008A4EE2" w:rsidRDefault="00072BDD" w:rsidP="00A43B04">
                      <w:pPr>
                        <w:pStyle w:val="Heading1"/>
                        <w:rPr>
                          <w:rStyle w:val="SubtleEmphasis"/>
                          <w:i w:val="0"/>
                          <w:color w:val="008998"/>
                          <w:sz w:val="44"/>
                          <w:szCs w:val="44"/>
                        </w:rPr>
                      </w:pPr>
                      <w:r w:rsidRPr="008A4EE2">
                        <w:rPr>
                          <w:rStyle w:val="SubtleEmphasis"/>
                          <w:i w:val="0"/>
                          <w:color w:val="008998"/>
                          <w:sz w:val="44"/>
                          <w:szCs w:val="44"/>
                        </w:rPr>
                        <w:br/>
                      </w:r>
                      <w:bookmarkStart w:id="3" w:name="_Toc115768748"/>
                      <w:r w:rsidRPr="008A4EE2">
                        <w:rPr>
                          <w:rStyle w:val="SubtleEmphasis"/>
                          <w:i w:val="0"/>
                          <w:color w:val="008998"/>
                          <w:sz w:val="44"/>
                          <w:szCs w:val="44"/>
                        </w:rPr>
                        <w:t xml:space="preserve">Supporting Paper 7: </w:t>
                      </w:r>
                      <w:r w:rsidRPr="008A4EE2">
                        <w:rPr>
                          <w:rStyle w:val="SubtleEmphasis"/>
                          <w:i w:val="0"/>
                          <w:color w:val="008998"/>
                          <w:sz w:val="44"/>
                          <w:szCs w:val="44"/>
                        </w:rPr>
                        <w:br/>
                        <w:t>NCC tariff structure and prices</w:t>
                      </w:r>
                      <w:bookmarkEnd w:id="3"/>
                    </w:p>
                    <w:p w14:paraId="0B745EE3" w14:textId="77777777" w:rsidR="00072BDD" w:rsidRDefault="00072BDD" w:rsidP="00C113EE"/>
                  </w:txbxContent>
                </v:textbox>
                <w10:wrap type="square"/>
              </v:shape>
            </w:pict>
          </mc:Fallback>
        </mc:AlternateContent>
      </w:r>
    </w:p>
    <w:p w14:paraId="23D56ADD" w14:textId="77777777" w:rsidR="0006451B" w:rsidRPr="00273ADA" w:rsidRDefault="0006451B" w:rsidP="00C113EE">
      <w:pPr>
        <w:sectPr w:rsidR="0006451B" w:rsidRPr="00273ADA" w:rsidSect="00A65564">
          <w:footerReference w:type="default" r:id="rId14"/>
          <w:pgSz w:w="11906" w:h="16838"/>
          <w:pgMar w:top="1440" w:right="1440" w:bottom="1440" w:left="1440" w:header="708" w:footer="708" w:gutter="0"/>
          <w:cols w:space="708"/>
          <w:docGrid w:linePitch="360"/>
        </w:sectPr>
      </w:pPr>
    </w:p>
    <w:bookmarkStart w:id="4" w:name="_Toc115768749" w:displacedByCustomXml="next"/>
    <w:sdt>
      <w:sdtPr>
        <w:rPr>
          <w:rFonts w:ascii="Arial" w:eastAsiaTheme="minorHAnsi" w:hAnsi="Arial" w:cstheme="minorBidi"/>
          <w:b w:val="0"/>
          <w:bCs w:val="0"/>
          <w:color w:val="auto"/>
          <w:sz w:val="22"/>
          <w:lang w:val="en-AU"/>
        </w:rPr>
        <w:id w:val="579112033"/>
        <w:docPartObj>
          <w:docPartGallery w:val="Table of Contents"/>
          <w:docPartUnique/>
        </w:docPartObj>
      </w:sdtPr>
      <w:sdtEndPr>
        <w:rPr>
          <w:rFonts w:ascii="Segoe UI" w:hAnsi="Segoe UI"/>
          <w:color w:val="414042"/>
          <w:lang w:val="en-US"/>
        </w:rPr>
      </w:sdtEndPr>
      <w:sdtContent>
        <w:p w14:paraId="13110A33" w14:textId="77777777" w:rsidR="0006451B" w:rsidRPr="00C113EE" w:rsidRDefault="0006451B" w:rsidP="008A4EE2">
          <w:pPr>
            <w:pStyle w:val="Title"/>
            <w:rPr>
              <w:lang w:val="en-AU"/>
            </w:rPr>
          </w:pPr>
          <w:r w:rsidRPr="00C113EE">
            <w:rPr>
              <w:lang w:val="en-AU"/>
            </w:rPr>
            <w:t>Table of Contents</w:t>
          </w:r>
          <w:bookmarkEnd w:id="4"/>
        </w:p>
        <w:p w14:paraId="75A977D3" w14:textId="6DC1BB11" w:rsidR="007C0599" w:rsidRDefault="004B3C73">
          <w:pPr>
            <w:pStyle w:val="TOC1"/>
            <w:rPr>
              <w:rFonts w:asciiTheme="minorHAnsi" w:eastAsiaTheme="minorEastAsia" w:hAnsiTheme="minorHAnsi"/>
              <w:b w:val="0"/>
              <w:noProof/>
              <w:color w:val="auto"/>
              <w:lang w:val="en-AU" w:eastAsia="en-AU" w:bidi="ar-SA"/>
            </w:rPr>
          </w:pPr>
          <w:r>
            <w:fldChar w:fldCharType="begin"/>
          </w:r>
          <w:r>
            <w:instrText xml:space="preserve"> TOC \o "1-2" \h \z \u </w:instrText>
          </w:r>
          <w:r>
            <w:fldChar w:fldCharType="separate"/>
          </w:r>
          <w:hyperlink r:id="rId15" w:anchor="_Toc115768748" w:history="1">
            <w:r w:rsidR="007C0599" w:rsidRPr="00612BC4">
              <w:rPr>
                <w:rStyle w:val="Hyperlink"/>
                <w:noProof/>
                <w:lang w:val="en-AU"/>
              </w:rPr>
              <w:t>Supporting Paper 7:  NCC tariff structure and prices</w:t>
            </w:r>
            <w:r w:rsidR="007C0599">
              <w:rPr>
                <w:noProof/>
                <w:webHidden/>
              </w:rPr>
              <w:tab/>
            </w:r>
            <w:r w:rsidR="007C0599">
              <w:rPr>
                <w:noProof/>
                <w:webHidden/>
              </w:rPr>
              <w:fldChar w:fldCharType="begin"/>
            </w:r>
            <w:r w:rsidR="007C0599">
              <w:rPr>
                <w:noProof/>
                <w:webHidden/>
              </w:rPr>
              <w:instrText xml:space="preserve"> PAGEREF _Toc115768748 \h </w:instrText>
            </w:r>
            <w:r w:rsidR="007C0599">
              <w:rPr>
                <w:noProof/>
                <w:webHidden/>
              </w:rPr>
            </w:r>
            <w:r w:rsidR="007C0599">
              <w:rPr>
                <w:noProof/>
                <w:webHidden/>
              </w:rPr>
              <w:fldChar w:fldCharType="separate"/>
            </w:r>
            <w:r w:rsidR="007C0599">
              <w:rPr>
                <w:noProof/>
                <w:webHidden/>
              </w:rPr>
              <w:t>1</w:t>
            </w:r>
            <w:r w:rsidR="007C0599">
              <w:rPr>
                <w:noProof/>
                <w:webHidden/>
              </w:rPr>
              <w:fldChar w:fldCharType="end"/>
            </w:r>
          </w:hyperlink>
        </w:p>
        <w:p w14:paraId="0166BF42" w14:textId="6F02F676" w:rsidR="007C0599" w:rsidRDefault="00000000">
          <w:pPr>
            <w:pStyle w:val="TOC1"/>
            <w:rPr>
              <w:rFonts w:asciiTheme="minorHAnsi" w:eastAsiaTheme="minorEastAsia" w:hAnsiTheme="minorHAnsi"/>
              <w:b w:val="0"/>
              <w:noProof/>
              <w:color w:val="auto"/>
              <w:lang w:val="en-AU" w:eastAsia="en-AU" w:bidi="ar-SA"/>
            </w:rPr>
          </w:pPr>
          <w:hyperlink w:anchor="_Toc115768749" w:history="1">
            <w:r w:rsidR="007C0599" w:rsidRPr="00612BC4">
              <w:rPr>
                <w:rStyle w:val="Hyperlink"/>
                <w:noProof/>
                <w:lang w:val="en-AU"/>
              </w:rPr>
              <w:t>1.</w:t>
            </w:r>
            <w:r w:rsidR="007C0599">
              <w:rPr>
                <w:rFonts w:asciiTheme="minorHAnsi" w:eastAsiaTheme="minorEastAsia" w:hAnsiTheme="minorHAnsi"/>
                <w:b w:val="0"/>
                <w:noProof/>
                <w:color w:val="auto"/>
                <w:lang w:val="en-AU" w:eastAsia="en-AU" w:bidi="ar-SA"/>
              </w:rPr>
              <w:tab/>
            </w:r>
            <w:r w:rsidR="007C0599" w:rsidRPr="00612BC4">
              <w:rPr>
                <w:rStyle w:val="Hyperlink"/>
                <w:noProof/>
                <w:lang w:val="en-AU"/>
              </w:rPr>
              <w:t>Table of Contents</w:t>
            </w:r>
            <w:r w:rsidR="007C0599">
              <w:rPr>
                <w:noProof/>
                <w:webHidden/>
              </w:rPr>
              <w:tab/>
            </w:r>
            <w:r w:rsidR="007C0599">
              <w:rPr>
                <w:noProof/>
                <w:webHidden/>
              </w:rPr>
              <w:fldChar w:fldCharType="begin"/>
            </w:r>
            <w:r w:rsidR="007C0599">
              <w:rPr>
                <w:noProof/>
                <w:webHidden/>
              </w:rPr>
              <w:instrText xml:space="preserve"> PAGEREF _Toc115768749 \h </w:instrText>
            </w:r>
            <w:r w:rsidR="007C0599">
              <w:rPr>
                <w:noProof/>
                <w:webHidden/>
              </w:rPr>
            </w:r>
            <w:r w:rsidR="007C0599">
              <w:rPr>
                <w:noProof/>
                <w:webHidden/>
              </w:rPr>
              <w:fldChar w:fldCharType="separate"/>
            </w:r>
            <w:r w:rsidR="007C0599">
              <w:rPr>
                <w:noProof/>
                <w:webHidden/>
              </w:rPr>
              <w:t>2</w:t>
            </w:r>
            <w:r w:rsidR="007C0599">
              <w:rPr>
                <w:noProof/>
                <w:webHidden/>
              </w:rPr>
              <w:fldChar w:fldCharType="end"/>
            </w:r>
          </w:hyperlink>
        </w:p>
        <w:p w14:paraId="5DC40624" w14:textId="3759B7F9" w:rsidR="007C0599" w:rsidRDefault="00000000">
          <w:pPr>
            <w:pStyle w:val="TOC1"/>
            <w:rPr>
              <w:rFonts w:asciiTheme="minorHAnsi" w:eastAsiaTheme="minorEastAsia" w:hAnsiTheme="minorHAnsi"/>
              <w:b w:val="0"/>
              <w:noProof/>
              <w:color w:val="auto"/>
              <w:lang w:val="en-AU" w:eastAsia="en-AU" w:bidi="ar-SA"/>
            </w:rPr>
          </w:pPr>
          <w:hyperlink w:anchor="_Toc115768750" w:history="1">
            <w:r w:rsidR="007C0599" w:rsidRPr="00612BC4">
              <w:rPr>
                <w:rStyle w:val="Hyperlink"/>
                <w:noProof/>
              </w:rPr>
              <w:t>2.</w:t>
            </w:r>
            <w:r w:rsidR="007C0599">
              <w:rPr>
                <w:rFonts w:asciiTheme="minorHAnsi" w:eastAsiaTheme="minorEastAsia" w:hAnsiTheme="minorHAnsi"/>
                <w:b w:val="0"/>
                <w:noProof/>
                <w:color w:val="auto"/>
                <w:lang w:val="en-AU" w:eastAsia="en-AU" w:bidi="ar-SA"/>
              </w:rPr>
              <w:tab/>
            </w:r>
            <w:r w:rsidR="007C0599" w:rsidRPr="00612BC4">
              <w:rPr>
                <w:rStyle w:val="Hyperlink"/>
                <w:noProof/>
              </w:rPr>
              <w:t>Executive summary</w:t>
            </w:r>
            <w:r w:rsidR="007C0599">
              <w:rPr>
                <w:noProof/>
                <w:webHidden/>
              </w:rPr>
              <w:tab/>
            </w:r>
            <w:r w:rsidR="007C0599">
              <w:rPr>
                <w:noProof/>
                <w:webHidden/>
              </w:rPr>
              <w:fldChar w:fldCharType="begin"/>
            </w:r>
            <w:r w:rsidR="007C0599">
              <w:rPr>
                <w:noProof/>
                <w:webHidden/>
              </w:rPr>
              <w:instrText xml:space="preserve"> PAGEREF _Toc115768750 \h </w:instrText>
            </w:r>
            <w:r w:rsidR="007C0599">
              <w:rPr>
                <w:noProof/>
                <w:webHidden/>
              </w:rPr>
            </w:r>
            <w:r w:rsidR="007C0599">
              <w:rPr>
                <w:noProof/>
                <w:webHidden/>
              </w:rPr>
              <w:fldChar w:fldCharType="separate"/>
            </w:r>
            <w:r w:rsidR="007C0599">
              <w:rPr>
                <w:noProof/>
                <w:webHidden/>
              </w:rPr>
              <w:t>3</w:t>
            </w:r>
            <w:r w:rsidR="007C0599">
              <w:rPr>
                <w:noProof/>
                <w:webHidden/>
              </w:rPr>
              <w:fldChar w:fldCharType="end"/>
            </w:r>
          </w:hyperlink>
        </w:p>
        <w:p w14:paraId="442C71A4" w14:textId="60391ACB" w:rsidR="007C0599" w:rsidRDefault="00000000">
          <w:pPr>
            <w:pStyle w:val="TOC1"/>
            <w:rPr>
              <w:rFonts w:asciiTheme="minorHAnsi" w:eastAsiaTheme="minorEastAsia" w:hAnsiTheme="minorHAnsi"/>
              <w:b w:val="0"/>
              <w:noProof/>
              <w:color w:val="auto"/>
              <w:lang w:val="en-AU" w:eastAsia="en-AU" w:bidi="ar-SA"/>
            </w:rPr>
          </w:pPr>
          <w:hyperlink w:anchor="_Toc115768751" w:history="1">
            <w:r w:rsidR="007C0599" w:rsidRPr="00612BC4">
              <w:rPr>
                <w:rStyle w:val="Hyperlink"/>
                <w:noProof/>
              </w:rPr>
              <w:t>3.</w:t>
            </w:r>
            <w:r w:rsidR="007C0599">
              <w:rPr>
                <w:rFonts w:asciiTheme="minorHAnsi" w:eastAsiaTheme="minorEastAsia" w:hAnsiTheme="minorHAnsi"/>
                <w:b w:val="0"/>
                <w:noProof/>
                <w:color w:val="auto"/>
                <w:lang w:val="en-AU" w:eastAsia="en-AU" w:bidi="ar-SA"/>
              </w:rPr>
              <w:tab/>
            </w:r>
            <w:r w:rsidR="007C0599" w:rsidRPr="00612BC4">
              <w:rPr>
                <w:rStyle w:val="Hyperlink"/>
                <w:noProof/>
              </w:rPr>
              <w:t>Purpose and scope</w:t>
            </w:r>
            <w:r w:rsidR="007C0599">
              <w:rPr>
                <w:noProof/>
                <w:webHidden/>
              </w:rPr>
              <w:tab/>
            </w:r>
            <w:r w:rsidR="007C0599">
              <w:rPr>
                <w:noProof/>
                <w:webHidden/>
              </w:rPr>
              <w:fldChar w:fldCharType="begin"/>
            </w:r>
            <w:r w:rsidR="007C0599">
              <w:rPr>
                <w:noProof/>
                <w:webHidden/>
              </w:rPr>
              <w:instrText xml:space="preserve"> PAGEREF _Toc115768751 \h </w:instrText>
            </w:r>
            <w:r w:rsidR="007C0599">
              <w:rPr>
                <w:noProof/>
                <w:webHidden/>
              </w:rPr>
            </w:r>
            <w:r w:rsidR="007C0599">
              <w:rPr>
                <w:noProof/>
                <w:webHidden/>
              </w:rPr>
              <w:fldChar w:fldCharType="separate"/>
            </w:r>
            <w:r w:rsidR="007C0599">
              <w:rPr>
                <w:noProof/>
                <w:webHidden/>
              </w:rPr>
              <w:t>4</w:t>
            </w:r>
            <w:r w:rsidR="007C0599">
              <w:rPr>
                <w:noProof/>
                <w:webHidden/>
              </w:rPr>
              <w:fldChar w:fldCharType="end"/>
            </w:r>
          </w:hyperlink>
        </w:p>
        <w:p w14:paraId="7810685B" w14:textId="1AA0D27C" w:rsidR="007C0599" w:rsidRDefault="00000000">
          <w:pPr>
            <w:pStyle w:val="TOC2"/>
            <w:rPr>
              <w:rFonts w:asciiTheme="minorHAnsi" w:eastAsiaTheme="minorEastAsia" w:hAnsiTheme="minorHAnsi"/>
              <w:noProof/>
              <w:color w:val="auto"/>
              <w:lang w:val="en-AU" w:eastAsia="en-AU" w:bidi="ar-SA"/>
            </w:rPr>
          </w:pPr>
          <w:hyperlink w:anchor="_Toc115768752" w:history="1">
            <w:r w:rsidR="007C0599" w:rsidRPr="00612BC4">
              <w:rPr>
                <w:rStyle w:val="Hyperlink"/>
                <w:noProof/>
              </w:rPr>
              <w:t>How this document aligns with ESC Guidance</w:t>
            </w:r>
            <w:r w:rsidR="007C0599">
              <w:rPr>
                <w:noProof/>
                <w:webHidden/>
              </w:rPr>
              <w:tab/>
            </w:r>
            <w:r w:rsidR="007C0599">
              <w:rPr>
                <w:noProof/>
                <w:webHidden/>
              </w:rPr>
              <w:fldChar w:fldCharType="begin"/>
            </w:r>
            <w:r w:rsidR="007C0599">
              <w:rPr>
                <w:noProof/>
                <w:webHidden/>
              </w:rPr>
              <w:instrText xml:space="preserve"> PAGEREF _Toc115768752 \h </w:instrText>
            </w:r>
            <w:r w:rsidR="007C0599">
              <w:rPr>
                <w:noProof/>
                <w:webHidden/>
              </w:rPr>
            </w:r>
            <w:r w:rsidR="007C0599">
              <w:rPr>
                <w:noProof/>
                <w:webHidden/>
              </w:rPr>
              <w:fldChar w:fldCharType="separate"/>
            </w:r>
            <w:r w:rsidR="007C0599">
              <w:rPr>
                <w:noProof/>
                <w:webHidden/>
              </w:rPr>
              <w:t>4</w:t>
            </w:r>
            <w:r w:rsidR="007C0599">
              <w:rPr>
                <w:noProof/>
                <w:webHidden/>
              </w:rPr>
              <w:fldChar w:fldCharType="end"/>
            </w:r>
          </w:hyperlink>
        </w:p>
        <w:p w14:paraId="28806BB6" w14:textId="194D1F6D" w:rsidR="007C0599" w:rsidRDefault="00000000">
          <w:pPr>
            <w:pStyle w:val="TOC1"/>
            <w:rPr>
              <w:rFonts w:asciiTheme="minorHAnsi" w:eastAsiaTheme="minorEastAsia" w:hAnsiTheme="minorHAnsi"/>
              <w:b w:val="0"/>
              <w:noProof/>
              <w:color w:val="auto"/>
              <w:lang w:val="en-AU" w:eastAsia="en-AU" w:bidi="ar-SA"/>
            </w:rPr>
          </w:pPr>
          <w:hyperlink w:anchor="_Toc115768753" w:history="1">
            <w:r w:rsidR="007C0599" w:rsidRPr="00612BC4">
              <w:rPr>
                <w:rStyle w:val="Hyperlink"/>
                <w:noProof/>
              </w:rPr>
              <w:t>4.</w:t>
            </w:r>
            <w:r w:rsidR="007C0599">
              <w:rPr>
                <w:rFonts w:asciiTheme="minorHAnsi" w:eastAsiaTheme="minorEastAsia" w:hAnsiTheme="minorHAnsi"/>
                <w:b w:val="0"/>
                <w:noProof/>
                <w:color w:val="auto"/>
                <w:lang w:val="en-AU" w:eastAsia="en-AU" w:bidi="ar-SA"/>
              </w:rPr>
              <w:tab/>
            </w:r>
            <w:r w:rsidR="007C0599" w:rsidRPr="00612BC4">
              <w:rPr>
                <w:rStyle w:val="Hyperlink"/>
                <w:noProof/>
              </w:rPr>
              <w:t>Reviewing the approach to determining NCCs</w:t>
            </w:r>
            <w:r w:rsidR="007C0599">
              <w:rPr>
                <w:noProof/>
                <w:webHidden/>
              </w:rPr>
              <w:tab/>
            </w:r>
            <w:r w:rsidR="007C0599">
              <w:rPr>
                <w:noProof/>
                <w:webHidden/>
              </w:rPr>
              <w:fldChar w:fldCharType="begin"/>
            </w:r>
            <w:r w:rsidR="007C0599">
              <w:rPr>
                <w:noProof/>
                <w:webHidden/>
              </w:rPr>
              <w:instrText xml:space="preserve"> PAGEREF _Toc115768753 \h </w:instrText>
            </w:r>
            <w:r w:rsidR="007C0599">
              <w:rPr>
                <w:noProof/>
                <w:webHidden/>
              </w:rPr>
            </w:r>
            <w:r w:rsidR="007C0599">
              <w:rPr>
                <w:noProof/>
                <w:webHidden/>
              </w:rPr>
              <w:fldChar w:fldCharType="separate"/>
            </w:r>
            <w:r w:rsidR="007C0599">
              <w:rPr>
                <w:noProof/>
                <w:webHidden/>
              </w:rPr>
              <w:t>5</w:t>
            </w:r>
            <w:r w:rsidR="007C0599">
              <w:rPr>
                <w:noProof/>
                <w:webHidden/>
              </w:rPr>
              <w:fldChar w:fldCharType="end"/>
            </w:r>
          </w:hyperlink>
        </w:p>
        <w:p w14:paraId="61B0FA4F" w14:textId="7C8CF048" w:rsidR="007C0599" w:rsidRDefault="00000000">
          <w:pPr>
            <w:pStyle w:val="TOC1"/>
            <w:rPr>
              <w:rFonts w:asciiTheme="minorHAnsi" w:eastAsiaTheme="minorEastAsia" w:hAnsiTheme="minorHAnsi"/>
              <w:b w:val="0"/>
              <w:noProof/>
              <w:color w:val="auto"/>
              <w:lang w:val="en-AU" w:eastAsia="en-AU" w:bidi="ar-SA"/>
            </w:rPr>
          </w:pPr>
          <w:hyperlink w:anchor="_Toc115768754" w:history="1">
            <w:r w:rsidR="007C0599" w:rsidRPr="00612BC4">
              <w:rPr>
                <w:rStyle w:val="Hyperlink"/>
                <w:noProof/>
              </w:rPr>
              <w:t>Our approach to determining NCCs</w:t>
            </w:r>
            <w:r w:rsidR="007C0599">
              <w:rPr>
                <w:noProof/>
                <w:webHidden/>
              </w:rPr>
              <w:tab/>
            </w:r>
            <w:r w:rsidR="007C0599">
              <w:rPr>
                <w:noProof/>
                <w:webHidden/>
              </w:rPr>
              <w:fldChar w:fldCharType="begin"/>
            </w:r>
            <w:r w:rsidR="007C0599">
              <w:rPr>
                <w:noProof/>
                <w:webHidden/>
              </w:rPr>
              <w:instrText xml:space="preserve"> PAGEREF _Toc115768754 \h </w:instrText>
            </w:r>
            <w:r w:rsidR="007C0599">
              <w:rPr>
                <w:noProof/>
                <w:webHidden/>
              </w:rPr>
            </w:r>
            <w:r w:rsidR="007C0599">
              <w:rPr>
                <w:noProof/>
                <w:webHidden/>
              </w:rPr>
              <w:fldChar w:fldCharType="separate"/>
            </w:r>
            <w:r w:rsidR="007C0599">
              <w:rPr>
                <w:noProof/>
                <w:webHidden/>
              </w:rPr>
              <w:t>5</w:t>
            </w:r>
            <w:r w:rsidR="007C0599">
              <w:rPr>
                <w:noProof/>
                <w:webHidden/>
              </w:rPr>
              <w:fldChar w:fldCharType="end"/>
            </w:r>
          </w:hyperlink>
        </w:p>
        <w:p w14:paraId="5D7F96B1" w14:textId="3046126D" w:rsidR="007C0599" w:rsidRDefault="00000000">
          <w:pPr>
            <w:pStyle w:val="TOC1"/>
            <w:rPr>
              <w:rFonts w:asciiTheme="minorHAnsi" w:eastAsiaTheme="minorEastAsia" w:hAnsiTheme="minorHAnsi"/>
              <w:b w:val="0"/>
              <w:noProof/>
              <w:color w:val="auto"/>
              <w:lang w:val="en-AU" w:eastAsia="en-AU" w:bidi="ar-SA"/>
            </w:rPr>
          </w:pPr>
          <w:hyperlink w:anchor="_Toc115768755" w:history="1">
            <w:r w:rsidR="007C0599" w:rsidRPr="00612BC4">
              <w:rPr>
                <w:rStyle w:val="Hyperlink"/>
                <w:noProof/>
              </w:rPr>
              <w:t>5.</w:t>
            </w:r>
            <w:r w:rsidR="007C0599">
              <w:rPr>
                <w:rFonts w:asciiTheme="minorHAnsi" w:eastAsiaTheme="minorEastAsia" w:hAnsiTheme="minorHAnsi"/>
                <w:b w:val="0"/>
                <w:noProof/>
                <w:color w:val="auto"/>
                <w:lang w:val="en-AU" w:eastAsia="en-AU" w:bidi="ar-SA"/>
              </w:rPr>
              <w:tab/>
            </w:r>
            <w:r w:rsidR="007C0599" w:rsidRPr="00612BC4">
              <w:rPr>
                <w:rStyle w:val="Hyperlink"/>
                <w:noProof/>
              </w:rPr>
              <w:t>How forecast developer contributions have been derived</w:t>
            </w:r>
            <w:r w:rsidR="007C0599">
              <w:rPr>
                <w:noProof/>
                <w:webHidden/>
              </w:rPr>
              <w:tab/>
            </w:r>
            <w:r w:rsidR="007C0599">
              <w:rPr>
                <w:noProof/>
                <w:webHidden/>
              </w:rPr>
              <w:fldChar w:fldCharType="begin"/>
            </w:r>
            <w:r w:rsidR="007C0599">
              <w:rPr>
                <w:noProof/>
                <w:webHidden/>
              </w:rPr>
              <w:instrText xml:space="preserve"> PAGEREF _Toc115768755 \h </w:instrText>
            </w:r>
            <w:r w:rsidR="007C0599">
              <w:rPr>
                <w:noProof/>
                <w:webHidden/>
              </w:rPr>
            </w:r>
            <w:r w:rsidR="007C0599">
              <w:rPr>
                <w:noProof/>
                <w:webHidden/>
              </w:rPr>
              <w:fldChar w:fldCharType="separate"/>
            </w:r>
            <w:r w:rsidR="007C0599">
              <w:rPr>
                <w:noProof/>
                <w:webHidden/>
              </w:rPr>
              <w:t>7</w:t>
            </w:r>
            <w:r w:rsidR="007C0599">
              <w:rPr>
                <w:noProof/>
                <w:webHidden/>
              </w:rPr>
              <w:fldChar w:fldCharType="end"/>
            </w:r>
          </w:hyperlink>
        </w:p>
        <w:p w14:paraId="02C4F705" w14:textId="2FC76D25" w:rsidR="007C0599" w:rsidRDefault="00000000">
          <w:pPr>
            <w:pStyle w:val="TOC1"/>
            <w:rPr>
              <w:rFonts w:asciiTheme="minorHAnsi" w:eastAsiaTheme="minorEastAsia" w:hAnsiTheme="minorHAnsi"/>
              <w:b w:val="0"/>
              <w:noProof/>
              <w:color w:val="auto"/>
              <w:lang w:val="en-AU" w:eastAsia="en-AU" w:bidi="ar-SA"/>
            </w:rPr>
          </w:pPr>
          <w:hyperlink w:anchor="_Toc115768756" w:history="1">
            <w:r w:rsidR="007C0599" w:rsidRPr="00612BC4">
              <w:rPr>
                <w:rStyle w:val="Hyperlink"/>
                <w:noProof/>
              </w:rPr>
              <w:t>Assumptions about future connection growth</w:t>
            </w:r>
            <w:r w:rsidR="007C0599">
              <w:rPr>
                <w:noProof/>
                <w:webHidden/>
              </w:rPr>
              <w:tab/>
            </w:r>
            <w:r w:rsidR="007C0599">
              <w:rPr>
                <w:noProof/>
                <w:webHidden/>
              </w:rPr>
              <w:fldChar w:fldCharType="begin"/>
            </w:r>
            <w:r w:rsidR="007C0599">
              <w:rPr>
                <w:noProof/>
                <w:webHidden/>
              </w:rPr>
              <w:instrText xml:space="preserve"> PAGEREF _Toc115768756 \h </w:instrText>
            </w:r>
            <w:r w:rsidR="007C0599">
              <w:rPr>
                <w:noProof/>
                <w:webHidden/>
              </w:rPr>
            </w:r>
            <w:r w:rsidR="007C0599">
              <w:rPr>
                <w:noProof/>
                <w:webHidden/>
              </w:rPr>
              <w:fldChar w:fldCharType="separate"/>
            </w:r>
            <w:r w:rsidR="007C0599">
              <w:rPr>
                <w:noProof/>
                <w:webHidden/>
              </w:rPr>
              <w:t>7</w:t>
            </w:r>
            <w:r w:rsidR="007C0599">
              <w:rPr>
                <w:noProof/>
                <w:webHidden/>
              </w:rPr>
              <w:fldChar w:fldCharType="end"/>
            </w:r>
          </w:hyperlink>
        </w:p>
        <w:p w14:paraId="594531D0" w14:textId="44EE307F" w:rsidR="007C0599" w:rsidRDefault="00000000">
          <w:pPr>
            <w:pStyle w:val="TOC2"/>
            <w:rPr>
              <w:rFonts w:asciiTheme="minorHAnsi" w:eastAsiaTheme="minorEastAsia" w:hAnsiTheme="minorHAnsi"/>
              <w:noProof/>
              <w:color w:val="auto"/>
              <w:lang w:val="en-AU" w:eastAsia="en-AU" w:bidi="ar-SA"/>
            </w:rPr>
          </w:pPr>
          <w:hyperlink w:anchor="_Toc115768757" w:history="1">
            <w:r w:rsidR="007C0599" w:rsidRPr="00612BC4">
              <w:rPr>
                <w:rStyle w:val="Hyperlink"/>
                <w:noProof/>
              </w:rPr>
              <w:t>Opex</w:t>
            </w:r>
            <w:r w:rsidR="007C0599">
              <w:rPr>
                <w:noProof/>
                <w:webHidden/>
              </w:rPr>
              <w:tab/>
            </w:r>
            <w:r w:rsidR="007C0599">
              <w:rPr>
                <w:noProof/>
                <w:webHidden/>
              </w:rPr>
              <w:fldChar w:fldCharType="begin"/>
            </w:r>
            <w:r w:rsidR="007C0599">
              <w:rPr>
                <w:noProof/>
                <w:webHidden/>
              </w:rPr>
              <w:instrText xml:space="preserve"> PAGEREF _Toc115768757 \h </w:instrText>
            </w:r>
            <w:r w:rsidR="007C0599">
              <w:rPr>
                <w:noProof/>
                <w:webHidden/>
              </w:rPr>
            </w:r>
            <w:r w:rsidR="007C0599">
              <w:rPr>
                <w:noProof/>
                <w:webHidden/>
              </w:rPr>
              <w:fldChar w:fldCharType="separate"/>
            </w:r>
            <w:r w:rsidR="007C0599">
              <w:rPr>
                <w:noProof/>
                <w:webHidden/>
              </w:rPr>
              <w:t>10</w:t>
            </w:r>
            <w:r w:rsidR="007C0599">
              <w:rPr>
                <w:noProof/>
                <w:webHidden/>
              </w:rPr>
              <w:fldChar w:fldCharType="end"/>
            </w:r>
          </w:hyperlink>
        </w:p>
        <w:p w14:paraId="4E94DED7" w14:textId="2E85DEE3" w:rsidR="007C0599" w:rsidRDefault="00000000">
          <w:pPr>
            <w:pStyle w:val="TOC2"/>
            <w:rPr>
              <w:rFonts w:asciiTheme="minorHAnsi" w:eastAsiaTheme="minorEastAsia" w:hAnsiTheme="minorHAnsi"/>
              <w:noProof/>
              <w:color w:val="auto"/>
              <w:lang w:val="en-AU" w:eastAsia="en-AU" w:bidi="ar-SA"/>
            </w:rPr>
          </w:pPr>
          <w:hyperlink w:anchor="_Toc115768758" w:history="1">
            <w:r w:rsidR="007C0599" w:rsidRPr="00612BC4">
              <w:rPr>
                <w:rStyle w:val="Hyperlink"/>
                <w:noProof/>
              </w:rPr>
              <w:t>Capex</w:t>
            </w:r>
            <w:r w:rsidR="007C0599">
              <w:rPr>
                <w:noProof/>
                <w:webHidden/>
              </w:rPr>
              <w:tab/>
            </w:r>
            <w:r w:rsidR="007C0599">
              <w:rPr>
                <w:noProof/>
                <w:webHidden/>
              </w:rPr>
              <w:fldChar w:fldCharType="begin"/>
            </w:r>
            <w:r w:rsidR="007C0599">
              <w:rPr>
                <w:noProof/>
                <w:webHidden/>
              </w:rPr>
              <w:instrText xml:space="preserve"> PAGEREF _Toc115768758 \h </w:instrText>
            </w:r>
            <w:r w:rsidR="007C0599">
              <w:rPr>
                <w:noProof/>
                <w:webHidden/>
              </w:rPr>
            </w:r>
            <w:r w:rsidR="007C0599">
              <w:rPr>
                <w:noProof/>
                <w:webHidden/>
              </w:rPr>
              <w:fldChar w:fldCharType="separate"/>
            </w:r>
            <w:r w:rsidR="007C0599">
              <w:rPr>
                <w:noProof/>
                <w:webHidden/>
              </w:rPr>
              <w:t>10</w:t>
            </w:r>
            <w:r w:rsidR="007C0599">
              <w:rPr>
                <w:noProof/>
                <w:webHidden/>
              </w:rPr>
              <w:fldChar w:fldCharType="end"/>
            </w:r>
          </w:hyperlink>
        </w:p>
        <w:p w14:paraId="4035CCA0" w14:textId="61754E36" w:rsidR="007C0599" w:rsidRDefault="00000000">
          <w:pPr>
            <w:pStyle w:val="TOC2"/>
            <w:rPr>
              <w:rFonts w:asciiTheme="minorHAnsi" w:eastAsiaTheme="minorEastAsia" w:hAnsiTheme="minorHAnsi"/>
              <w:noProof/>
              <w:color w:val="auto"/>
              <w:lang w:val="en-AU" w:eastAsia="en-AU" w:bidi="ar-SA"/>
            </w:rPr>
          </w:pPr>
          <w:hyperlink w:anchor="_Toc115768759" w:history="1">
            <w:r w:rsidR="007C0599" w:rsidRPr="00612BC4">
              <w:rPr>
                <w:rStyle w:val="Hyperlink"/>
                <w:noProof/>
              </w:rPr>
              <w:t>Other Inputs</w:t>
            </w:r>
            <w:r w:rsidR="007C0599">
              <w:rPr>
                <w:noProof/>
                <w:webHidden/>
              </w:rPr>
              <w:tab/>
            </w:r>
            <w:r w:rsidR="007C0599">
              <w:rPr>
                <w:noProof/>
                <w:webHidden/>
              </w:rPr>
              <w:fldChar w:fldCharType="begin"/>
            </w:r>
            <w:r w:rsidR="007C0599">
              <w:rPr>
                <w:noProof/>
                <w:webHidden/>
              </w:rPr>
              <w:instrText xml:space="preserve"> PAGEREF _Toc115768759 \h </w:instrText>
            </w:r>
            <w:r w:rsidR="007C0599">
              <w:rPr>
                <w:noProof/>
                <w:webHidden/>
              </w:rPr>
            </w:r>
            <w:r w:rsidR="007C0599">
              <w:rPr>
                <w:noProof/>
                <w:webHidden/>
              </w:rPr>
              <w:fldChar w:fldCharType="separate"/>
            </w:r>
            <w:r w:rsidR="007C0599">
              <w:rPr>
                <w:noProof/>
                <w:webHidden/>
              </w:rPr>
              <w:t>13</w:t>
            </w:r>
            <w:r w:rsidR="007C0599">
              <w:rPr>
                <w:noProof/>
                <w:webHidden/>
              </w:rPr>
              <w:fldChar w:fldCharType="end"/>
            </w:r>
          </w:hyperlink>
        </w:p>
        <w:p w14:paraId="6AF7ECE4" w14:textId="0E9DEEB3" w:rsidR="007C0599" w:rsidRDefault="00000000">
          <w:pPr>
            <w:pStyle w:val="TOC1"/>
            <w:rPr>
              <w:rFonts w:asciiTheme="minorHAnsi" w:eastAsiaTheme="minorEastAsia" w:hAnsiTheme="minorHAnsi"/>
              <w:b w:val="0"/>
              <w:noProof/>
              <w:color w:val="auto"/>
              <w:lang w:val="en-AU" w:eastAsia="en-AU" w:bidi="ar-SA"/>
            </w:rPr>
          </w:pPr>
          <w:hyperlink w:anchor="_Toc115768760" w:history="1">
            <w:r w:rsidR="007C0599" w:rsidRPr="00612BC4">
              <w:rPr>
                <w:rStyle w:val="Hyperlink"/>
                <w:noProof/>
              </w:rPr>
              <w:t>6.</w:t>
            </w:r>
            <w:r w:rsidR="007C0599">
              <w:rPr>
                <w:rFonts w:asciiTheme="minorHAnsi" w:eastAsiaTheme="minorEastAsia" w:hAnsiTheme="minorHAnsi"/>
                <w:b w:val="0"/>
                <w:noProof/>
                <w:color w:val="auto"/>
                <w:lang w:val="en-AU" w:eastAsia="en-AU" w:bidi="ar-SA"/>
              </w:rPr>
              <w:tab/>
            </w:r>
            <w:r w:rsidR="007C0599" w:rsidRPr="00612BC4">
              <w:rPr>
                <w:rStyle w:val="Hyperlink"/>
                <w:noProof/>
              </w:rPr>
              <w:t>Proposed NCC charges and how they will be applied</w:t>
            </w:r>
            <w:r w:rsidR="007C0599">
              <w:rPr>
                <w:noProof/>
                <w:webHidden/>
              </w:rPr>
              <w:tab/>
            </w:r>
            <w:r w:rsidR="007C0599">
              <w:rPr>
                <w:noProof/>
                <w:webHidden/>
              </w:rPr>
              <w:fldChar w:fldCharType="begin"/>
            </w:r>
            <w:r w:rsidR="007C0599">
              <w:rPr>
                <w:noProof/>
                <w:webHidden/>
              </w:rPr>
              <w:instrText xml:space="preserve"> PAGEREF _Toc115768760 \h </w:instrText>
            </w:r>
            <w:r w:rsidR="007C0599">
              <w:rPr>
                <w:noProof/>
                <w:webHidden/>
              </w:rPr>
            </w:r>
            <w:r w:rsidR="007C0599">
              <w:rPr>
                <w:noProof/>
                <w:webHidden/>
              </w:rPr>
              <w:fldChar w:fldCharType="separate"/>
            </w:r>
            <w:r w:rsidR="007C0599">
              <w:rPr>
                <w:noProof/>
                <w:webHidden/>
              </w:rPr>
              <w:t>16</w:t>
            </w:r>
            <w:r w:rsidR="007C0599">
              <w:rPr>
                <w:noProof/>
                <w:webHidden/>
              </w:rPr>
              <w:fldChar w:fldCharType="end"/>
            </w:r>
          </w:hyperlink>
        </w:p>
        <w:p w14:paraId="4447CDB4" w14:textId="195C6905" w:rsidR="007C0599" w:rsidRDefault="00000000">
          <w:pPr>
            <w:pStyle w:val="TOC2"/>
            <w:rPr>
              <w:rFonts w:asciiTheme="minorHAnsi" w:eastAsiaTheme="minorEastAsia" w:hAnsiTheme="minorHAnsi"/>
              <w:noProof/>
              <w:color w:val="auto"/>
              <w:lang w:val="en-AU" w:eastAsia="en-AU" w:bidi="ar-SA"/>
            </w:rPr>
          </w:pPr>
          <w:hyperlink w:anchor="_Toc115768761" w:history="1">
            <w:r w:rsidR="007C0599" w:rsidRPr="00612BC4">
              <w:rPr>
                <w:rStyle w:val="Hyperlink"/>
                <w:noProof/>
              </w:rPr>
              <w:t>Standard NCC</w:t>
            </w:r>
            <w:r w:rsidR="007C0599">
              <w:rPr>
                <w:noProof/>
                <w:webHidden/>
              </w:rPr>
              <w:tab/>
            </w:r>
            <w:r w:rsidR="007C0599">
              <w:rPr>
                <w:noProof/>
                <w:webHidden/>
              </w:rPr>
              <w:fldChar w:fldCharType="begin"/>
            </w:r>
            <w:r w:rsidR="007C0599">
              <w:rPr>
                <w:noProof/>
                <w:webHidden/>
              </w:rPr>
              <w:instrText xml:space="preserve"> PAGEREF _Toc115768761 \h </w:instrText>
            </w:r>
            <w:r w:rsidR="007C0599">
              <w:rPr>
                <w:noProof/>
                <w:webHidden/>
              </w:rPr>
            </w:r>
            <w:r w:rsidR="007C0599">
              <w:rPr>
                <w:noProof/>
                <w:webHidden/>
              </w:rPr>
              <w:fldChar w:fldCharType="separate"/>
            </w:r>
            <w:r w:rsidR="007C0599">
              <w:rPr>
                <w:noProof/>
                <w:webHidden/>
              </w:rPr>
              <w:t>16</w:t>
            </w:r>
            <w:r w:rsidR="007C0599">
              <w:rPr>
                <w:noProof/>
                <w:webHidden/>
              </w:rPr>
              <w:fldChar w:fldCharType="end"/>
            </w:r>
          </w:hyperlink>
        </w:p>
        <w:p w14:paraId="11AB5B5E" w14:textId="256293DC" w:rsidR="007C0599" w:rsidRDefault="00000000">
          <w:pPr>
            <w:pStyle w:val="TOC2"/>
            <w:rPr>
              <w:rFonts w:asciiTheme="minorHAnsi" w:eastAsiaTheme="minorEastAsia" w:hAnsiTheme="minorHAnsi"/>
              <w:noProof/>
              <w:color w:val="auto"/>
              <w:lang w:val="en-AU" w:eastAsia="en-AU" w:bidi="ar-SA"/>
            </w:rPr>
          </w:pPr>
          <w:hyperlink w:anchor="_Toc115768762" w:history="1">
            <w:r w:rsidR="007C0599" w:rsidRPr="00612BC4">
              <w:rPr>
                <w:rStyle w:val="Hyperlink"/>
                <w:noProof/>
              </w:rPr>
              <w:t>Fyansford</w:t>
            </w:r>
            <w:r w:rsidR="007C0599">
              <w:rPr>
                <w:noProof/>
                <w:webHidden/>
              </w:rPr>
              <w:tab/>
            </w:r>
            <w:r w:rsidR="007C0599">
              <w:rPr>
                <w:noProof/>
                <w:webHidden/>
              </w:rPr>
              <w:fldChar w:fldCharType="begin"/>
            </w:r>
            <w:r w:rsidR="007C0599">
              <w:rPr>
                <w:noProof/>
                <w:webHidden/>
              </w:rPr>
              <w:instrText xml:space="preserve"> PAGEREF _Toc115768762 \h </w:instrText>
            </w:r>
            <w:r w:rsidR="007C0599">
              <w:rPr>
                <w:noProof/>
                <w:webHidden/>
              </w:rPr>
            </w:r>
            <w:r w:rsidR="007C0599">
              <w:rPr>
                <w:noProof/>
                <w:webHidden/>
              </w:rPr>
              <w:fldChar w:fldCharType="separate"/>
            </w:r>
            <w:r w:rsidR="007C0599">
              <w:rPr>
                <w:noProof/>
                <w:webHidden/>
              </w:rPr>
              <w:t>17</w:t>
            </w:r>
            <w:r w:rsidR="007C0599">
              <w:rPr>
                <w:noProof/>
                <w:webHidden/>
              </w:rPr>
              <w:fldChar w:fldCharType="end"/>
            </w:r>
          </w:hyperlink>
        </w:p>
        <w:p w14:paraId="75DCEAFB" w14:textId="426D4309" w:rsidR="007C0599" w:rsidRDefault="00000000">
          <w:pPr>
            <w:pStyle w:val="TOC1"/>
            <w:rPr>
              <w:rFonts w:asciiTheme="minorHAnsi" w:eastAsiaTheme="minorEastAsia" w:hAnsiTheme="minorHAnsi"/>
              <w:b w:val="0"/>
              <w:noProof/>
              <w:color w:val="auto"/>
              <w:lang w:val="en-AU" w:eastAsia="en-AU" w:bidi="ar-SA"/>
            </w:rPr>
          </w:pPr>
          <w:hyperlink w:anchor="_Toc115768763" w:history="1">
            <w:r w:rsidR="007C0599" w:rsidRPr="00612BC4">
              <w:rPr>
                <w:rStyle w:val="Hyperlink"/>
                <w:noProof/>
              </w:rPr>
              <w:t>7.</w:t>
            </w:r>
            <w:r w:rsidR="007C0599">
              <w:rPr>
                <w:rFonts w:asciiTheme="minorHAnsi" w:eastAsiaTheme="minorEastAsia" w:hAnsiTheme="minorHAnsi"/>
                <w:b w:val="0"/>
                <w:noProof/>
                <w:color w:val="auto"/>
                <w:lang w:val="en-AU" w:eastAsia="en-AU" w:bidi="ar-SA"/>
              </w:rPr>
              <w:tab/>
            </w:r>
            <w:r w:rsidR="007C0599" w:rsidRPr="00612BC4">
              <w:rPr>
                <w:rStyle w:val="Hyperlink"/>
                <w:noProof/>
              </w:rPr>
              <w:t>How consultation with developers has informed proposed charges</w:t>
            </w:r>
            <w:r w:rsidR="007C0599">
              <w:rPr>
                <w:noProof/>
                <w:webHidden/>
              </w:rPr>
              <w:tab/>
            </w:r>
            <w:r w:rsidR="007C0599">
              <w:rPr>
                <w:noProof/>
                <w:webHidden/>
              </w:rPr>
              <w:fldChar w:fldCharType="begin"/>
            </w:r>
            <w:r w:rsidR="007C0599">
              <w:rPr>
                <w:noProof/>
                <w:webHidden/>
              </w:rPr>
              <w:instrText xml:space="preserve"> PAGEREF _Toc115768763 \h </w:instrText>
            </w:r>
            <w:r w:rsidR="007C0599">
              <w:rPr>
                <w:noProof/>
                <w:webHidden/>
              </w:rPr>
            </w:r>
            <w:r w:rsidR="007C0599">
              <w:rPr>
                <w:noProof/>
                <w:webHidden/>
              </w:rPr>
              <w:fldChar w:fldCharType="separate"/>
            </w:r>
            <w:r w:rsidR="007C0599">
              <w:rPr>
                <w:noProof/>
                <w:webHidden/>
              </w:rPr>
              <w:t>18</w:t>
            </w:r>
            <w:r w:rsidR="007C0599">
              <w:rPr>
                <w:noProof/>
                <w:webHidden/>
              </w:rPr>
              <w:fldChar w:fldCharType="end"/>
            </w:r>
          </w:hyperlink>
        </w:p>
        <w:p w14:paraId="517E1C4B" w14:textId="0456167D" w:rsidR="0006451B" w:rsidRPr="00273ADA" w:rsidRDefault="004B3C73" w:rsidP="00C113EE">
          <w:r>
            <w:rPr>
              <w:b/>
            </w:rPr>
            <w:fldChar w:fldCharType="end"/>
          </w:r>
        </w:p>
      </w:sdtContent>
    </w:sdt>
    <w:p w14:paraId="48172B39" w14:textId="77777777" w:rsidR="004B3C73" w:rsidRDefault="004B3C73" w:rsidP="00C113EE">
      <w:bookmarkStart w:id="5" w:name="_Toc484779548"/>
      <w:bookmarkStart w:id="6" w:name="_Toc484779549"/>
      <w:bookmarkStart w:id="7" w:name="_Toc484779552"/>
      <w:bookmarkStart w:id="8" w:name="_Toc484779553"/>
      <w:bookmarkStart w:id="9" w:name="_Toc484779554"/>
      <w:bookmarkStart w:id="10" w:name="_Toc484779562"/>
      <w:bookmarkStart w:id="11" w:name="_Toc484779566"/>
      <w:bookmarkStart w:id="12" w:name="_Toc484779570"/>
      <w:bookmarkStart w:id="13" w:name="_Toc484779574"/>
      <w:bookmarkStart w:id="14" w:name="_Toc484779581"/>
      <w:bookmarkStart w:id="15" w:name="_Toc484779585"/>
      <w:bookmarkStart w:id="16" w:name="_Toc484779589"/>
      <w:bookmarkStart w:id="17" w:name="_Toc484779593"/>
      <w:bookmarkStart w:id="18" w:name="_Toc484779597"/>
      <w:bookmarkStart w:id="19" w:name="_Toc484779601"/>
      <w:bookmarkStart w:id="20" w:name="_Toc484779605"/>
      <w:bookmarkStart w:id="21" w:name="_Toc484779609"/>
      <w:bookmarkStart w:id="22" w:name="_Toc48477961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5942D0" w14:textId="77777777" w:rsidR="004B3C73" w:rsidRDefault="004B3C73" w:rsidP="00C113EE"/>
    <w:p w14:paraId="0349F0B7" w14:textId="77777777" w:rsidR="004B3C73" w:rsidRDefault="004B3C73" w:rsidP="00C113EE"/>
    <w:p w14:paraId="46F4E5E0" w14:textId="77777777" w:rsidR="004B3C73" w:rsidRDefault="004B3C73" w:rsidP="00C113EE"/>
    <w:p w14:paraId="5BAA9CDC" w14:textId="5660499D" w:rsidR="006E5DA6" w:rsidRPr="007C0599" w:rsidRDefault="006E5DA6" w:rsidP="00C113EE">
      <w:pPr>
        <w:rPr>
          <w:b/>
        </w:rPr>
      </w:pPr>
      <w:r w:rsidRPr="007C0599">
        <w:rPr>
          <w:b/>
        </w:rPr>
        <w:t>Content authors</w:t>
      </w:r>
    </w:p>
    <w:p w14:paraId="2FEF2727" w14:textId="0FFA13B0" w:rsidR="006E5DA6" w:rsidRPr="004549FE" w:rsidRDefault="00494E44" w:rsidP="00C113EE">
      <w:pPr>
        <w:rPr>
          <w:shd w:val="pct15" w:color="auto" w:fill="FFFFFF"/>
        </w:rPr>
      </w:pPr>
      <w:r w:rsidRPr="004549FE">
        <w:rPr>
          <w:shd w:val="pct15" w:color="auto" w:fill="FFFFFF"/>
        </w:rPr>
        <w:t>________________</w:t>
      </w:r>
    </w:p>
    <w:p w14:paraId="34DB28A9" w14:textId="51C14B05" w:rsidR="009702B2" w:rsidRPr="00072BDD" w:rsidRDefault="009702B2" w:rsidP="008A4EE2">
      <w:pPr>
        <w:pStyle w:val="Title"/>
      </w:pPr>
      <w:bookmarkStart w:id="23" w:name="_Toc484784518"/>
      <w:bookmarkStart w:id="24" w:name="_Toc484787587"/>
      <w:bookmarkStart w:id="25" w:name="_Toc484787605"/>
      <w:bookmarkStart w:id="26" w:name="_Toc484787634"/>
      <w:bookmarkStart w:id="27" w:name="_Toc484788078"/>
      <w:bookmarkStart w:id="28" w:name="_Toc484790188"/>
      <w:bookmarkStart w:id="29" w:name="_Toc484792813"/>
      <w:bookmarkStart w:id="30" w:name="_Toc484793552"/>
      <w:bookmarkStart w:id="31" w:name="_Toc484793800"/>
      <w:bookmarkStart w:id="32" w:name="_Toc484779614"/>
      <w:bookmarkStart w:id="33" w:name="_Toc484784519"/>
      <w:bookmarkStart w:id="34" w:name="_Toc484787588"/>
      <w:bookmarkStart w:id="35" w:name="_Toc484787606"/>
      <w:bookmarkStart w:id="36" w:name="_Toc484787635"/>
      <w:bookmarkStart w:id="37" w:name="_Toc484788079"/>
      <w:bookmarkStart w:id="38" w:name="_Toc484790189"/>
      <w:bookmarkStart w:id="39" w:name="_Toc484792814"/>
      <w:bookmarkStart w:id="40" w:name="_Toc484793553"/>
      <w:bookmarkStart w:id="41" w:name="_Toc484793801"/>
      <w:bookmarkStart w:id="42" w:name="_Toc11576875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72BDD">
        <w:lastRenderedPageBreak/>
        <w:t>Executive summary</w:t>
      </w:r>
      <w:bookmarkEnd w:id="42"/>
    </w:p>
    <w:p w14:paraId="7F67EDA2" w14:textId="6CA5E662" w:rsidR="009702B2" w:rsidRDefault="00557A57" w:rsidP="00C113EE">
      <w:r>
        <w:t>Barwon Water proposes to set NCC tariffs as follows (in 2022</w:t>
      </w:r>
      <w:r w:rsidR="005E4733">
        <w:t>/23</w:t>
      </w:r>
      <w:r>
        <w:t xml:space="preserve"> dollars):</w:t>
      </w:r>
    </w:p>
    <w:p w14:paraId="33842A2C" w14:textId="1042EF45" w:rsidR="00AF1DA3" w:rsidRPr="00A43B04" w:rsidRDefault="00AF1DA3" w:rsidP="00A43B04">
      <w:pPr>
        <w:pStyle w:val="Caption"/>
        <w:keepNext/>
        <w:spacing w:before="120" w:after="120"/>
        <w:rPr>
          <w:color w:val="414042"/>
        </w:rPr>
      </w:pPr>
      <w:r w:rsidRPr="00A43B04">
        <w:rPr>
          <w:color w:val="414042"/>
        </w:rPr>
        <w:t xml:space="preserve">Table </w:t>
      </w:r>
      <w:r w:rsidR="001E509C" w:rsidRPr="00A43B04">
        <w:rPr>
          <w:color w:val="414042"/>
        </w:rPr>
        <w:fldChar w:fldCharType="begin"/>
      </w:r>
      <w:r w:rsidR="001E509C" w:rsidRPr="00A43B04">
        <w:rPr>
          <w:color w:val="414042"/>
        </w:rPr>
        <w:instrText xml:space="preserve"> SEQ Table \* ARABIC </w:instrText>
      </w:r>
      <w:r w:rsidR="001E509C" w:rsidRPr="00A43B04">
        <w:rPr>
          <w:color w:val="414042"/>
        </w:rPr>
        <w:fldChar w:fldCharType="separate"/>
      </w:r>
      <w:r w:rsidR="00504C53" w:rsidRPr="00A43B04">
        <w:rPr>
          <w:color w:val="414042"/>
        </w:rPr>
        <w:t>1</w:t>
      </w:r>
      <w:r w:rsidR="001E509C" w:rsidRPr="00A43B04">
        <w:rPr>
          <w:color w:val="414042"/>
        </w:rPr>
        <w:fldChar w:fldCharType="end"/>
      </w:r>
      <w:r w:rsidRPr="00A43B04">
        <w:rPr>
          <w:color w:val="414042"/>
        </w:rPr>
        <w:t xml:space="preserve"> NCC tariffs</w:t>
      </w:r>
    </w:p>
    <w:tbl>
      <w:tblPr>
        <w:tblW w:w="8504" w:type="dxa"/>
        <w:tblInd w:w="108"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A0" w:firstRow="1" w:lastRow="0" w:firstColumn="1" w:lastColumn="0" w:noHBand="0" w:noVBand="1"/>
      </w:tblPr>
      <w:tblGrid>
        <w:gridCol w:w="2694"/>
        <w:gridCol w:w="1417"/>
        <w:gridCol w:w="1417"/>
        <w:gridCol w:w="1417"/>
        <w:gridCol w:w="1559"/>
      </w:tblGrid>
      <w:tr w:rsidR="00D15106" w:rsidRPr="00273ADA" w14:paraId="65AE4629" w14:textId="77777777" w:rsidTr="007C0599">
        <w:trPr>
          <w:cantSplit/>
          <w:trHeight w:val="243"/>
          <w:tblHeader/>
        </w:trPr>
        <w:tc>
          <w:tcPr>
            <w:tcW w:w="2694" w:type="dxa"/>
            <w:shd w:val="clear" w:color="auto" w:fill="008998"/>
          </w:tcPr>
          <w:p w14:paraId="6A5F3BBC" w14:textId="77777777" w:rsidR="00D15106" w:rsidRPr="007C0599" w:rsidRDefault="00D15106" w:rsidP="00C113EE">
            <w:pPr>
              <w:rPr>
                <w:b/>
                <w:color w:val="EEECE1" w:themeColor="background2"/>
                <w:lang w:eastAsia="en-AU"/>
              </w:rPr>
            </w:pPr>
          </w:p>
        </w:tc>
        <w:tc>
          <w:tcPr>
            <w:tcW w:w="2834" w:type="dxa"/>
            <w:gridSpan w:val="2"/>
            <w:shd w:val="clear" w:color="auto" w:fill="008998"/>
          </w:tcPr>
          <w:p w14:paraId="49268F5D" w14:textId="35D52064" w:rsidR="00D15106" w:rsidRPr="007C0599" w:rsidRDefault="00D15106" w:rsidP="00C113EE">
            <w:pPr>
              <w:rPr>
                <w:b/>
                <w:color w:val="EEECE1" w:themeColor="background2"/>
                <w:lang w:eastAsia="en-AU"/>
              </w:rPr>
            </w:pPr>
            <w:r w:rsidRPr="007C0599">
              <w:rPr>
                <w:b/>
                <w:color w:val="EEECE1" w:themeColor="background2"/>
                <w:lang w:eastAsia="en-AU"/>
              </w:rPr>
              <w:t>2018-23</w:t>
            </w:r>
          </w:p>
        </w:tc>
        <w:tc>
          <w:tcPr>
            <w:tcW w:w="2976" w:type="dxa"/>
            <w:gridSpan w:val="2"/>
            <w:shd w:val="clear" w:color="auto" w:fill="008998"/>
          </w:tcPr>
          <w:p w14:paraId="6BE90694" w14:textId="4DCDC5FB" w:rsidR="00D15106" w:rsidRPr="007C0599" w:rsidRDefault="00D15106" w:rsidP="00C113EE">
            <w:pPr>
              <w:rPr>
                <w:b/>
                <w:color w:val="EEECE1" w:themeColor="background2"/>
                <w:lang w:eastAsia="en-AU"/>
              </w:rPr>
            </w:pPr>
            <w:r w:rsidRPr="007C0599">
              <w:rPr>
                <w:b/>
                <w:color w:val="EEECE1" w:themeColor="background2"/>
                <w:lang w:eastAsia="en-AU"/>
              </w:rPr>
              <w:t>2023-28</w:t>
            </w:r>
          </w:p>
        </w:tc>
      </w:tr>
      <w:tr w:rsidR="00D15106" w:rsidRPr="00273ADA" w14:paraId="12E700A7" w14:textId="77777777" w:rsidTr="007C0599">
        <w:trPr>
          <w:cantSplit/>
          <w:trHeight w:val="243"/>
          <w:tblHeader/>
        </w:trPr>
        <w:tc>
          <w:tcPr>
            <w:tcW w:w="2694" w:type="dxa"/>
            <w:shd w:val="clear" w:color="auto" w:fill="008998"/>
            <w:hideMark/>
          </w:tcPr>
          <w:p w14:paraId="695A04D1" w14:textId="7C54BC10" w:rsidR="00D15106" w:rsidRPr="007C0599" w:rsidRDefault="00D15106" w:rsidP="00C113EE">
            <w:pPr>
              <w:rPr>
                <w:b/>
                <w:color w:val="EEECE1" w:themeColor="background2"/>
                <w:lang w:eastAsia="en-AU"/>
              </w:rPr>
            </w:pPr>
            <w:r w:rsidRPr="007C0599">
              <w:rPr>
                <w:b/>
                <w:color w:val="EEECE1" w:themeColor="background2"/>
                <w:lang w:eastAsia="en-AU"/>
              </w:rPr>
              <w:t>Service</w:t>
            </w:r>
          </w:p>
        </w:tc>
        <w:tc>
          <w:tcPr>
            <w:tcW w:w="1417" w:type="dxa"/>
            <w:shd w:val="clear" w:color="auto" w:fill="008998"/>
          </w:tcPr>
          <w:p w14:paraId="1B711223" w14:textId="753065DB" w:rsidR="00D15106" w:rsidRPr="007C0599" w:rsidRDefault="00D15106" w:rsidP="00C113EE">
            <w:pPr>
              <w:rPr>
                <w:b/>
                <w:color w:val="EEECE1" w:themeColor="background2"/>
                <w:lang w:eastAsia="en-AU"/>
              </w:rPr>
            </w:pPr>
            <w:r w:rsidRPr="007C0599">
              <w:rPr>
                <w:b/>
                <w:color w:val="EEECE1" w:themeColor="background2"/>
                <w:lang w:eastAsia="en-AU"/>
              </w:rPr>
              <w:t>Greenfield</w:t>
            </w:r>
          </w:p>
        </w:tc>
        <w:tc>
          <w:tcPr>
            <w:tcW w:w="1417" w:type="dxa"/>
            <w:shd w:val="clear" w:color="auto" w:fill="008998"/>
          </w:tcPr>
          <w:p w14:paraId="079D2022" w14:textId="2520862E" w:rsidR="00D15106" w:rsidRPr="007C0599" w:rsidRDefault="00D15106" w:rsidP="00C113EE">
            <w:pPr>
              <w:rPr>
                <w:b/>
                <w:color w:val="EEECE1" w:themeColor="background2"/>
                <w:lang w:eastAsia="en-AU"/>
              </w:rPr>
            </w:pPr>
            <w:r w:rsidRPr="007C0599">
              <w:rPr>
                <w:b/>
                <w:color w:val="EEECE1" w:themeColor="background2"/>
                <w:lang w:eastAsia="en-AU"/>
              </w:rPr>
              <w:t>Infill</w:t>
            </w:r>
          </w:p>
        </w:tc>
        <w:tc>
          <w:tcPr>
            <w:tcW w:w="1417" w:type="dxa"/>
            <w:shd w:val="clear" w:color="auto" w:fill="008998"/>
          </w:tcPr>
          <w:p w14:paraId="1F8EFC28" w14:textId="6756CA55" w:rsidR="00D15106" w:rsidRPr="007C0599" w:rsidRDefault="00D15106" w:rsidP="00C113EE">
            <w:pPr>
              <w:rPr>
                <w:b/>
                <w:color w:val="EEECE1" w:themeColor="background2"/>
                <w:lang w:eastAsia="en-AU"/>
              </w:rPr>
            </w:pPr>
            <w:r w:rsidRPr="007C0599">
              <w:rPr>
                <w:b/>
                <w:color w:val="EEECE1" w:themeColor="background2"/>
                <w:lang w:eastAsia="en-AU"/>
              </w:rPr>
              <w:t>Greenfield</w:t>
            </w:r>
          </w:p>
        </w:tc>
        <w:tc>
          <w:tcPr>
            <w:tcW w:w="1559" w:type="dxa"/>
            <w:shd w:val="clear" w:color="auto" w:fill="008998"/>
          </w:tcPr>
          <w:p w14:paraId="4B6C402E" w14:textId="77777777" w:rsidR="00D15106" w:rsidRPr="007C0599" w:rsidRDefault="00D15106" w:rsidP="00C113EE">
            <w:pPr>
              <w:rPr>
                <w:b/>
                <w:color w:val="EEECE1" w:themeColor="background2"/>
                <w:lang w:eastAsia="en-AU"/>
              </w:rPr>
            </w:pPr>
            <w:r w:rsidRPr="007C0599">
              <w:rPr>
                <w:b/>
                <w:color w:val="EEECE1" w:themeColor="background2"/>
                <w:lang w:eastAsia="en-AU"/>
              </w:rPr>
              <w:t>Infill</w:t>
            </w:r>
          </w:p>
        </w:tc>
      </w:tr>
      <w:tr w:rsidR="00D15106" w:rsidRPr="00273ADA" w14:paraId="44BD5836" w14:textId="77777777" w:rsidTr="00951711">
        <w:trPr>
          <w:cantSplit/>
          <w:trHeight w:val="315"/>
        </w:trPr>
        <w:tc>
          <w:tcPr>
            <w:tcW w:w="2694" w:type="dxa"/>
            <w:shd w:val="clear" w:color="auto" w:fill="auto"/>
            <w:vAlign w:val="center"/>
          </w:tcPr>
          <w:p w14:paraId="4310B546" w14:textId="64D8B8B3" w:rsidR="00D15106" w:rsidRPr="00273ADA" w:rsidRDefault="00D15106" w:rsidP="00C113EE">
            <w:r w:rsidRPr="00273ADA">
              <w:t>Water</w:t>
            </w:r>
            <w:r>
              <w:t xml:space="preserve"> (inc. RW)</w:t>
            </w:r>
          </w:p>
        </w:tc>
        <w:tc>
          <w:tcPr>
            <w:tcW w:w="1417" w:type="dxa"/>
          </w:tcPr>
          <w:p w14:paraId="0FC407E6" w14:textId="310FC90E" w:rsidR="00D15106" w:rsidRPr="00273ADA" w:rsidRDefault="00D15106" w:rsidP="00C113EE">
            <w:r>
              <w:t>3,348</w:t>
            </w:r>
          </w:p>
        </w:tc>
        <w:tc>
          <w:tcPr>
            <w:tcW w:w="1417" w:type="dxa"/>
          </w:tcPr>
          <w:p w14:paraId="71A93FD4" w14:textId="1984C1C2" w:rsidR="00D15106" w:rsidRPr="00273ADA" w:rsidRDefault="00D15106" w:rsidP="00C113EE">
            <w:r>
              <w:t>675</w:t>
            </w:r>
          </w:p>
        </w:tc>
        <w:tc>
          <w:tcPr>
            <w:tcW w:w="1417" w:type="dxa"/>
          </w:tcPr>
          <w:p w14:paraId="090C6926" w14:textId="4BAEE735" w:rsidR="00D15106" w:rsidRPr="00273ADA" w:rsidRDefault="00D15106" w:rsidP="00C113EE">
            <w:r>
              <w:t>3,</w:t>
            </w:r>
            <w:r w:rsidR="00A82AF4">
              <w:t>680</w:t>
            </w:r>
          </w:p>
        </w:tc>
        <w:tc>
          <w:tcPr>
            <w:tcW w:w="1559" w:type="dxa"/>
          </w:tcPr>
          <w:p w14:paraId="3C2A7AFF" w14:textId="0FE8A89C" w:rsidR="00D15106" w:rsidRPr="00273ADA" w:rsidRDefault="00A82AF4" w:rsidP="00C113EE">
            <w:r>
              <w:t>736</w:t>
            </w:r>
          </w:p>
        </w:tc>
      </w:tr>
      <w:tr w:rsidR="00D15106" w:rsidRPr="00273ADA" w14:paraId="35ACF2FC" w14:textId="77777777" w:rsidTr="00951711">
        <w:trPr>
          <w:cantSplit/>
          <w:trHeight w:val="315"/>
        </w:trPr>
        <w:tc>
          <w:tcPr>
            <w:tcW w:w="2694" w:type="dxa"/>
            <w:shd w:val="clear" w:color="auto" w:fill="auto"/>
            <w:vAlign w:val="center"/>
          </w:tcPr>
          <w:p w14:paraId="54BA53F9" w14:textId="6E6ACE70" w:rsidR="00D15106" w:rsidRPr="00273ADA" w:rsidRDefault="00D15106" w:rsidP="00C113EE">
            <w:r>
              <w:t>Sewer</w:t>
            </w:r>
          </w:p>
        </w:tc>
        <w:tc>
          <w:tcPr>
            <w:tcW w:w="1417" w:type="dxa"/>
          </w:tcPr>
          <w:p w14:paraId="4CFAD5D9" w14:textId="539680EC" w:rsidR="00D15106" w:rsidRDefault="00D15106" w:rsidP="00C113EE">
            <w:r>
              <w:t>-</w:t>
            </w:r>
          </w:p>
        </w:tc>
        <w:tc>
          <w:tcPr>
            <w:tcW w:w="1417" w:type="dxa"/>
          </w:tcPr>
          <w:p w14:paraId="5107E928" w14:textId="7179E894" w:rsidR="00D15106" w:rsidRDefault="00D15106" w:rsidP="00C113EE">
            <w:r>
              <w:t>-</w:t>
            </w:r>
          </w:p>
        </w:tc>
        <w:tc>
          <w:tcPr>
            <w:tcW w:w="1417" w:type="dxa"/>
          </w:tcPr>
          <w:p w14:paraId="0B346D19" w14:textId="6C60C965" w:rsidR="00D15106" w:rsidRPr="00273ADA" w:rsidRDefault="00A82AF4" w:rsidP="00C113EE">
            <w:r>
              <w:t>53</w:t>
            </w:r>
            <w:r w:rsidR="00890B6F">
              <w:t>9</w:t>
            </w:r>
          </w:p>
        </w:tc>
        <w:tc>
          <w:tcPr>
            <w:tcW w:w="1559" w:type="dxa"/>
          </w:tcPr>
          <w:p w14:paraId="754A124C" w14:textId="581B25A5" w:rsidR="00D15106" w:rsidRPr="00273ADA" w:rsidRDefault="00A82AF4" w:rsidP="00C113EE">
            <w:r>
              <w:t>108</w:t>
            </w:r>
          </w:p>
        </w:tc>
      </w:tr>
      <w:tr w:rsidR="00D15106" w:rsidRPr="00273ADA" w14:paraId="64892BA5" w14:textId="77777777" w:rsidTr="00951711">
        <w:trPr>
          <w:cantSplit/>
          <w:trHeight w:val="315"/>
        </w:trPr>
        <w:tc>
          <w:tcPr>
            <w:tcW w:w="2694" w:type="dxa"/>
            <w:shd w:val="clear" w:color="auto" w:fill="auto"/>
            <w:vAlign w:val="center"/>
          </w:tcPr>
          <w:p w14:paraId="4AB132BD" w14:textId="77777777" w:rsidR="00D15106" w:rsidRPr="00273ADA" w:rsidRDefault="00D15106" w:rsidP="00C113EE">
            <w:r w:rsidRPr="00273ADA">
              <w:t>Total per residential lot</w:t>
            </w:r>
          </w:p>
        </w:tc>
        <w:tc>
          <w:tcPr>
            <w:tcW w:w="1417" w:type="dxa"/>
          </w:tcPr>
          <w:p w14:paraId="41C23B6A" w14:textId="648FB229" w:rsidR="00D15106" w:rsidRPr="00027A2E" w:rsidRDefault="00D15106" w:rsidP="00C113EE">
            <w:r w:rsidRPr="00027A2E">
              <w:t>3,348</w:t>
            </w:r>
          </w:p>
        </w:tc>
        <w:tc>
          <w:tcPr>
            <w:tcW w:w="1417" w:type="dxa"/>
          </w:tcPr>
          <w:p w14:paraId="0D04773E" w14:textId="6E9D78E8" w:rsidR="00D15106" w:rsidRPr="00027A2E" w:rsidRDefault="00D15106" w:rsidP="00C113EE">
            <w:r w:rsidRPr="00027A2E">
              <w:t>675</w:t>
            </w:r>
          </w:p>
        </w:tc>
        <w:tc>
          <w:tcPr>
            <w:tcW w:w="1417" w:type="dxa"/>
          </w:tcPr>
          <w:p w14:paraId="595A4C5A" w14:textId="154CC0ED" w:rsidR="00D15106" w:rsidRPr="00273ADA" w:rsidRDefault="00D15106" w:rsidP="00C113EE">
            <w:r>
              <w:t>4,219</w:t>
            </w:r>
          </w:p>
        </w:tc>
        <w:tc>
          <w:tcPr>
            <w:tcW w:w="1559" w:type="dxa"/>
          </w:tcPr>
          <w:p w14:paraId="78300051" w14:textId="3FF2F59A" w:rsidR="00D15106" w:rsidRPr="00273ADA" w:rsidRDefault="00D15106" w:rsidP="00C113EE">
            <w:r>
              <w:t>844</w:t>
            </w:r>
          </w:p>
        </w:tc>
      </w:tr>
      <w:tr w:rsidR="00D15106" w:rsidRPr="00273ADA" w14:paraId="5D8BE09A" w14:textId="77777777" w:rsidTr="00951711">
        <w:trPr>
          <w:cantSplit/>
          <w:trHeight w:val="315"/>
        </w:trPr>
        <w:tc>
          <w:tcPr>
            <w:tcW w:w="2694" w:type="dxa"/>
            <w:shd w:val="clear" w:color="auto" w:fill="auto"/>
            <w:vAlign w:val="center"/>
          </w:tcPr>
          <w:p w14:paraId="0589706B" w14:textId="77777777" w:rsidR="00D15106" w:rsidRPr="00273ADA" w:rsidRDefault="00D15106" w:rsidP="00C113EE"/>
        </w:tc>
        <w:tc>
          <w:tcPr>
            <w:tcW w:w="1417" w:type="dxa"/>
          </w:tcPr>
          <w:p w14:paraId="45ACB98E" w14:textId="77777777" w:rsidR="00D15106" w:rsidRPr="00273ADA" w:rsidRDefault="00D15106" w:rsidP="00C113EE"/>
        </w:tc>
        <w:tc>
          <w:tcPr>
            <w:tcW w:w="1417" w:type="dxa"/>
          </w:tcPr>
          <w:p w14:paraId="05B8488B" w14:textId="1389CC48" w:rsidR="00D15106" w:rsidRPr="00273ADA" w:rsidRDefault="00D15106" w:rsidP="00C113EE"/>
        </w:tc>
        <w:tc>
          <w:tcPr>
            <w:tcW w:w="1417" w:type="dxa"/>
          </w:tcPr>
          <w:p w14:paraId="04AA5CB1" w14:textId="7F5F4A74" w:rsidR="00D15106" w:rsidRPr="00273ADA" w:rsidRDefault="00D15106" w:rsidP="00C113EE"/>
        </w:tc>
        <w:tc>
          <w:tcPr>
            <w:tcW w:w="1559" w:type="dxa"/>
          </w:tcPr>
          <w:p w14:paraId="16B29F09" w14:textId="77777777" w:rsidR="00D15106" w:rsidRPr="00273ADA" w:rsidRDefault="00D15106" w:rsidP="00C113EE"/>
        </w:tc>
      </w:tr>
      <w:tr w:rsidR="00D15106" w:rsidRPr="00273ADA" w14:paraId="04BE7D42" w14:textId="77777777" w:rsidTr="00951711">
        <w:trPr>
          <w:cantSplit/>
          <w:trHeight w:val="315"/>
        </w:trPr>
        <w:tc>
          <w:tcPr>
            <w:tcW w:w="2694" w:type="dxa"/>
            <w:shd w:val="clear" w:color="auto" w:fill="auto"/>
            <w:vAlign w:val="center"/>
          </w:tcPr>
          <w:p w14:paraId="7F7DE6FF" w14:textId="2E2040DD" w:rsidR="00D15106" w:rsidRPr="006866AF" w:rsidRDefault="00D15106" w:rsidP="00C113EE">
            <w:r>
              <w:t xml:space="preserve">Fyansford </w:t>
            </w:r>
            <w:r w:rsidRPr="006866AF">
              <w:t>Water (inc. RW)</w:t>
            </w:r>
          </w:p>
        </w:tc>
        <w:tc>
          <w:tcPr>
            <w:tcW w:w="1417" w:type="dxa"/>
          </w:tcPr>
          <w:p w14:paraId="468D316D" w14:textId="090674F3" w:rsidR="00D15106" w:rsidRPr="006866AF" w:rsidRDefault="00D15106" w:rsidP="00C113EE">
            <w:r>
              <w:t>2,396</w:t>
            </w:r>
          </w:p>
        </w:tc>
        <w:tc>
          <w:tcPr>
            <w:tcW w:w="1417" w:type="dxa"/>
          </w:tcPr>
          <w:p w14:paraId="330937B7" w14:textId="0E5D21C1" w:rsidR="00D15106" w:rsidRPr="006866AF" w:rsidRDefault="00D15106" w:rsidP="00C113EE">
            <w:r>
              <w:t>-</w:t>
            </w:r>
          </w:p>
        </w:tc>
        <w:tc>
          <w:tcPr>
            <w:tcW w:w="1417" w:type="dxa"/>
          </w:tcPr>
          <w:p w14:paraId="1C13CB5D" w14:textId="2ED73FB1" w:rsidR="00D15106" w:rsidRPr="006866AF" w:rsidRDefault="00D15106" w:rsidP="00C113EE">
            <w:r>
              <w:t>2</w:t>
            </w:r>
            <w:r w:rsidR="00A97D77">
              <w:t>,</w:t>
            </w:r>
            <w:r>
              <w:t>396</w:t>
            </w:r>
          </w:p>
        </w:tc>
        <w:tc>
          <w:tcPr>
            <w:tcW w:w="1559" w:type="dxa"/>
          </w:tcPr>
          <w:p w14:paraId="3E6D5E11" w14:textId="4759E3B5" w:rsidR="00D15106" w:rsidRPr="006866AF" w:rsidRDefault="00D15106" w:rsidP="00C113EE">
            <w:r>
              <w:t>-</w:t>
            </w:r>
          </w:p>
        </w:tc>
      </w:tr>
      <w:tr w:rsidR="00D15106" w:rsidRPr="00273ADA" w14:paraId="72F47E58" w14:textId="77777777" w:rsidTr="00951711">
        <w:trPr>
          <w:cantSplit/>
          <w:trHeight w:val="315"/>
        </w:trPr>
        <w:tc>
          <w:tcPr>
            <w:tcW w:w="2694" w:type="dxa"/>
            <w:shd w:val="clear" w:color="auto" w:fill="auto"/>
            <w:vAlign w:val="center"/>
          </w:tcPr>
          <w:p w14:paraId="1AD8009B" w14:textId="0D9F0740" w:rsidR="00D15106" w:rsidRPr="006866AF" w:rsidRDefault="00D15106" w:rsidP="00C113EE">
            <w:r>
              <w:t xml:space="preserve">Fyansford </w:t>
            </w:r>
            <w:r w:rsidRPr="006866AF">
              <w:t>Sewer</w:t>
            </w:r>
          </w:p>
        </w:tc>
        <w:tc>
          <w:tcPr>
            <w:tcW w:w="1417" w:type="dxa"/>
          </w:tcPr>
          <w:p w14:paraId="7B38A0AA" w14:textId="1D038679" w:rsidR="00D15106" w:rsidRPr="006866AF" w:rsidRDefault="00D15106" w:rsidP="00C113EE">
            <w:r>
              <w:t>1,007</w:t>
            </w:r>
          </w:p>
        </w:tc>
        <w:tc>
          <w:tcPr>
            <w:tcW w:w="1417" w:type="dxa"/>
          </w:tcPr>
          <w:p w14:paraId="5CBEEF68" w14:textId="73CECE24" w:rsidR="00D15106" w:rsidRPr="006866AF" w:rsidRDefault="00D15106" w:rsidP="00C113EE">
            <w:r>
              <w:t>-</w:t>
            </w:r>
          </w:p>
        </w:tc>
        <w:tc>
          <w:tcPr>
            <w:tcW w:w="1417" w:type="dxa"/>
          </w:tcPr>
          <w:p w14:paraId="6B9BF38D" w14:textId="41EF08EC" w:rsidR="00D15106" w:rsidRPr="006866AF" w:rsidRDefault="00D15106" w:rsidP="00C113EE">
            <w:r>
              <w:t>1,007</w:t>
            </w:r>
          </w:p>
        </w:tc>
        <w:tc>
          <w:tcPr>
            <w:tcW w:w="1559" w:type="dxa"/>
          </w:tcPr>
          <w:p w14:paraId="58DB5FBB" w14:textId="223E5844" w:rsidR="00D15106" w:rsidRPr="006866AF" w:rsidRDefault="00D15106" w:rsidP="00C113EE">
            <w:r>
              <w:t>-</w:t>
            </w:r>
          </w:p>
        </w:tc>
      </w:tr>
      <w:tr w:rsidR="00D15106" w:rsidRPr="00273ADA" w14:paraId="7D1907EA" w14:textId="77777777" w:rsidTr="00951711">
        <w:trPr>
          <w:cantSplit/>
          <w:trHeight w:val="315"/>
        </w:trPr>
        <w:tc>
          <w:tcPr>
            <w:tcW w:w="2694" w:type="dxa"/>
            <w:shd w:val="clear" w:color="auto" w:fill="auto"/>
            <w:vAlign w:val="center"/>
          </w:tcPr>
          <w:p w14:paraId="289FE803" w14:textId="77777777" w:rsidR="00D15106" w:rsidRPr="00273ADA" w:rsidRDefault="00D15106" w:rsidP="00C113EE">
            <w:r w:rsidRPr="00273ADA">
              <w:t>Total per residential lot</w:t>
            </w:r>
          </w:p>
        </w:tc>
        <w:tc>
          <w:tcPr>
            <w:tcW w:w="1417" w:type="dxa"/>
          </w:tcPr>
          <w:p w14:paraId="1D3872C9" w14:textId="022DE907" w:rsidR="00D15106" w:rsidRPr="00027A2E" w:rsidRDefault="00D15106" w:rsidP="00C113EE">
            <w:r w:rsidRPr="00027A2E">
              <w:t>3,403</w:t>
            </w:r>
          </w:p>
        </w:tc>
        <w:tc>
          <w:tcPr>
            <w:tcW w:w="1417" w:type="dxa"/>
          </w:tcPr>
          <w:p w14:paraId="49018065" w14:textId="2C95689B" w:rsidR="00D15106" w:rsidRPr="00273ADA" w:rsidRDefault="00D15106" w:rsidP="00C113EE">
            <w:r>
              <w:t>-</w:t>
            </w:r>
          </w:p>
        </w:tc>
        <w:tc>
          <w:tcPr>
            <w:tcW w:w="1417" w:type="dxa"/>
          </w:tcPr>
          <w:p w14:paraId="19948040" w14:textId="4A907B62" w:rsidR="00D15106" w:rsidRPr="00273ADA" w:rsidRDefault="00D15106" w:rsidP="00C113EE">
            <w:r>
              <w:t>3</w:t>
            </w:r>
            <w:r w:rsidR="00A97D77">
              <w:t>,</w:t>
            </w:r>
            <w:r>
              <w:t>403</w:t>
            </w:r>
          </w:p>
        </w:tc>
        <w:tc>
          <w:tcPr>
            <w:tcW w:w="1559" w:type="dxa"/>
          </w:tcPr>
          <w:p w14:paraId="7108E3D3" w14:textId="123E8EE7" w:rsidR="00D15106" w:rsidRPr="00273ADA" w:rsidRDefault="00D15106" w:rsidP="00C113EE">
            <w:r>
              <w:t>-</w:t>
            </w:r>
          </w:p>
        </w:tc>
      </w:tr>
    </w:tbl>
    <w:p w14:paraId="1CFD38C3" w14:textId="77777777" w:rsidR="00557A57" w:rsidRPr="00FB74FE" w:rsidRDefault="00557A57" w:rsidP="00C113EE"/>
    <w:p w14:paraId="6A000724" w14:textId="77777777" w:rsidR="00A43B04" w:rsidRDefault="00A43B04" w:rsidP="008A4EE2">
      <w:pPr>
        <w:pStyle w:val="Title"/>
        <w:sectPr w:rsidR="00A43B04" w:rsidSect="00710521">
          <w:headerReference w:type="default" r:id="rId16"/>
          <w:footerReference w:type="default" r:id="rId17"/>
          <w:pgSz w:w="11906" w:h="16838"/>
          <w:pgMar w:top="1440" w:right="1440" w:bottom="1440" w:left="1440" w:header="708" w:footer="708" w:gutter="0"/>
          <w:cols w:space="708"/>
          <w:docGrid w:linePitch="360"/>
        </w:sectPr>
      </w:pPr>
    </w:p>
    <w:p w14:paraId="03A2155F" w14:textId="0935A4CD" w:rsidR="0006451B" w:rsidRPr="00A43B04" w:rsidRDefault="0006451B" w:rsidP="008A4EE2">
      <w:pPr>
        <w:pStyle w:val="Title"/>
      </w:pPr>
      <w:bookmarkStart w:id="43" w:name="_Toc115768751"/>
      <w:r w:rsidRPr="00A43B04">
        <w:lastRenderedPageBreak/>
        <w:t>Purpose</w:t>
      </w:r>
      <w:r w:rsidR="00532E3D" w:rsidRPr="00A43B04">
        <w:t xml:space="preserve"> and scope</w:t>
      </w:r>
      <w:bookmarkEnd w:id="43"/>
      <w:r w:rsidR="00532E3D" w:rsidRPr="00A43B04">
        <w:t xml:space="preserve"> </w:t>
      </w:r>
    </w:p>
    <w:p w14:paraId="7C1A90AF" w14:textId="01BD2A52" w:rsidR="0006451B" w:rsidRPr="00C113EE" w:rsidRDefault="0006451B" w:rsidP="00C113EE">
      <w:r w:rsidRPr="00C113EE">
        <w:t xml:space="preserve">The purpose of this supporting </w:t>
      </w:r>
      <w:r w:rsidR="00B23936" w:rsidRPr="00C113EE">
        <w:t>paper</w:t>
      </w:r>
      <w:r w:rsidRPr="00C113EE">
        <w:t xml:space="preserve"> is to</w:t>
      </w:r>
      <w:r w:rsidR="00272DA2" w:rsidRPr="00C113EE">
        <w:t xml:space="preserve"> </w:t>
      </w:r>
      <w:r w:rsidR="00FD4320" w:rsidRPr="00C113EE">
        <w:t xml:space="preserve">describe and </w:t>
      </w:r>
      <w:r w:rsidR="00272DA2" w:rsidRPr="00C113EE">
        <w:t>explain Barwon Water</w:t>
      </w:r>
      <w:r w:rsidR="00FD4320" w:rsidRPr="00C113EE">
        <w:t xml:space="preserve">’s </w:t>
      </w:r>
      <w:r w:rsidR="00B23936" w:rsidRPr="00C113EE">
        <w:t xml:space="preserve">proposed </w:t>
      </w:r>
      <w:r w:rsidR="00A97D77" w:rsidRPr="00C113EE">
        <w:t>new customer contribution (</w:t>
      </w:r>
      <w:r w:rsidR="00260E70" w:rsidRPr="00C113EE">
        <w:t>NCC</w:t>
      </w:r>
      <w:r w:rsidR="00A97D77" w:rsidRPr="00C113EE">
        <w:t>)</w:t>
      </w:r>
      <w:r w:rsidR="00260E70" w:rsidRPr="00C113EE">
        <w:t xml:space="preserve"> </w:t>
      </w:r>
      <w:r w:rsidR="00806AE5" w:rsidRPr="00C113EE">
        <w:t>prices and tariff structures</w:t>
      </w:r>
      <w:r w:rsidR="00B23936" w:rsidRPr="00C113EE">
        <w:t xml:space="preserve"> for the next regulatory period.</w:t>
      </w:r>
    </w:p>
    <w:p w14:paraId="66337B2E" w14:textId="0BA5E214" w:rsidR="007F2118" w:rsidRDefault="009316D9" w:rsidP="00C113EE">
      <w:r w:rsidRPr="00027A2E">
        <w:t>It</w:t>
      </w:r>
      <w:r w:rsidR="005E7F6C" w:rsidRPr="00027A2E">
        <w:t xml:space="preserve"> i</w:t>
      </w:r>
      <w:r w:rsidRPr="00027A2E">
        <w:t xml:space="preserve">s </w:t>
      </w:r>
      <w:r w:rsidR="005E7F6C" w:rsidRPr="00027A2E">
        <w:t xml:space="preserve">consistent with and complemented by </w:t>
      </w:r>
      <w:r w:rsidRPr="00027A2E">
        <w:t xml:space="preserve">the NCC framework document </w:t>
      </w:r>
      <w:r w:rsidR="00AF5B79" w:rsidRPr="00027A2E">
        <w:t xml:space="preserve">to be </w:t>
      </w:r>
      <w:r w:rsidRPr="00027A2E">
        <w:t>published on our website</w:t>
      </w:r>
      <w:r w:rsidR="00AF5B79" w:rsidRPr="00027A2E">
        <w:t xml:space="preserve"> following the 23-28 Pricing Determination by ESC</w:t>
      </w:r>
      <w:r w:rsidRPr="00027A2E">
        <w:t>.</w:t>
      </w:r>
      <w:r w:rsidRPr="00AF5B79">
        <w:t xml:space="preserve"> </w:t>
      </w:r>
      <w:r w:rsidR="00AF5B79" w:rsidRPr="00027A2E" w:rsidDel="00AF5B79">
        <w:t xml:space="preserve"> </w:t>
      </w:r>
      <w:r>
        <w:t>[</w:t>
      </w:r>
      <w:r w:rsidR="00AF5B79" w:rsidRPr="004549FE">
        <w:t>2023-28 NCC Framework (A19784556)</w:t>
      </w:r>
      <w:r>
        <w:t>]</w:t>
      </w:r>
    </w:p>
    <w:p w14:paraId="77A50245" w14:textId="77777777" w:rsidR="007F2118" w:rsidRDefault="007F2118" w:rsidP="00C113EE"/>
    <w:p w14:paraId="0CD71400" w14:textId="0CE9927A" w:rsidR="00A04AA7" w:rsidRPr="00A43B04" w:rsidRDefault="00A04AA7" w:rsidP="00A43B04">
      <w:pPr>
        <w:pStyle w:val="Heading2"/>
        <w:rPr>
          <w:szCs w:val="24"/>
        </w:rPr>
      </w:pPr>
      <w:bookmarkStart w:id="44" w:name="_Toc115768752"/>
      <w:r w:rsidRPr="00A43B04">
        <w:rPr>
          <w:szCs w:val="24"/>
        </w:rPr>
        <w:t>How this document aligns with ESC Guidance</w:t>
      </w:r>
      <w:bookmarkEnd w:id="44"/>
    </w:p>
    <w:p w14:paraId="6E354AB1" w14:textId="1276099A" w:rsidR="00A04AA7" w:rsidRDefault="00A04AA7" w:rsidP="00C113EE">
      <w:r>
        <w:t xml:space="preserve">Barwon Water has applied the NCC pricing principles </w:t>
      </w:r>
      <w:r w:rsidR="00DC77D1">
        <w:t>in determining proposed NCCs for the next regulatory period. This document accompanies the NCC model that we have provided as part of our submission, and describes the data sources and input assumptions that are included in the model. This includes:</w:t>
      </w:r>
    </w:p>
    <w:p w14:paraId="71F883A1" w14:textId="35CCF857" w:rsidR="00DC77D1" w:rsidRDefault="00DC77D1" w:rsidP="00C113EE">
      <w:pPr>
        <w:pStyle w:val="ListParagraph"/>
        <w:numPr>
          <w:ilvl w:val="0"/>
          <w:numId w:val="8"/>
        </w:numPr>
      </w:pPr>
      <w:r>
        <w:t>details about how the forecast developer contributions have been derived</w:t>
      </w:r>
    </w:p>
    <w:p w14:paraId="135FFB26" w14:textId="62F5F114" w:rsidR="00DC77D1" w:rsidRDefault="00DC77D1" w:rsidP="00C113EE">
      <w:pPr>
        <w:pStyle w:val="ListParagraph"/>
        <w:numPr>
          <w:ilvl w:val="0"/>
          <w:numId w:val="8"/>
        </w:numPr>
      </w:pPr>
      <w:r>
        <w:t>how past outcomes for contributions have been considered</w:t>
      </w:r>
    </w:p>
    <w:p w14:paraId="081EF320" w14:textId="1FE3C3B4" w:rsidR="00DC77D1" w:rsidRDefault="00DC77D1" w:rsidP="00C113EE">
      <w:pPr>
        <w:pStyle w:val="ListParagraph"/>
        <w:numPr>
          <w:ilvl w:val="0"/>
          <w:numId w:val="8"/>
        </w:numPr>
      </w:pPr>
      <w:r>
        <w:t>assumptions about future growth</w:t>
      </w:r>
    </w:p>
    <w:p w14:paraId="7FD7922D" w14:textId="14942240" w:rsidR="00DC77D1" w:rsidRDefault="00DC77D1" w:rsidP="00C113EE">
      <w:pPr>
        <w:pStyle w:val="ListParagraph"/>
        <w:numPr>
          <w:ilvl w:val="0"/>
          <w:numId w:val="8"/>
        </w:numPr>
      </w:pPr>
      <w:r>
        <w:t>financial parameters that are consistent w</w:t>
      </w:r>
      <w:r w:rsidR="00E56BC4">
        <w:t>ith the financial model template.</w:t>
      </w:r>
    </w:p>
    <w:p w14:paraId="387BD87C" w14:textId="6173D760" w:rsidR="004B42AB" w:rsidRDefault="004B42AB" w:rsidP="00C113EE"/>
    <w:p w14:paraId="341A6C9F" w14:textId="77777777" w:rsidR="004B42AB" w:rsidRPr="004B42AB" w:rsidRDefault="004B42AB" w:rsidP="00C113EE"/>
    <w:p w14:paraId="7E8483F8" w14:textId="77777777" w:rsidR="00A43B04" w:rsidRDefault="00A43B04" w:rsidP="008A4EE2">
      <w:pPr>
        <w:pStyle w:val="Title"/>
        <w:sectPr w:rsidR="00A43B04" w:rsidSect="00710521">
          <w:pgSz w:w="11906" w:h="16838"/>
          <w:pgMar w:top="1440" w:right="1440" w:bottom="1440" w:left="1440" w:header="708" w:footer="708" w:gutter="0"/>
          <w:cols w:space="708"/>
          <w:docGrid w:linePitch="360"/>
        </w:sectPr>
      </w:pPr>
    </w:p>
    <w:p w14:paraId="02CCB5A2" w14:textId="797AFE8E" w:rsidR="00E56BC4" w:rsidRDefault="00E56BC4" w:rsidP="008A4EE2">
      <w:pPr>
        <w:pStyle w:val="Title"/>
      </w:pPr>
      <w:bookmarkStart w:id="45" w:name="_Toc115768753"/>
      <w:r>
        <w:lastRenderedPageBreak/>
        <w:t>Reviewing the approach to determining NCCs</w:t>
      </w:r>
      <w:bookmarkEnd w:id="45"/>
    </w:p>
    <w:p w14:paraId="0CF7AB4B" w14:textId="77777777" w:rsidR="00A07AA3" w:rsidRPr="00A43B04" w:rsidRDefault="00A07AA3" w:rsidP="00A43B04">
      <w:pPr>
        <w:pStyle w:val="Heading1"/>
        <w:rPr>
          <w:sz w:val="24"/>
          <w:szCs w:val="24"/>
        </w:rPr>
      </w:pPr>
      <w:bookmarkStart w:id="46" w:name="_Toc115768754"/>
      <w:r w:rsidRPr="00A43B04">
        <w:rPr>
          <w:sz w:val="24"/>
          <w:szCs w:val="24"/>
        </w:rPr>
        <w:t>Our approach to determining NCCs</w:t>
      </w:r>
      <w:bookmarkEnd w:id="46"/>
    </w:p>
    <w:p w14:paraId="14730D07" w14:textId="77777777" w:rsidR="00A07AA3" w:rsidRDefault="00A07AA3" w:rsidP="00A43B04">
      <w:pPr>
        <w:pStyle w:val="Heading3"/>
      </w:pPr>
      <w:r>
        <w:t>Model</w:t>
      </w:r>
    </w:p>
    <w:p w14:paraId="1CC78289" w14:textId="1A718AF7" w:rsidR="00A07AA3" w:rsidRDefault="00A07AA3" w:rsidP="00C113EE">
      <w:r>
        <w:t xml:space="preserve">The model used to calculate proposed NCCs is the same as that used for the previous price determination. The model is a version of the Capital Contribution Model published on the ESC’s webpage for NCC’s guiding resources, </w:t>
      </w:r>
      <w:r w:rsidR="00A97D77">
        <w:t xml:space="preserve">applied over a </w:t>
      </w:r>
      <w:r>
        <w:t>30-year</w:t>
      </w:r>
      <w:r w:rsidR="00A97D77">
        <w:t xml:space="preserve"> period</w:t>
      </w:r>
      <w:r>
        <w:t>.</w:t>
      </w:r>
    </w:p>
    <w:p w14:paraId="2CE79611" w14:textId="4672FDAA" w:rsidR="00A07AA3" w:rsidRDefault="00A07AA3" w:rsidP="00C113EE">
      <w:r>
        <w:t>At a hig</w:t>
      </w:r>
      <w:r w:rsidR="00027A2E">
        <w:t>h level, the model uses 30 year</w:t>
      </w:r>
      <w:r>
        <w:t xml:space="preserve"> </w:t>
      </w:r>
      <w:r w:rsidR="00027A2E" w:rsidRPr="00027A2E">
        <w:t>period</w:t>
      </w:r>
      <w:r w:rsidR="00027A2E">
        <w:t xml:space="preserve"> </w:t>
      </w:r>
      <w:r>
        <w:t>of foreca</w:t>
      </w:r>
      <w:r w:rsidR="00FE039F">
        <w:t xml:space="preserve">st </w:t>
      </w:r>
      <w:r w:rsidR="00027A2E" w:rsidRPr="00027A2E">
        <w:t>capital and operating costs associated with servicing growth</w:t>
      </w:r>
      <w:r w:rsidR="00027A2E">
        <w:t>, and future revenue</w:t>
      </w:r>
      <w:r w:rsidR="00027A2E" w:rsidRPr="00027A2E">
        <w:t xml:space="preserve"> from the new customers forecast to connect over that period</w:t>
      </w:r>
      <w:r w:rsidR="00A97D77">
        <w:t xml:space="preserve">. Barwon Water received </w:t>
      </w:r>
      <w:r w:rsidR="00FE039F">
        <w:t>a</w:t>
      </w:r>
      <w:r>
        <w:t>dvice from Utilities Regulation Advisory (URA) recommend</w:t>
      </w:r>
      <w:r w:rsidR="00A97D77">
        <w:t>ing</w:t>
      </w:r>
      <w:r>
        <w:t xml:space="preserve"> this approach. </w:t>
      </w:r>
      <w:r w:rsidR="00FE039F">
        <w:t>T</w:t>
      </w:r>
      <w:r>
        <w:t>h</w:t>
      </w:r>
      <w:r w:rsidR="00027A2E">
        <w:t xml:space="preserve">is is the only difference </w:t>
      </w:r>
      <w:r w:rsidR="00A67D11">
        <w:t>with the</w:t>
      </w:r>
      <w:r w:rsidR="00A97D77">
        <w:t xml:space="preserve"> approach adopted for the</w:t>
      </w:r>
      <w:r>
        <w:t xml:space="preserve"> </w:t>
      </w:r>
      <w:r w:rsidR="00E928EA">
        <w:t>current</w:t>
      </w:r>
      <w:r>
        <w:t xml:space="preserve"> price </w:t>
      </w:r>
      <w:r w:rsidR="00A97D77">
        <w:t>period (</w:t>
      </w:r>
      <w:r w:rsidR="00C90C09">
        <w:t>2018-23</w:t>
      </w:r>
      <w:r w:rsidR="00A97D77">
        <w:t>)</w:t>
      </w:r>
      <w:r w:rsidR="00FE039F">
        <w:t xml:space="preserve"> </w:t>
      </w:r>
      <w:r w:rsidR="00027A2E">
        <w:t xml:space="preserve">which </w:t>
      </w:r>
      <w:r w:rsidR="00A97D77">
        <w:t>included</w:t>
      </w:r>
      <w:r w:rsidR="005E4CD9">
        <w:t xml:space="preserve"> 10 year</w:t>
      </w:r>
      <w:r w:rsidR="00A67D11">
        <w:t>s of</w:t>
      </w:r>
      <w:r w:rsidR="00A97D77">
        <w:t xml:space="preserve"> </w:t>
      </w:r>
      <w:r>
        <w:t xml:space="preserve">legacy </w:t>
      </w:r>
      <w:r w:rsidR="00A67D11">
        <w:t xml:space="preserve">growth related </w:t>
      </w:r>
      <w:r>
        <w:t>capex, 10 year</w:t>
      </w:r>
      <w:r w:rsidR="00A67D11">
        <w:t>s of</w:t>
      </w:r>
      <w:r w:rsidR="005E4CD9">
        <w:t xml:space="preserve"> forecast </w:t>
      </w:r>
      <w:r>
        <w:t>capex</w:t>
      </w:r>
      <w:r w:rsidR="00027A2E">
        <w:t>,</w:t>
      </w:r>
      <w:r>
        <w:t xml:space="preserve"> and </w:t>
      </w:r>
      <w:r w:rsidR="00027A2E">
        <w:t xml:space="preserve">a </w:t>
      </w:r>
      <w:r>
        <w:t>growth</w:t>
      </w:r>
      <w:r w:rsidR="00E928EA">
        <w:t xml:space="preserve"> forecast</w:t>
      </w:r>
      <w:r>
        <w:t xml:space="preserve"> for 10 years that taper</w:t>
      </w:r>
      <w:r w:rsidR="00E928EA">
        <w:t>s</w:t>
      </w:r>
      <w:r>
        <w:t xml:space="preserve"> off </w:t>
      </w:r>
      <w:r w:rsidR="00FE039F">
        <w:t>five percent</w:t>
      </w:r>
      <w:r>
        <w:t xml:space="preserve"> every year after year 10. </w:t>
      </w:r>
    </w:p>
    <w:p w14:paraId="4B74CAEA" w14:textId="17F9162D" w:rsidR="00A07AA3" w:rsidRPr="00A64E1A" w:rsidRDefault="005E4CD9" w:rsidP="00C113EE">
      <w:pPr>
        <w:rPr>
          <w:lang w:eastAsia="en-AU"/>
        </w:rPr>
      </w:pPr>
      <w:r>
        <w:t>It is proposed that the new NCC prices will apply on the 1</w:t>
      </w:r>
      <w:r w:rsidRPr="00027A2E">
        <w:rPr>
          <w:vertAlign w:val="superscript"/>
        </w:rPr>
        <w:t>st</w:t>
      </w:r>
      <w:r>
        <w:t xml:space="preserve"> July 2023 and remain flat thereafter.</w:t>
      </w:r>
    </w:p>
    <w:p w14:paraId="7007DBC0" w14:textId="77777777" w:rsidR="00A07AA3" w:rsidRPr="00A43B04" w:rsidRDefault="00A07AA3" w:rsidP="00A43B04">
      <w:pPr>
        <w:pStyle w:val="Heading3"/>
      </w:pPr>
      <w:r w:rsidRPr="00A43B04">
        <w:t>Iterations and Industry Review</w:t>
      </w:r>
    </w:p>
    <w:p w14:paraId="78863D59" w14:textId="4FC8A0E3" w:rsidR="00A07AA3" w:rsidRDefault="00A07AA3" w:rsidP="00C113EE">
      <w:r>
        <w:t xml:space="preserve">Barwon Water has been involved with </w:t>
      </w:r>
      <w:r w:rsidR="00A67D11">
        <w:t>a</w:t>
      </w:r>
      <w:r>
        <w:t xml:space="preserve"> broader VicWater working group with URA on NCC modelling. </w:t>
      </w:r>
      <w:r w:rsidR="00B0347D">
        <w:t>Pre</w:t>
      </w:r>
      <w:r w:rsidR="005E4CD9">
        <w:t>liminary modelling utilising URA’s ‘average incremental cost’ approach was undertaken, however this resulted in very high NCC’s. Given the status of the URA approach in the context of timeframes for our price submission</w:t>
      </w:r>
      <w:r w:rsidR="00A67D11">
        <w:t>,</w:t>
      </w:r>
      <w:r w:rsidR="005E4CD9">
        <w:t xml:space="preserve"> and given the very high NCC price that would result from this approach, Barwon Water has </w:t>
      </w:r>
      <w:r>
        <w:t>opt</w:t>
      </w:r>
      <w:r w:rsidR="004F29A9">
        <w:t>ed</w:t>
      </w:r>
      <w:r>
        <w:t xml:space="preserve"> in favour of </w:t>
      </w:r>
      <w:r w:rsidR="004F29A9">
        <w:t xml:space="preserve">retaining </w:t>
      </w:r>
      <w:r>
        <w:t>the ESC</w:t>
      </w:r>
      <w:r w:rsidR="004F29A9">
        <w:t>’</w:t>
      </w:r>
      <w:r>
        <w:t xml:space="preserve">s model. </w:t>
      </w:r>
    </w:p>
    <w:p w14:paraId="50EC6F0D" w14:textId="56793106" w:rsidR="00A07AA3" w:rsidRDefault="00A07AA3" w:rsidP="00C113EE">
      <w:r>
        <w:t xml:space="preserve">The team </w:t>
      </w:r>
      <w:r w:rsidR="004F29A9">
        <w:t xml:space="preserve">has </w:t>
      </w:r>
      <w:r>
        <w:t xml:space="preserve">modelled numerous iterations </w:t>
      </w:r>
      <w:r w:rsidR="00B0347D">
        <w:t>using the ESC’s</w:t>
      </w:r>
      <w:r w:rsidR="00DD7E32">
        <w:t xml:space="preserve"> </w:t>
      </w:r>
      <w:r>
        <w:t>NCC model. These include variations of:</w:t>
      </w:r>
    </w:p>
    <w:p w14:paraId="196D18F8" w14:textId="299F146D" w:rsidR="00A07AA3" w:rsidRDefault="00FE039F" w:rsidP="00C113EE">
      <w:pPr>
        <w:pStyle w:val="ListParagraph"/>
        <w:numPr>
          <w:ilvl w:val="0"/>
          <w:numId w:val="5"/>
        </w:numPr>
      </w:pPr>
      <w:r>
        <w:t>10, 15, 20 &amp; 30 year</w:t>
      </w:r>
      <w:r w:rsidR="004F29A9">
        <w:t xml:space="preserve"> analysis period</w:t>
      </w:r>
    </w:p>
    <w:p w14:paraId="0963B45E" w14:textId="2368FA03" w:rsidR="00A07AA3" w:rsidRDefault="00A07AA3" w:rsidP="00C113EE">
      <w:pPr>
        <w:pStyle w:val="ListParagraph"/>
        <w:numPr>
          <w:ilvl w:val="0"/>
          <w:numId w:val="5"/>
        </w:numPr>
      </w:pPr>
      <w:r>
        <w:t>10</w:t>
      </w:r>
      <w:r w:rsidR="00FE039F">
        <w:t xml:space="preserve">, </w:t>
      </w:r>
      <w:r>
        <w:t>15</w:t>
      </w:r>
      <w:r w:rsidR="00FE039F">
        <w:t xml:space="preserve">, </w:t>
      </w:r>
      <w:r>
        <w:t>20</w:t>
      </w:r>
      <w:r w:rsidR="00FE039F">
        <w:t xml:space="preserve"> &amp; </w:t>
      </w:r>
      <w:r>
        <w:t>30 year capex/growth</w:t>
      </w:r>
    </w:p>
    <w:p w14:paraId="510B3E8F" w14:textId="77777777" w:rsidR="00A07AA3" w:rsidRDefault="00A07AA3" w:rsidP="00C113EE">
      <w:pPr>
        <w:pStyle w:val="ListParagraph"/>
        <w:numPr>
          <w:ilvl w:val="0"/>
          <w:numId w:val="5"/>
        </w:numPr>
      </w:pPr>
      <w:r>
        <w:t>Legacy &amp; no legacy capex</w:t>
      </w:r>
    </w:p>
    <w:p w14:paraId="376BC792" w14:textId="56DF5D8E" w:rsidR="00A07AA3" w:rsidRDefault="00A07AA3" w:rsidP="00C113EE">
      <w:pPr>
        <w:pStyle w:val="ListParagraph"/>
        <w:numPr>
          <w:ilvl w:val="0"/>
          <w:numId w:val="5"/>
        </w:numPr>
      </w:pPr>
      <w:r>
        <w:t xml:space="preserve">Split for North Western Geelong Growth Area (NWGGA) and </w:t>
      </w:r>
      <w:r w:rsidR="004F29A9">
        <w:t xml:space="preserve">remaining growth </w:t>
      </w:r>
    </w:p>
    <w:p w14:paraId="3CD3FACA" w14:textId="55C52D51" w:rsidR="00A07AA3" w:rsidRDefault="00A07AA3" w:rsidP="00C113EE">
      <w:pPr>
        <w:pStyle w:val="ListParagraph"/>
        <w:numPr>
          <w:ilvl w:val="0"/>
          <w:numId w:val="5"/>
        </w:numPr>
      </w:pPr>
      <w:r>
        <w:t>Splits for water supp</w:t>
      </w:r>
      <w:r w:rsidR="00E928EA">
        <w:t>ly and sewerage treatment zones</w:t>
      </w:r>
    </w:p>
    <w:p w14:paraId="7111CE95" w14:textId="16519ED5" w:rsidR="00E928EA" w:rsidRDefault="00E928EA" w:rsidP="00C113EE">
      <w:pPr>
        <w:pStyle w:val="ListParagraph"/>
        <w:numPr>
          <w:ilvl w:val="0"/>
          <w:numId w:val="5"/>
        </w:numPr>
      </w:pPr>
      <w:r>
        <w:t>smooth pricing versus year 1 jump then flat pricing</w:t>
      </w:r>
    </w:p>
    <w:p w14:paraId="2B48ED8D" w14:textId="7F452D1D" w:rsidR="00A07AA3" w:rsidRDefault="00A07AA3" w:rsidP="00C113EE">
      <w:r>
        <w:lastRenderedPageBreak/>
        <w:t>It</w:t>
      </w:r>
      <w:r w:rsidR="004F29A9">
        <w:t xml:space="preserve"> ha</w:t>
      </w:r>
      <w:r>
        <w:t xml:space="preserve">s been found through </w:t>
      </w:r>
      <w:r w:rsidR="00A67D11">
        <w:t xml:space="preserve">this </w:t>
      </w:r>
      <w:r>
        <w:t>modelling that even small changes in key inputs, such as growth, tariffs, WACC</w:t>
      </w:r>
      <w:r w:rsidR="004F29A9">
        <w:t xml:space="preserve"> or</w:t>
      </w:r>
      <w:r>
        <w:t xml:space="preserve"> capex, cause material changes to the NCC charge.</w:t>
      </w:r>
      <w:r w:rsidR="00DD7E32">
        <w:t xml:space="preserve"> </w:t>
      </w:r>
    </w:p>
    <w:p w14:paraId="7B720F6B" w14:textId="77777777" w:rsidR="004B42AB" w:rsidRDefault="004B42AB" w:rsidP="00C113EE"/>
    <w:p w14:paraId="267515D0" w14:textId="67291E0D" w:rsidR="00602B73" w:rsidRDefault="004B42AB" w:rsidP="00A43B04">
      <w:pPr>
        <w:pStyle w:val="Heading3"/>
      </w:pPr>
      <w:r w:rsidRPr="004B42AB">
        <w:t>Outcomes arising from developer contributions in the current regulatory period</w:t>
      </w:r>
    </w:p>
    <w:p w14:paraId="7B2DB96F" w14:textId="7FC55D75" w:rsidR="00DE2E42" w:rsidRDefault="00DE2E42" w:rsidP="00C113EE">
      <w:r>
        <w:t xml:space="preserve">The current regulatory period has been characterised by continued rates of growth that are amongst the highest in Victoria. This was further exacerbated by increased regional migration, driven by the onset of the coronavirus pandemic. Barwon Water experienced higher rates of new customer connections than forecast, both in greenfield and infill development. </w:t>
      </w:r>
    </w:p>
    <w:p w14:paraId="519F5CCB" w14:textId="381932E0" w:rsidR="00DE2E42" w:rsidRDefault="00DE2E42" w:rsidP="00C113EE">
      <w:r>
        <w:t xml:space="preserve">Growth in connections was amongst the highest on record in our region in 2020-21, but subsequently stabilised to be more consistent with forecast levels in 2021-22. The </w:t>
      </w:r>
      <w:r w:rsidR="009B363D">
        <w:t>boost to growth initially provided by the pandemic (e.g. regional migration to escape Melbourne lockdowns, and trends in working from home) has more recently been replaced by constraints such as higher interest rates, rising inflation and material and labour shortages. There is anecdotal evidence of some developers being unable to fulfil their contracts because of rising delivery costs.</w:t>
      </w:r>
    </w:p>
    <w:p w14:paraId="7623852B" w14:textId="17658218" w:rsidR="00DE2E42" w:rsidRDefault="009B363D" w:rsidP="00C113EE">
      <w:r>
        <w:t>While some of the challenges to development remain prevalent (e.g. higher material costs, labour shortages, rising interest rates)</w:t>
      </w:r>
      <w:r w:rsidR="009B57B7">
        <w:t xml:space="preserve">, we anticipate continued growth </w:t>
      </w:r>
      <w:r w:rsidR="00660C6F">
        <w:t xml:space="preserve">broadly </w:t>
      </w:r>
      <w:r w:rsidR="009B57B7">
        <w:t xml:space="preserve">consistent with the rates forecast </w:t>
      </w:r>
      <w:r w:rsidR="009B374C">
        <w:t>in the financial model</w:t>
      </w:r>
      <w:r w:rsidR="009B57B7">
        <w:t>.</w:t>
      </w:r>
    </w:p>
    <w:p w14:paraId="6506AB05" w14:textId="77777777" w:rsidR="009B363D" w:rsidRDefault="009B363D" w:rsidP="00C113EE"/>
    <w:p w14:paraId="1313CE1B" w14:textId="28098009" w:rsidR="004B42AB" w:rsidRPr="004B42AB" w:rsidRDefault="004B42AB" w:rsidP="00C113EE"/>
    <w:p w14:paraId="48DC74D9" w14:textId="77777777" w:rsidR="00A07AA3" w:rsidRDefault="00A07AA3" w:rsidP="00C113EE"/>
    <w:p w14:paraId="7DB8FAF7" w14:textId="77777777" w:rsidR="00A07AA3" w:rsidRDefault="00A07AA3" w:rsidP="00C113EE"/>
    <w:p w14:paraId="59244D2E" w14:textId="77777777" w:rsidR="00A07AA3" w:rsidRDefault="00A07AA3" w:rsidP="00C113EE"/>
    <w:p w14:paraId="14792E9C" w14:textId="77777777" w:rsidR="00A43B04" w:rsidRDefault="00A43B04" w:rsidP="008A4EE2">
      <w:pPr>
        <w:pStyle w:val="Title"/>
        <w:sectPr w:rsidR="00A43B04" w:rsidSect="00710521">
          <w:pgSz w:w="11906" w:h="16838"/>
          <w:pgMar w:top="1440" w:right="1440" w:bottom="1440" w:left="1440" w:header="708" w:footer="708" w:gutter="0"/>
          <w:cols w:space="708"/>
          <w:docGrid w:linePitch="360"/>
        </w:sectPr>
      </w:pPr>
    </w:p>
    <w:p w14:paraId="103F212F" w14:textId="6223DA43" w:rsidR="00E56BC4" w:rsidRDefault="00A4275E" w:rsidP="008A4EE2">
      <w:pPr>
        <w:pStyle w:val="Title"/>
      </w:pPr>
      <w:bookmarkStart w:id="47" w:name="_Toc115768755"/>
      <w:r>
        <w:lastRenderedPageBreak/>
        <w:t>How forecast developer contributions have been derived</w:t>
      </w:r>
      <w:bookmarkEnd w:id="47"/>
    </w:p>
    <w:p w14:paraId="5CABF3E3" w14:textId="38CFFCC9" w:rsidR="00177D06" w:rsidRPr="00A43B04" w:rsidRDefault="00177D06" w:rsidP="00A43B04">
      <w:pPr>
        <w:pStyle w:val="Heading1"/>
        <w:rPr>
          <w:sz w:val="24"/>
          <w:szCs w:val="24"/>
        </w:rPr>
      </w:pPr>
      <w:bookmarkStart w:id="48" w:name="_Toc115768756"/>
      <w:r w:rsidRPr="00A43B04">
        <w:rPr>
          <w:sz w:val="24"/>
          <w:szCs w:val="24"/>
        </w:rPr>
        <w:t>Assumptions about future connection growth</w:t>
      </w:r>
      <w:bookmarkEnd w:id="48"/>
    </w:p>
    <w:p w14:paraId="5EF84E87" w14:textId="77777777" w:rsidR="004B42AB" w:rsidRDefault="00177D06" w:rsidP="00C113EE">
      <w:r>
        <w:t>New connections are forecast as follows</w:t>
      </w:r>
      <w:r w:rsidR="004B42AB">
        <w:t>:</w:t>
      </w:r>
    </w:p>
    <w:p w14:paraId="5E55F863" w14:textId="159C43A8" w:rsidR="00AF1DA3" w:rsidRDefault="00660C6F" w:rsidP="00C113EE">
      <w:pPr>
        <w:pStyle w:val="ListParagraph"/>
        <w:numPr>
          <w:ilvl w:val="0"/>
          <w:numId w:val="10"/>
        </w:numPr>
      </w:pPr>
      <w:r>
        <w:t xml:space="preserve">From </w:t>
      </w:r>
      <w:r w:rsidR="00177D06">
        <w:t>170,759 actual water connections in 202</w:t>
      </w:r>
      <w:r w:rsidR="00AF1DA3">
        <w:t>1</w:t>
      </w:r>
      <w:r w:rsidR="00177D06">
        <w:t>/2</w:t>
      </w:r>
      <w:r w:rsidR="00AF1DA3">
        <w:t>2</w:t>
      </w:r>
      <w:r w:rsidR="00177D06">
        <w:t xml:space="preserve">, a total of </w:t>
      </w:r>
      <w:r w:rsidR="00595EE0">
        <w:t>121,393</w:t>
      </w:r>
      <w:r w:rsidR="00177D06">
        <w:t xml:space="preserve"> </w:t>
      </w:r>
      <w:r w:rsidR="00AF1DA3">
        <w:t xml:space="preserve">new connections </w:t>
      </w:r>
      <w:r w:rsidR="00177D06">
        <w:t xml:space="preserve">are forecast </w:t>
      </w:r>
      <w:r>
        <w:t xml:space="preserve">to be added </w:t>
      </w:r>
      <w:r w:rsidR="00177D06">
        <w:t xml:space="preserve">in </w:t>
      </w:r>
      <w:r>
        <w:t>the next</w:t>
      </w:r>
      <w:r w:rsidR="00177D06">
        <w:t xml:space="preserve"> 30</w:t>
      </w:r>
      <w:r>
        <w:t xml:space="preserve"> years (after this financial year)</w:t>
      </w:r>
      <w:r w:rsidR="00177D06">
        <w:t xml:space="preserve">. </w:t>
      </w:r>
      <w:r w:rsidR="00AF1DA3">
        <w:t xml:space="preserve">This </w:t>
      </w:r>
      <w:r>
        <w:t xml:space="preserve">reflects </w:t>
      </w:r>
      <w:r w:rsidR="00AF1DA3">
        <w:t xml:space="preserve">the same growth rate </w:t>
      </w:r>
      <w:r>
        <w:t xml:space="preserve">adopted in our </w:t>
      </w:r>
      <w:r w:rsidR="00AF1DA3">
        <w:t>demand modelling</w:t>
      </w:r>
      <w:r>
        <w:t xml:space="preserve"> (</w:t>
      </w:r>
      <w:r w:rsidR="00AF1DA3">
        <w:t>r</w:t>
      </w:r>
      <w:r w:rsidR="00AF1DA3" w:rsidRPr="00AF1DA3">
        <w:t>efer to demand supporting document for detailed growth analysis</w:t>
      </w:r>
      <w:r>
        <w:t>)</w:t>
      </w:r>
      <w:r w:rsidR="00AF1DA3" w:rsidRPr="00AF1DA3">
        <w:t>.</w:t>
      </w:r>
    </w:p>
    <w:p w14:paraId="423F6B4F" w14:textId="6415A880" w:rsidR="00AF1DA3" w:rsidRDefault="00660C6F" w:rsidP="00C113EE">
      <w:pPr>
        <w:pStyle w:val="ListParagraph"/>
        <w:numPr>
          <w:ilvl w:val="0"/>
          <w:numId w:val="10"/>
        </w:numPr>
      </w:pPr>
      <w:r>
        <w:t xml:space="preserve">From </w:t>
      </w:r>
      <w:r w:rsidR="00177D06">
        <w:t xml:space="preserve">159,119 </w:t>
      </w:r>
      <w:r w:rsidR="00AF1DA3">
        <w:t xml:space="preserve">actual sewer connections </w:t>
      </w:r>
      <w:r w:rsidR="00177D06">
        <w:t>in 202</w:t>
      </w:r>
      <w:r w:rsidR="00AF1DA3">
        <w:t>1</w:t>
      </w:r>
      <w:r w:rsidR="00177D06">
        <w:t>/2</w:t>
      </w:r>
      <w:r w:rsidR="00AF1DA3">
        <w:t>2</w:t>
      </w:r>
      <w:r w:rsidR="00177D06">
        <w:t>, a total of 11</w:t>
      </w:r>
      <w:r w:rsidR="00595EE0">
        <w:t>0</w:t>
      </w:r>
      <w:r w:rsidR="00177D06">
        <w:t>,</w:t>
      </w:r>
      <w:r w:rsidR="00595EE0">
        <w:t>507</w:t>
      </w:r>
      <w:r w:rsidR="00177D06">
        <w:t xml:space="preserve"> </w:t>
      </w:r>
      <w:r w:rsidR="00AF1DA3">
        <w:t xml:space="preserve">new connections </w:t>
      </w:r>
      <w:r w:rsidR="00177D06">
        <w:t xml:space="preserve">are forecast </w:t>
      </w:r>
      <w:r>
        <w:t xml:space="preserve">to be added </w:t>
      </w:r>
      <w:r w:rsidR="00177D06">
        <w:t xml:space="preserve">in years 1-30. </w:t>
      </w:r>
    </w:p>
    <w:p w14:paraId="6A4BE514" w14:textId="26DC436C" w:rsidR="00177D06" w:rsidRDefault="00660C6F" w:rsidP="00C113EE">
      <w:pPr>
        <w:pStyle w:val="ListParagraph"/>
        <w:numPr>
          <w:ilvl w:val="0"/>
          <w:numId w:val="10"/>
        </w:numPr>
      </w:pPr>
      <w:r>
        <w:t>Growth in r</w:t>
      </w:r>
      <w:r w:rsidR="00177D06">
        <w:t>ecycled water</w:t>
      </w:r>
      <w:r>
        <w:t xml:space="preserve"> connections</w:t>
      </w:r>
      <w:r w:rsidR="00177D06">
        <w:t xml:space="preserve"> is based on the last </w:t>
      </w:r>
      <w:r w:rsidR="00595EE0">
        <w:t>five</w:t>
      </w:r>
      <w:r w:rsidR="00177D06">
        <w:t xml:space="preserve"> years of actual</w:t>
      </w:r>
      <w:r>
        <w:t xml:space="preserve"> data</w:t>
      </w:r>
      <w:r w:rsidR="00177D06">
        <w:t>, with 1,</w:t>
      </w:r>
      <w:r w:rsidR="00595EE0">
        <w:t>525</w:t>
      </w:r>
      <w:r w:rsidR="00177D06">
        <w:t xml:space="preserve"> new connections </w:t>
      </w:r>
      <w:r>
        <w:t xml:space="preserve">forecast to be added </w:t>
      </w:r>
      <w:r w:rsidR="00177D06">
        <w:t>per year.</w:t>
      </w:r>
    </w:p>
    <w:p w14:paraId="7CA010FF" w14:textId="29E83F9D" w:rsidR="00177D06" w:rsidRPr="00951711" w:rsidRDefault="00177D06" w:rsidP="00951711">
      <w:pPr>
        <w:pStyle w:val="Caption"/>
        <w:keepNext/>
        <w:spacing w:before="120" w:after="120"/>
        <w:rPr>
          <w:color w:val="414042"/>
        </w:rPr>
      </w:pPr>
      <w:r w:rsidRPr="00951711">
        <w:rPr>
          <w:color w:val="414042"/>
        </w:rPr>
        <w:t xml:space="preserve">Table </w:t>
      </w:r>
      <w:r w:rsidR="001E509C" w:rsidRPr="00951711">
        <w:rPr>
          <w:color w:val="414042"/>
        </w:rPr>
        <w:fldChar w:fldCharType="begin"/>
      </w:r>
      <w:r w:rsidR="001E509C" w:rsidRPr="00951711">
        <w:rPr>
          <w:color w:val="414042"/>
        </w:rPr>
        <w:instrText xml:space="preserve"> SEQ Table \* ARABIC </w:instrText>
      </w:r>
      <w:r w:rsidR="001E509C" w:rsidRPr="00951711">
        <w:rPr>
          <w:color w:val="414042"/>
        </w:rPr>
        <w:fldChar w:fldCharType="separate"/>
      </w:r>
      <w:r w:rsidR="00504C53" w:rsidRPr="00951711">
        <w:rPr>
          <w:color w:val="414042"/>
        </w:rPr>
        <w:t>2</w:t>
      </w:r>
      <w:r w:rsidR="001E509C" w:rsidRPr="00951711">
        <w:rPr>
          <w:color w:val="414042"/>
        </w:rPr>
        <w:fldChar w:fldCharType="end"/>
      </w:r>
      <w:r w:rsidRPr="00951711">
        <w:rPr>
          <w:color w:val="414042"/>
        </w:rPr>
        <w:t xml:space="preserve"> New Water Connections</w:t>
      </w:r>
    </w:p>
    <w:tbl>
      <w:tblPr>
        <w:tblStyle w:val="TableGrid"/>
        <w:tblW w:w="0" w:type="auto"/>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675"/>
        <w:gridCol w:w="1016"/>
        <w:gridCol w:w="800"/>
        <w:gridCol w:w="1283"/>
      </w:tblGrid>
      <w:tr w:rsidR="00177D06" w:rsidRPr="00F60113" w14:paraId="09A3CFCD" w14:textId="77777777" w:rsidTr="00951711">
        <w:trPr>
          <w:trHeight w:val="285"/>
        </w:trPr>
        <w:tc>
          <w:tcPr>
            <w:tcW w:w="0" w:type="auto"/>
            <w:shd w:val="clear" w:color="auto" w:fill="008998"/>
            <w:noWrap/>
            <w:hideMark/>
          </w:tcPr>
          <w:p w14:paraId="23B8F396" w14:textId="77777777" w:rsidR="00177D06" w:rsidRPr="00951711" w:rsidRDefault="00177D06" w:rsidP="00A43B04">
            <w:pPr>
              <w:spacing w:after="0"/>
              <w:rPr>
                <w:b/>
                <w:color w:val="EEECE1" w:themeColor="background2"/>
              </w:rPr>
            </w:pPr>
            <w:r w:rsidRPr="00951711">
              <w:rPr>
                <w:b/>
                <w:color w:val="EEECE1" w:themeColor="background2"/>
              </w:rPr>
              <w:t>Year</w:t>
            </w:r>
          </w:p>
        </w:tc>
        <w:tc>
          <w:tcPr>
            <w:tcW w:w="0" w:type="auto"/>
            <w:shd w:val="clear" w:color="auto" w:fill="008998"/>
            <w:noWrap/>
            <w:hideMark/>
          </w:tcPr>
          <w:p w14:paraId="0965792B" w14:textId="77777777" w:rsidR="00177D06" w:rsidRPr="00951711" w:rsidRDefault="00177D06" w:rsidP="00A43B04">
            <w:pPr>
              <w:spacing w:after="0"/>
              <w:rPr>
                <w:b/>
                <w:color w:val="EEECE1" w:themeColor="background2"/>
              </w:rPr>
            </w:pPr>
            <w:r w:rsidRPr="00951711">
              <w:rPr>
                <w:b/>
                <w:color w:val="EEECE1" w:themeColor="background2"/>
              </w:rPr>
              <w:t>FY</w:t>
            </w:r>
          </w:p>
        </w:tc>
        <w:tc>
          <w:tcPr>
            <w:tcW w:w="0" w:type="auto"/>
            <w:shd w:val="clear" w:color="auto" w:fill="008998"/>
            <w:noWrap/>
            <w:hideMark/>
          </w:tcPr>
          <w:p w14:paraId="14E61887" w14:textId="77777777" w:rsidR="00177D06" w:rsidRPr="00951711" w:rsidRDefault="00177D06" w:rsidP="00A43B04">
            <w:pPr>
              <w:spacing w:after="0"/>
              <w:rPr>
                <w:b/>
                <w:color w:val="EEECE1" w:themeColor="background2"/>
              </w:rPr>
            </w:pPr>
            <w:r w:rsidRPr="00951711">
              <w:rPr>
                <w:b/>
                <w:color w:val="EEECE1" w:themeColor="background2"/>
              </w:rPr>
              <w:t>%</w:t>
            </w:r>
          </w:p>
        </w:tc>
        <w:tc>
          <w:tcPr>
            <w:tcW w:w="0" w:type="auto"/>
            <w:shd w:val="clear" w:color="auto" w:fill="008998"/>
            <w:noWrap/>
            <w:hideMark/>
          </w:tcPr>
          <w:p w14:paraId="5A47A578" w14:textId="77777777" w:rsidR="00177D06" w:rsidRPr="00951711" w:rsidRDefault="00177D06" w:rsidP="00A43B04">
            <w:pPr>
              <w:spacing w:after="0"/>
              <w:rPr>
                <w:b/>
                <w:color w:val="EEECE1" w:themeColor="background2"/>
              </w:rPr>
            </w:pPr>
            <w:r w:rsidRPr="00951711">
              <w:rPr>
                <w:b/>
                <w:color w:val="EEECE1" w:themeColor="background2"/>
              </w:rPr>
              <w:t>New Conn</w:t>
            </w:r>
          </w:p>
        </w:tc>
      </w:tr>
      <w:tr w:rsidR="000A66F7" w:rsidRPr="00F60113" w14:paraId="54A1ACDA" w14:textId="77777777" w:rsidTr="00951711">
        <w:trPr>
          <w:trHeight w:val="285"/>
        </w:trPr>
        <w:tc>
          <w:tcPr>
            <w:tcW w:w="0" w:type="auto"/>
            <w:noWrap/>
            <w:hideMark/>
          </w:tcPr>
          <w:p w14:paraId="6C67B1D4" w14:textId="77777777" w:rsidR="000A66F7" w:rsidRPr="00F60113" w:rsidRDefault="000A66F7" w:rsidP="00A43B04">
            <w:pPr>
              <w:spacing w:after="0"/>
            </w:pPr>
            <w:r w:rsidRPr="00F60113">
              <w:t>0</w:t>
            </w:r>
          </w:p>
        </w:tc>
        <w:tc>
          <w:tcPr>
            <w:tcW w:w="0" w:type="auto"/>
            <w:noWrap/>
            <w:hideMark/>
          </w:tcPr>
          <w:p w14:paraId="611E015B" w14:textId="77777777" w:rsidR="000A66F7" w:rsidRPr="00F60113" w:rsidRDefault="000A66F7" w:rsidP="00A43B04">
            <w:pPr>
              <w:spacing w:after="0"/>
            </w:pPr>
            <w:r w:rsidRPr="00F60113">
              <w:t>2022-23</w:t>
            </w:r>
          </w:p>
        </w:tc>
        <w:tc>
          <w:tcPr>
            <w:tcW w:w="0" w:type="auto"/>
            <w:noWrap/>
            <w:hideMark/>
          </w:tcPr>
          <w:p w14:paraId="5726FD43" w14:textId="3832DBC1" w:rsidR="000A66F7" w:rsidRPr="000A66F7" w:rsidRDefault="000A66F7" w:rsidP="00A43B04">
            <w:pPr>
              <w:spacing w:after="0"/>
            </w:pPr>
            <w:r w:rsidRPr="000A66F7">
              <w:t>2.21%</w:t>
            </w:r>
          </w:p>
        </w:tc>
        <w:tc>
          <w:tcPr>
            <w:tcW w:w="0" w:type="auto"/>
            <w:noWrap/>
          </w:tcPr>
          <w:p w14:paraId="0DCEE130" w14:textId="5A575888" w:rsidR="000A66F7" w:rsidRPr="000A66F7" w:rsidRDefault="000A66F7" w:rsidP="00A43B04">
            <w:pPr>
              <w:spacing w:after="0"/>
            </w:pPr>
            <w:r w:rsidRPr="000A66F7">
              <w:t xml:space="preserve"> 3,851 </w:t>
            </w:r>
          </w:p>
        </w:tc>
      </w:tr>
      <w:tr w:rsidR="000A66F7" w:rsidRPr="00F60113" w14:paraId="2B44DAFB" w14:textId="77777777" w:rsidTr="00951711">
        <w:trPr>
          <w:trHeight w:val="285"/>
        </w:trPr>
        <w:tc>
          <w:tcPr>
            <w:tcW w:w="0" w:type="auto"/>
            <w:noWrap/>
            <w:hideMark/>
          </w:tcPr>
          <w:p w14:paraId="59710CCC" w14:textId="77777777" w:rsidR="000A66F7" w:rsidRPr="00F60113" w:rsidRDefault="000A66F7" w:rsidP="00A43B04">
            <w:pPr>
              <w:spacing w:after="0"/>
            </w:pPr>
            <w:r w:rsidRPr="00F60113">
              <w:t>1</w:t>
            </w:r>
          </w:p>
        </w:tc>
        <w:tc>
          <w:tcPr>
            <w:tcW w:w="0" w:type="auto"/>
            <w:noWrap/>
            <w:hideMark/>
          </w:tcPr>
          <w:p w14:paraId="6104D3A3" w14:textId="77777777" w:rsidR="000A66F7" w:rsidRPr="00F60113" w:rsidRDefault="000A66F7" w:rsidP="00A43B04">
            <w:pPr>
              <w:spacing w:after="0"/>
            </w:pPr>
            <w:r w:rsidRPr="00F60113">
              <w:t>2023-24</w:t>
            </w:r>
          </w:p>
        </w:tc>
        <w:tc>
          <w:tcPr>
            <w:tcW w:w="0" w:type="auto"/>
            <w:noWrap/>
            <w:hideMark/>
          </w:tcPr>
          <w:p w14:paraId="1137F2C7" w14:textId="3D97C20C" w:rsidR="000A66F7" w:rsidRPr="000A66F7" w:rsidRDefault="000A66F7" w:rsidP="00A43B04">
            <w:pPr>
              <w:spacing w:after="0"/>
            </w:pPr>
            <w:r w:rsidRPr="000A66F7">
              <w:t>2.16%</w:t>
            </w:r>
          </w:p>
        </w:tc>
        <w:tc>
          <w:tcPr>
            <w:tcW w:w="0" w:type="auto"/>
            <w:noWrap/>
          </w:tcPr>
          <w:p w14:paraId="2A69789D" w14:textId="63EC436E" w:rsidR="000A66F7" w:rsidRPr="000A66F7" w:rsidRDefault="000A66F7" w:rsidP="00A43B04">
            <w:pPr>
              <w:spacing w:after="0"/>
            </w:pPr>
            <w:r w:rsidRPr="000A66F7">
              <w:t xml:space="preserve"> 3,849 </w:t>
            </w:r>
          </w:p>
        </w:tc>
      </w:tr>
      <w:tr w:rsidR="000A66F7" w:rsidRPr="00F60113" w14:paraId="43D894B6" w14:textId="77777777" w:rsidTr="00951711">
        <w:trPr>
          <w:trHeight w:val="285"/>
        </w:trPr>
        <w:tc>
          <w:tcPr>
            <w:tcW w:w="0" w:type="auto"/>
            <w:noWrap/>
            <w:hideMark/>
          </w:tcPr>
          <w:p w14:paraId="0B918EA7" w14:textId="77777777" w:rsidR="000A66F7" w:rsidRPr="00F60113" w:rsidRDefault="000A66F7" w:rsidP="00A43B04">
            <w:pPr>
              <w:spacing w:after="0"/>
            </w:pPr>
            <w:r w:rsidRPr="00F60113">
              <w:t>2</w:t>
            </w:r>
          </w:p>
        </w:tc>
        <w:tc>
          <w:tcPr>
            <w:tcW w:w="0" w:type="auto"/>
            <w:noWrap/>
            <w:hideMark/>
          </w:tcPr>
          <w:p w14:paraId="6A1A4A5F" w14:textId="77777777" w:rsidR="000A66F7" w:rsidRPr="00F60113" w:rsidRDefault="000A66F7" w:rsidP="00A43B04">
            <w:pPr>
              <w:spacing w:after="0"/>
            </w:pPr>
            <w:r w:rsidRPr="00F60113">
              <w:t>2024-25</w:t>
            </w:r>
          </w:p>
        </w:tc>
        <w:tc>
          <w:tcPr>
            <w:tcW w:w="0" w:type="auto"/>
            <w:noWrap/>
            <w:hideMark/>
          </w:tcPr>
          <w:p w14:paraId="0DA41713" w14:textId="3D38DB0F" w:rsidR="000A66F7" w:rsidRPr="000A66F7" w:rsidRDefault="000A66F7" w:rsidP="00A43B04">
            <w:pPr>
              <w:spacing w:after="0"/>
            </w:pPr>
            <w:r w:rsidRPr="000A66F7">
              <w:t>2.12%</w:t>
            </w:r>
          </w:p>
        </w:tc>
        <w:tc>
          <w:tcPr>
            <w:tcW w:w="0" w:type="auto"/>
            <w:noWrap/>
          </w:tcPr>
          <w:p w14:paraId="6B15F157" w14:textId="79E3AD9F" w:rsidR="000A66F7" w:rsidRPr="000A66F7" w:rsidRDefault="000A66F7" w:rsidP="00A43B04">
            <w:pPr>
              <w:spacing w:after="0"/>
            </w:pPr>
            <w:r w:rsidRPr="000A66F7">
              <w:t xml:space="preserve"> 3,861 </w:t>
            </w:r>
          </w:p>
        </w:tc>
      </w:tr>
      <w:tr w:rsidR="000A66F7" w:rsidRPr="00F60113" w14:paraId="66C333B5" w14:textId="77777777" w:rsidTr="00951711">
        <w:trPr>
          <w:trHeight w:val="285"/>
        </w:trPr>
        <w:tc>
          <w:tcPr>
            <w:tcW w:w="0" w:type="auto"/>
            <w:noWrap/>
            <w:hideMark/>
          </w:tcPr>
          <w:p w14:paraId="66CDD891" w14:textId="77777777" w:rsidR="000A66F7" w:rsidRPr="00F60113" w:rsidRDefault="000A66F7" w:rsidP="00A43B04">
            <w:pPr>
              <w:spacing w:after="0"/>
            </w:pPr>
            <w:r w:rsidRPr="00F60113">
              <w:t>3</w:t>
            </w:r>
          </w:p>
        </w:tc>
        <w:tc>
          <w:tcPr>
            <w:tcW w:w="0" w:type="auto"/>
            <w:noWrap/>
            <w:hideMark/>
          </w:tcPr>
          <w:p w14:paraId="01FA1356" w14:textId="77777777" w:rsidR="000A66F7" w:rsidRPr="00F60113" w:rsidRDefault="000A66F7" w:rsidP="00A43B04">
            <w:pPr>
              <w:spacing w:after="0"/>
            </w:pPr>
            <w:r w:rsidRPr="00F60113">
              <w:t>2025-26</w:t>
            </w:r>
          </w:p>
        </w:tc>
        <w:tc>
          <w:tcPr>
            <w:tcW w:w="0" w:type="auto"/>
            <w:noWrap/>
            <w:hideMark/>
          </w:tcPr>
          <w:p w14:paraId="71C489DB" w14:textId="1B5581D0" w:rsidR="000A66F7" w:rsidRPr="000A66F7" w:rsidRDefault="000A66F7" w:rsidP="00A43B04">
            <w:pPr>
              <w:spacing w:after="0"/>
            </w:pPr>
            <w:r w:rsidRPr="000A66F7">
              <w:t>2.11%</w:t>
            </w:r>
          </w:p>
        </w:tc>
        <w:tc>
          <w:tcPr>
            <w:tcW w:w="0" w:type="auto"/>
            <w:noWrap/>
          </w:tcPr>
          <w:p w14:paraId="1BE97892" w14:textId="2E88A4B9" w:rsidR="000A66F7" w:rsidRPr="000A66F7" w:rsidRDefault="000A66F7" w:rsidP="00A43B04">
            <w:pPr>
              <w:spacing w:after="0"/>
            </w:pPr>
            <w:r w:rsidRPr="000A66F7">
              <w:t xml:space="preserve"> 3,923 </w:t>
            </w:r>
          </w:p>
        </w:tc>
      </w:tr>
      <w:tr w:rsidR="000A66F7" w:rsidRPr="00F60113" w14:paraId="40CE324D" w14:textId="77777777" w:rsidTr="00951711">
        <w:trPr>
          <w:trHeight w:val="285"/>
        </w:trPr>
        <w:tc>
          <w:tcPr>
            <w:tcW w:w="0" w:type="auto"/>
            <w:noWrap/>
            <w:hideMark/>
          </w:tcPr>
          <w:p w14:paraId="69A38935" w14:textId="77777777" w:rsidR="000A66F7" w:rsidRPr="00F60113" w:rsidRDefault="000A66F7" w:rsidP="00A43B04">
            <w:pPr>
              <w:spacing w:after="0"/>
            </w:pPr>
            <w:r w:rsidRPr="00F60113">
              <w:t>4</w:t>
            </w:r>
          </w:p>
        </w:tc>
        <w:tc>
          <w:tcPr>
            <w:tcW w:w="0" w:type="auto"/>
            <w:noWrap/>
            <w:hideMark/>
          </w:tcPr>
          <w:p w14:paraId="41D3AA05" w14:textId="77777777" w:rsidR="000A66F7" w:rsidRPr="00F60113" w:rsidRDefault="000A66F7" w:rsidP="00A43B04">
            <w:pPr>
              <w:spacing w:after="0"/>
            </w:pPr>
            <w:r w:rsidRPr="00F60113">
              <w:t>2026-27</w:t>
            </w:r>
          </w:p>
        </w:tc>
        <w:tc>
          <w:tcPr>
            <w:tcW w:w="0" w:type="auto"/>
            <w:noWrap/>
            <w:hideMark/>
          </w:tcPr>
          <w:p w14:paraId="702E4DA4" w14:textId="55ADB851" w:rsidR="000A66F7" w:rsidRPr="000A66F7" w:rsidRDefault="000A66F7" w:rsidP="00A43B04">
            <w:pPr>
              <w:spacing w:after="0"/>
            </w:pPr>
            <w:r w:rsidRPr="000A66F7">
              <w:t>2.07%</w:t>
            </w:r>
          </w:p>
        </w:tc>
        <w:tc>
          <w:tcPr>
            <w:tcW w:w="0" w:type="auto"/>
            <w:noWrap/>
          </w:tcPr>
          <w:p w14:paraId="3B6585E3" w14:textId="4B241FB4" w:rsidR="000A66F7" w:rsidRPr="000A66F7" w:rsidRDefault="000A66F7" w:rsidP="00A43B04">
            <w:pPr>
              <w:spacing w:after="0"/>
            </w:pPr>
            <w:r w:rsidRPr="000A66F7">
              <w:t xml:space="preserve"> 3,934 </w:t>
            </w:r>
          </w:p>
        </w:tc>
      </w:tr>
      <w:tr w:rsidR="000A66F7" w:rsidRPr="00F60113" w14:paraId="0BF97C7A" w14:textId="77777777" w:rsidTr="00951711">
        <w:trPr>
          <w:trHeight w:val="285"/>
        </w:trPr>
        <w:tc>
          <w:tcPr>
            <w:tcW w:w="0" w:type="auto"/>
            <w:noWrap/>
            <w:hideMark/>
          </w:tcPr>
          <w:p w14:paraId="416C8FD6" w14:textId="77777777" w:rsidR="000A66F7" w:rsidRPr="00F60113" w:rsidRDefault="000A66F7" w:rsidP="00A43B04">
            <w:pPr>
              <w:spacing w:after="0"/>
            </w:pPr>
            <w:r w:rsidRPr="00F60113">
              <w:t>5</w:t>
            </w:r>
          </w:p>
        </w:tc>
        <w:tc>
          <w:tcPr>
            <w:tcW w:w="0" w:type="auto"/>
            <w:noWrap/>
            <w:hideMark/>
          </w:tcPr>
          <w:p w14:paraId="7CD6D2BD" w14:textId="77777777" w:rsidR="000A66F7" w:rsidRPr="00F60113" w:rsidRDefault="000A66F7" w:rsidP="00A43B04">
            <w:pPr>
              <w:spacing w:after="0"/>
            </w:pPr>
            <w:r w:rsidRPr="00F60113">
              <w:t>2027-28</w:t>
            </w:r>
          </w:p>
        </w:tc>
        <w:tc>
          <w:tcPr>
            <w:tcW w:w="0" w:type="auto"/>
            <w:noWrap/>
            <w:hideMark/>
          </w:tcPr>
          <w:p w14:paraId="585FA03C" w14:textId="787D51C9" w:rsidR="000A66F7" w:rsidRPr="000A66F7" w:rsidRDefault="000A66F7" w:rsidP="00A43B04">
            <w:pPr>
              <w:spacing w:after="0"/>
            </w:pPr>
            <w:r w:rsidRPr="000A66F7">
              <w:t>2.00%</w:t>
            </w:r>
          </w:p>
        </w:tc>
        <w:tc>
          <w:tcPr>
            <w:tcW w:w="0" w:type="auto"/>
            <w:noWrap/>
          </w:tcPr>
          <w:p w14:paraId="6792F623" w14:textId="43E115B5" w:rsidR="000A66F7" w:rsidRPr="000A66F7" w:rsidRDefault="000A66F7" w:rsidP="00A43B04">
            <w:pPr>
              <w:spacing w:after="0"/>
            </w:pPr>
            <w:r w:rsidRPr="000A66F7">
              <w:t xml:space="preserve"> 3,888 </w:t>
            </w:r>
          </w:p>
        </w:tc>
      </w:tr>
      <w:tr w:rsidR="000A66F7" w:rsidRPr="00F60113" w14:paraId="2071A414" w14:textId="77777777" w:rsidTr="00951711">
        <w:trPr>
          <w:trHeight w:val="285"/>
        </w:trPr>
        <w:tc>
          <w:tcPr>
            <w:tcW w:w="0" w:type="auto"/>
            <w:noWrap/>
            <w:hideMark/>
          </w:tcPr>
          <w:p w14:paraId="7D290D0A" w14:textId="77777777" w:rsidR="000A66F7" w:rsidRPr="00F60113" w:rsidRDefault="000A66F7" w:rsidP="00A43B04">
            <w:pPr>
              <w:spacing w:after="0"/>
            </w:pPr>
            <w:r w:rsidRPr="00F60113">
              <w:t>6</w:t>
            </w:r>
          </w:p>
        </w:tc>
        <w:tc>
          <w:tcPr>
            <w:tcW w:w="0" w:type="auto"/>
            <w:noWrap/>
            <w:hideMark/>
          </w:tcPr>
          <w:p w14:paraId="2AE625BB" w14:textId="77777777" w:rsidR="000A66F7" w:rsidRPr="00F60113" w:rsidRDefault="000A66F7" w:rsidP="00A43B04">
            <w:pPr>
              <w:spacing w:after="0"/>
            </w:pPr>
            <w:r w:rsidRPr="00F60113">
              <w:t>2028-29</w:t>
            </w:r>
          </w:p>
        </w:tc>
        <w:tc>
          <w:tcPr>
            <w:tcW w:w="0" w:type="auto"/>
            <w:noWrap/>
            <w:hideMark/>
          </w:tcPr>
          <w:p w14:paraId="5A423C64" w14:textId="6AF92194" w:rsidR="000A66F7" w:rsidRPr="000A66F7" w:rsidRDefault="000A66F7" w:rsidP="00A43B04">
            <w:pPr>
              <w:spacing w:after="0"/>
            </w:pPr>
            <w:r w:rsidRPr="000A66F7">
              <w:t>1.97%</w:t>
            </w:r>
          </w:p>
        </w:tc>
        <w:tc>
          <w:tcPr>
            <w:tcW w:w="0" w:type="auto"/>
            <w:noWrap/>
          </w:tcPr>
          <w:p w14:paraId="3A13B0C7" w14:textId="2D0A8803" w:rsidR="000A66F7" w:rsidRPr="000A66F7" w:rsidRDefault="000A66F7" w:rsidP="00A43B04">
            <w:pPr>
              <w:spacing w:after="0"/>
            </w:pPr>
            <w:r w:rsidRPr="000A66F7">
              <w:t xml:space="preserve"> 3,907 </w:t>
            </w:r>
          </w:p>
        </w:tc>
      </w:tr>
      <w:tr w:rsidR="000A66F7" w:rsidRPr="00F60113" w14:paraId="10ABEC4F" w14:textId="77777777" w:rsidTr="00951711">
        <w:trPr>
          <w:trHeight w:val="285"/>
        </w:trPr>
        <w:tc>
          <w:tcPr>
            <w:tcW w:w="0" w:type="auto"/>
            <w:noWrap/>
            <w:hideMark/>
          </w:tcPr>
          <w:p w14:paraId="42B04851" w14:textId="77777777" w:rsidR="000A66F7" w:rsidRPr="00F60113" w:rsidRDefault="000A66F7" w:rsidP="00A43B04">
            <w:pPr>
              <w:spacing w:after="0"/>
            </w:pPr>
            <w:r w:rsidRPr="00F60113">
              <w:t>7</w:t>
            </w:r>
          </w:p>
        </w:tc>
        <w:tc>
          <w:tcPr>
            <w:tcW w:w="0" w:type="auto"/>
            <w:noWrap/>
            <w:hideMark/>
          </w:tcPr>
          <w:p w14:paraId="7FD315FA" w14:textId="77777777" w:rsidR="000A66F7" w:rsidRPr="00F60113" w:rsidRDefault="000A66F7" w:rsidP="00A43B04">
            <w:pPr>
              <w:spacing w:after="0"/>
            </w:pPr>
            <w:r w:rsidRPr="00F60113">
              <w:t>2029-30</w:t>
            </w:r>
          </w:p>
        </w:tc>
        <w:tc>
          <w:tcPr>
            <w:tcW w:w="0" w:type="auto"/>
            <w:noWrap/>
            <w:hideMark/>
          </w:tcPr>
          <w:p w14:paraId="5FFF0DC1" w14:textId="35C82A12" w:rsidR="000A66F7" w:rsidRPr="000A66F7" w:rsidRDefault="000A66F7" w:rsidP="00A43B04">
            <w:pPr>
              <w:spacing w:after="0"/>
            </w:pPr>
            <w:r w:rsidRPr="000A66F7">
              <w:t>1.94%</w:t>
            </w:r>
          </w:p>
        </w:tc>
        <w:tc>
          <w:tcPr>
            <w:tcW w:w="0" w:type="auto"/>
            <w:noWrap/>
          </w:tcPr>
          <w:p w14:paraId="56BFA1B8" w14:textId="0810AAF8" w:rsidR="000A66F7" w:rsidRPr="000A66F7" w:rsidRDefault="000A66F7" w:rsidP="00A43B04">
            <w:pPr>
              <w:spacing w:after="0"/>
            </w:pPr>
            <w:r w:rsidRPr="000A66F7">
              <w:t xml:space="preserve"> 3,919 </w:t>
            </w:r>
          </w:p>
        </w:tc>
      </w:tr>
      <w:tr w:rsidR="000A66F7" w:rsidRPr="00F60113" w14:paraId="360CF5BE" w14:textId="77777777" w:rsidTr="00951711">
        <w:trPr>
          <w:trHeight w:val="285"/>
        </w:trPr>
        <w:tc>
          <w:tcPr>
            <w:tcW w:w="0" w:type="auto"/>
            <w:noWrap/>
            <w:hideMark/>
          </w:tcPr>
          <w:p w14:paraId="2E954BB9" w14:textId="77777777" w:rsidR="000A66F7" w:rsidRPr="00F60113" w:rsidRDefault="000A66F7" w:rsidP="00A43B04">
            <w:pPr>
              <w:spacing w:after="0"/>
            </w:pPr>
            <w:r w:rsidRPr="00F60113">
              <w:t>8</w:t>
            </w:r>
          </w:p>
        </w:tc>
        <w:tc>
          <w:tcPr>
            <w:tcW w:w="0" w:type="auto"/>
            <w:noWrap/>
            <w:hideMark/>
          </w:tcPr>
          <w:p w14:paraId="3086B473" w14:textId="77777777" w:rsidR="000A66F7" w:rsidRPr="00F60113" w:rsidRDefault="000A66F7" w:rsidP="00A43B04">
            <w:pPr>
              <w:spacing w:after="0"/>
            </w:pPr>
            <w:r w:rsidRPr="00F60113">
              <w:t>2030-31</w:t>
            </w:r>
          </w:p>
        </w:tc>
        <w:tc>
          <w:tcPr>
            <w:tcW w:w="0" w:type="auto"/>
            <w:noWrap/>
            <w:hideMark/>
          </w:tcPr>
          <w:p w14:paraId="3AC57B1E" w14:textId="152FF6DD" w:rsidR="000A66F7" w:rsidRPr="000A66F7" w:rsidRDefault="000A66F7" w:rsidP="00A43B04">
            <w:pPr>
              <w:spacing w:after="0"/>
            </w:pPr>
            <w:r w:rsidRPr="000A66F7">
              <w:t>1.91%</w:t>
            </w:r>
          </w:p>
        </w:tc>
        <w:tc>
          <w:tcPr>
            <w:tcW w:w="0" w:type="auto"/>
            <w:noWrap/>
          </w:tcPr>
          <w:p w14:paraId="4510F17C" w14:textId="027B9156" w:rsidR="000A66F7" w:rsidRPr="000A66F7" w:rsidRDefault="000A66F7" w:rsidP="00A43B04">
            <w:pPr>
              <w:spacing w:after="0"/>
            </w:pPr>
            <w:r w:rsidRPr="000A66F7">
              <w:t xml:space="preserve"> 3,921 </w:t>
            </w:r>
          </w:p>
        </w:tc>
      </w:tr>
      <w:tr w:rsidR="000A66F7" w:rsidRPr="00F60113" w14:paraId="16E46BD5" w14:textId="77777777" w:rsidTr="00951711">
        <w:trPr>
          <w:trHeight w:val="285"/>
        </w:trPr>
        <w:tc>
          <w:tcPr>
            <w:tcW w:w="0" w:type="auto"/>
            <w:noWrap/>
            <w:hideMark/>
          </w:tcPr>
          <w:p w14:paraId="2A3C4FBE" w14:textId="77777777" w:rsidR="000A66F7" w:rsidRPr="00F60113" w:rsidRDefault="000A66F7" w:rsidP="00A43B04">
            <w:pPr>
              <w:spacing w:after="0"/>
            </w:pPr>
            <w:r w:rsidRPr="00F60113">
              <w:t>9</w:t>
            </w:r>
          </w:p>
        </w:tc>
        <w:tc>
          <w:tcPr>
            <w:tcW w:w="0" w:type="auto"/>
            <w:noWrap/>
            <w:hideMark/>
          </w:tcPr>
          <w:p w14:paraId="66CBFE11" w14:textId="77777777" w:rsidR="000A66F7" w:rsidRPr="00F60113" w:rsidRDefault="000A66F7" w:rsidP="00A43B04">
            <w:pPr>
              <w:spacing w:after="0"/>
            </w:pPr>
            <w:r w:rsidRPr="00F60113">
              <w:t>2031-32</w:t>
            </w:r>
          </w:p>
        </w:tc>
        <w:tc>
          <w:tcPr>
            <w:tcW w:w="0" w:type="auto"/>
            <w:noWrap/>
            <w:hideMark/>
          </w:tcPr>
          <w:p w14:paraId="3ADECE68" w14:textId="5CB3A22A" w:rsidR="000A66F7" w:rsidRPr="000A66F7" w:rsidRDefault="000A66F7" w:rsidP="00A43B04">
            <w:pPr>
              <w:spacing w:after="0"/>
            </w:pPr>
            <w:r w:rsidRPr="000A66F7">
              <w:t>1.84%</w:t>
            </w:r>
          </w:p>
        </w:tc>
        <w:tc>
          <w:tcPr>
            <w:tcW w:w="0" w:type="auto"/>
            <w:noWrap/>
          </w:tcPr>
          <w:p w14:paraId="10A14BC5" w14:textId="59834E48" w:rsidR="000A66F7" w:rsidRPr="000A66F7" w:rsidRDefault="000A66F7" w:rsidP="00A43B04">
            <w:pPr>
              <w:spacing w:after="0"/>
            </w:pPr>
            <w:r w:rsidRPr="000A66F7">
              <w:t xml:space="preserve"> 3,867 </w:t>
            </w:r>
          </w:p>
        </w:tc>
      </w:tr>
      <w:tr w:rsidR="000A66F7" w:rsidRPr="00F60113" w14:paraId="20649171" w14:textId="77777777" w:rsidTr="00951711">
        <w:trPr>
          <w:trHeight w:val="285"/>
        </w:trPr>
        <w:tc>
          <w:tcPr>
            <w:tcW w:w="0" w:type="auto"/>
            <w:noWrap/>
            <w:hideMark/>
          </w:tcPr>
          <w:p w14:paraId="540984BF" w14:textId="77777777" w:rsidR="000A66F7" w:rsidRPr="00F60113" w:rsidRDefault="000A66F7" w:rsidP="00A43B04">
            <w:pPr>
              <w:spacing w:after="0"/>
            </w:pPr>
            <w:r w:rsidRPr="00F60113">
              <w:t>10</w:t>
            </w:r>
          </w:p>
        </w:tc>
        <w:tc>
          <w:tcPr>
            <w:tcW w:w="0" w:type="auto"/>
            <w:noWrap/>
            <w:hideMark/>
          </w:tcPr>
          <w:p w14:paraId="0C368056" w14:textId="77777777" w:rsidR="000A66F7" w:rsidRPr="00F60113" w:rsidRDefault="000A66F7" w:rsidP="00A43B04">
            <w:pPr>
              <w:spacing w:after="0"/>
            </w:pPr>
            <w:r w:rsidRPr="00F60113">
              <w:t>2032-33</w:t>
            </w:r>
          </w:p>
        </w:tc>
        <w:tc>
          <w:tcPr>
            <w:tcW w:w="0" w:type="auto"/>
            <w:noWrap/>
            <w:hideMark/>
          </w:tcPr>
          <w:p w14:paraId="21E61AC4" w14:textId="1317FADB" w:rsidR="000A66F7" w:rsidRPr="000A66F7" w:rsidRDefault="000A66F7" w:rsidP="00A43B04">
            <w:pPr>
              <w:spacing w:after="0"/>
            </w:pPr>
            <w:r w:rsidRPr="000A66F7">
              <w:t>1.79%</w:t>
            </w:r>
          </w:p>
        </w:tc>
        <w:tc>
          <w:tcPr>
            <w:tcW w:w="0" w:type="auto"/>
            <w:noWrap/>
          </w:tcPr>
          <w:p w14:paraId="139D9B89" w14:textId="1D5F0949" w:rsidR="000A66F7" w:rsidRPr="000A66F7" w:rsidRDefault="000A66F7" w:rsidP="00A43B04">
            <w:pPr>
              <w:spacing w:after="0"/>
            </w:pPr>
            <w:r w:rsidRPr="000A66F7">
              <w:t xml:space="preserve"> 3,815 </w:t>
            </w:r>
          </w:p>
        </w:tc>
      </w:tr>
      <w:tr w:rsidR="000A66F7" w:rsidRPr="00F60113" w14:paraId="4C214C59" w14:textId="77777777" w:rsidTr="00951711">
        <w:trPr>
          <w:trHeight w:val="285"/>
        </w:trPr>
        <w:tc>
          <w:tcPr>
            <w:tcW w:w="0" w:type="auto"/>
            <w:noWrap/>
            <w:hideMark/>
          </w:tcPr>
          <w:p w14:paraId="4D2C5825" w14:textId="77777777" w:rsidR="000A66F7" w:rsidRPr="00F60113" w:rsidRDefault="000A66F7" w:rsidP="00A43B04">
            <w:pPr>
              <w:spacing w:after="0"/>
            </w:pPr>
            <w:r w:rsidRPr="00F60113">
              <w:t>11</w:t>
            </w:r>
          </w:p>
        </w:tc>
        <w:tc>
          <w:tcPr>
            <w:tcW w:w="0" w:type="auto"/>
            <w:noWrap/>
            <w:hideMark/>
          </w:tcPr>
          <w:p w14:paraId="393E50D8" w14:textId="77777777" w:rsidR="000A66F7" w:rsidRPr="00F60113" w:rsidRDefault="000A66F7" w:rsidP="00A43B04">
            <w:pPr>
              <w:spacing w:after="0"/>
            </w:pPr>
            <w:r w:rsidRPr="00F60113">
              <w:t>2033-34</w:t>
            </w:r>
          </w:p>
        </w:tc>
        <w:tc>
          <w:tcPr>
            <w:tcW w:w="0" w:type="auto"/>
            <w:noWrap/>
            <w:hideMark/>
          </w:tcPr>
          <w:p w14:paraId="26B03A4C" w14:textId="7228580B" w:rsidR="000A66F7" w:rsidRPr="000A66F7" w:rsidRDefault="000A66F7" w:rsidP="00A43B04">
            <w:pPr>
              <w:spacing w:after="0"/>
            </w:pPr>
            <w:r w:rsidRPr="000A66F7">
              <w:t>1.77%</w:t>
            </w:r>
          </w:p>
        </w:tc>
        <w:tc>
          <w:tcPr>
            <w:tcW w:w="0" w:type="auto"/>
            <w:noWrap/>
          </w:tcPr>
          <w:p w14:paraId="51B9488E" w14:textId="61F3F9ED" w:rsidR="000A66F7" w:rsidRPr="000A66F7" w:rsidRDefault="000A66F7" w:rsidP="00A43B04">
            <w:pPr>
              <w:spacing w:after="0"/>
            </w:pPr>
            <w:r w:rsidRPr="000A66F7">
              <w:t xml:space="preserve"> 3,837 </w:t>
            </w:r>
          </w:p>
        </w:tc>
      </w:tr>
      <w:tr w:rsidR="000A66F7" w:rsidRPr="00F60113" w14:paraId="66C32C6A" w14:textId="77777777" w:rsidTr="00951711">
        <w:trPr>
          <w:trHeight w:val="285"/>
        </w:trPr>
        <w:tc>
          <w:tcPr>
            <w:tcW w:w="0" w:type="auto"/>
            <w:noWrap/>
            <w:hideMark/>
          </w:tcPr>
          <w:p w14:paraId="347AC73A" w14:textId="77777777" w:rsidR="000A66F7" w:rsidRPr="00F60113" w:rsidRDefault="000A66F7" w:rsidP="00A43B04">
            <w:pPr>
              <w:spacing w:after="0"/>
            </w:pPr>
            <w:r w:rsidRPr="00F60113">
              <w:t>12</w:t>
            </w:r>
          </w:p>
        </w:tc>
        <w:tc>
          <w:tcPr>
            <w:tcW w:w="0" w:type="auto"/>
            <w:noWrap/>
            <w:hideMark/>
          </w:tcPr>
          <w:p w14:paraId="6539CE31" w14:textId="77777777" w:rsidR="000A66F7" w:rsidRPr="00F60113" w:rsidRDefault="000A66F7" w:rsidP="00A43B04">
            <w:pPr>
              <w:spacing w:after="0"/>
            </w:pPr>
            <w:r w:rsidRPr="00F60113">
              <w:t>2034-35</w:t>
            </w:r>
          </w:p>
        </w:tc>
        <w:tc>
          <w:tcPr>
            <w:tcW w:w="0" w:type="auto"/>
            <w:noWrap/>
            <w:hideMark/>
          </w:tcPr>
          <w:p w14:paraId="75A80AA2" w14:textId="2ED81A77" w:rsidR="000A66F7" w:rsidRPr="000A66F7" w:rsidRDefault="000A66F7" w:rsidP="00A43B04">
            <w:pPr>
              <w:spacing w:after="0"/>
            </w:pPr>
            <w:r w:rsidRPr="000A66F7">
              <w:t>1.74%</w:t>
            </w:r>
          </w:p>
        </w:tc>
        <w:tc>
          <w:tcPr>
            <w:tcW w:w="0" w:type="auto"/>
            <w:noWrap/>
          </w:tcPr>
          <w:p w14:paraId="4AACEB14" w14:textId="67C7F314" w:rsidR="000A66F7" w:rsidRPr="000A66F7" w:rsidRDefault="000A66F7" w:rsidP="00A43B04">
            <w:pPr>
              <w:spacing w:after="0"/>
            </w:pPr>
            <w:r w:rsidRPr="000A66F7">
              <w:t xml:space="preserve"> 3,842 </w:t>
            </w:r>
          </w:p>
        </w:tc>
      </w:tr>
      <w:tr w:rsidR="000A66F7" w:rsidRPr="00F60113" w14:paraId="3C53F499" w14:textId="77777777" w:rsidTr="00951711">
        <w:trPr>
          <w:trHeight w:val="285"/>
        </w:trPr>
        <w:tc>
          <w:tcPr>
            <w:tcW w:w="0" w:type="auto"/>
            <w:noWrap/>
            <w:hideMark/>
          </w:tcPr>
          <w:p w14:paraId="688BC9A7" w14:textId="77777777" w:rsidR="000A66F7" w:rsidRPr="00F60113" w:rsidRDefault="000A66F7" w:rsidP="00A43B04">
            <w:pPr>
              <w:spacing w:after="0"/>
            </w:pPr>
            <w:r w:rsidRPr="00F60113">
              <w:t>13</w:t>
            </w:r>
          </w:p>
        </w:tc>
        <w:tc>
          <w:tcPr>
            <w:tcW w:w="0" w:type="auto"/>
            <w:noWrap/>
            <w:hideMark/>
          </w:tcPr>
          <w:p w14:paraId="55C40221" w14:textId="77777777" w:rsidR="000A66F7" w:rsidRPr="00F60113" w:rsidRDefault="000A66F7" w:rsidP="00A43B04">
            <w:pPr>
              <w:spacing w:after="0"/>
            </w:pPr>
            <w:r w:rsidRPr="00F60113">
              <w:t>2035-36</w:t>
            </w:r>
          </w:p>
        </w:tc>
        <w:tc>
          <w:tcPr>
            <w:tcW w:w="0" w:type="auto"/>
            <w:noWrap/>
            <w:hideMark/>
          </w:tcPr>
          <w:p w14:paraId="5B928C7F" w14:textId="3A21F754" w:rsidR="000A66F7" w:rsidRPr="000A66F7" w:rsidRDefault="000A66F7" w:rsidP="00A43B04">
            <w:pPr>
              <w:spacing w:after="0"/>
            </w:pPr>
            <w:r w:rsidRPr="000A66F7">
              <w:t>1.72%</w:t>
            </w:r>
          </w:p>
        </w:tc>
        <w:tc>
          <w:tcPr>
            <w:tcW w:w="0" w:type="auto"/>
            <w:noWrap/>
          </w:tcPr>
          <w:p w14:paraId="2024BC2E" w14:textId="7CC53B60" w:rsidR="000A66F7" w:rsidRPr="000A66F7" w:rsidRDefault="000A66F7" w:rsidP="00A43B04">
            <w:pPr>
              <w:spacing w:after="0"/>
            </w:pPr>
            <w:r w:rsidRPr="000A66F7">
              <w:t xml:space="preserve"> 3,862 </w:t>
            </w:r>
          </w:p>
        </w:tc>
      </w:tr>
      <w:tr w:rsidR="000A66F7" w:rsidRPr="00F60113" w14:paraId="0AB4B1F5" w14:textId="77777777" w:rsidTr="00951711">
        <w:trPr>
          <w:trHeight w:val="285"/>
        </w:trPr>
        <w:tc>
          <w:tcPr>
            <w:tcW w:w="0" w:type="auto"/>
            <w:noWrap/>
            <w:hideMark/>
          </w:tcPr>
          <w:p w14:paraId="7BDB5AC9" w14:textId="77777777" w:rsidR="000A66F7" w:rsidRPr="00F60113" w:rsidRDefault="000A66F7" w:rsidP="00A43B04">
            <w:pPr>
              <w:spacing w:after="0"/>
            </w:pPr>
            <w:r w:rsidRPr="00F60113">
              <w:t>14</w:t>
            </w:r>
          </w:p>
        </w:tc>
        <w:tc>
          <w:tcPr>
            <w:tcW w:w="0" w:type="auto"/>
            <w:noWrap/>
            <w:hideMark/>
          </w:tcPr>
          <w:p w14:paraId="2936BC9E" w14:textId="77777777" w:rsidR="000A66F7" w:rsidRPr="00F60113" w:rsidRDefault="000A66F7" w:rsidP="00A43B04">
            <w:pPr>
              <w:spacing w:after="0"/>
            </w:pPr>
            <w:r w:rsidRPr="00F60113">
              <w:t>2036-37</w:t>
            </w:r>
          </w:p>
        </w:tc>
        <w:tc>
          <w:tcPr>
            <w:tcW w:w="0" w:type="auto"/>
            <w:noWrap/>
            <w:hideMark/>
          </w:tcPr>
          <w:p w14:paraId="33EECCF2" w14:textId="374C5E48" w:rsidR="000A66F7" w:rsidRPr="000A66F7" w:rsidRDefault="000A66F7" w:rsidP="00A43B04">
            <w:pPr>
              <w:spacing w:after="0"/>
            </w:pPr>
            <w:r w:rsidRPr="000A66F7">
              <w:t>1.73%</w:t>
            </w:r>
          </w:p>
        </w:tc>
        <w:tc>
          <w:tcPr>
            <w:tcW w:w="0" w:type="auto"/>
            <w:noWrap/>
          </w:tcPr>
          <w:p w14:paraId="6B3927B1" w14:textId="3583CE68" w:rsidR="000A66F7" w:rsidRPr="000A66F7" w:rsidRDefault="000A66F7" w:rsidP="00A43B04">
            <w:pPr>
              <w:spacing w:after="0"/>
            </w:pPr>
            <w:r w:rsidRPr="000A66F7">
              <w:t xml:space="preserve"> 3,950 </w:t>
            </w:r>
          </w:p>
        </w:tc>
      </w:tr>
      <w:tr w:rsidR="000A66F7" w:rsidRPr="00F60113" w14:paraId="18B36E3E" w14:textId="77777777" w:rsidTr="00951711">
        <w:trPr>
          <w:trHeight w:val="285"/>
        </w:trPr>
        <w:tc>
          <w:tcPr>
            <w:tcW w:w="0" w:type="auto"/>
            <w:noWrap/>
            <w:hideMark/>
          </w:tcPr>
          <w:p w14:paraId="511BB2D5" w14:textId="77777777" w:rsidR="000A66F7" w:rsidRPr="00F60113" w:rsidRDefault="000A66F7" w:rsidP="00A43B04">
            <w:pPr>
              <w:spacing w:after="0"/>
            </w:pPr>
            <w:r w:rsidRPr="00F60113">
              <w:t>15</w:t>
            </w:r>
          </w:p>
        </w:tc>
        <w:tc>
          <w:tcPr>
            <w:tcW w:w="0" w:type="auto"/>
            <w:noWrap/>
            <w:hideMark/>
          </w:tcPr>
          <w:p w14:paraId="2EA88360" w14:textId="77777777" w:rsidR="000A66F7" w:rsidRPr="00F60113" w:rsidRDefault="000A66F7" w:rsidP="00A43B04">
            <w:pPr>
              <w:spacing w:after="0"/>
            </w:pPr>
            <w:r w:rsidRPr="00F60113">
              <w:t>2037-38</w:t>
            </w:r>
          </w:p>
        </w:tc>
        <w:tc>
          <w:tcPr>
            <w:tcW w:w="0" w:type="auto"/>
            <w:noWrap/>
            <w:hideMark/>
          </w:tcPr>
          <w:p w14:paraId="11C4C63B" w14:textId="5F7D19AA" w:rsidR="000A66F7" w:rsidRPr="000A66F7" w:rsidRDefault="000A66F7" w:rsidP="00A43B04">
            <w:pPr>
              <w:spacing w:after="0"/>
            </w:pPr>
            <w:r w:rsidRPr="000A66F7">
              <w:t>1.67%</w:t>
            </w:r>
          </w:p>
        </w:tc>
        <w:tc>
          <w:tcPr>
            <w:tcW w:w="0" w:type="auto"/>
            <w:noWrap/>
          </w:tcPr>
          <w:p w14:paraId="44F57C6E" w14:textId="1C92416D" w:rsidR="000A66F7" w:rsidRPr="000A66F7" w:rsidRDefault="000A66F7" w:rsidP="00A43B04">
            <w:pPr>
              <w:spacing w:after="0"/>
            </w:pPr>
            <w:r w:rsidRPr="000A66F7">
              <w:t xml:space="preserve"> 3,897 </w:t>
            </w:r>
          </w:p>
        </w:tc>
      </w:tr>
      <w:tr w:rsidR="000A66F7" w:rsidRPr="00F60113" w14:paraId="6FE56E42" w14:textId="77777777" w:rsidTr="00951711">
        <w:trPr>
          <w:trHeight w:val="285"/>
        </w:trPr>
        <w:tc>
          <w:tcPr>
            <w:tcW w:w="0" w:type="auto"/>
            <w:noWrap/>
            <w:hideMark/>
          </w:tcPr>
          <w:p w14:paraId="3698F1AD" w14:textId="77777777" w:rsidR="000A66F7" w:rsidRPr="00F60113" w:rsidRDefault="000A66F7" w:rsidP="00A43B04">
            <w:pPr>
              <w:spacing w:after="0"/>
            </w:pPr>
            <w:r w:rsidRPr="00F60113">
              <w:t>16</w:t>
            </w:r>
          </w:p>
        </w:tc>
        <w:tc>
          <w:tcPr>
            <w:tcW w:w="0" w:type="auto"/>
            <w:noWrap/>
            <w:hideMark/>
          </w:tcPr>
          <w:p w14:paraId="247C59AF" w14:textId="77777777" w:rsidR="000A66F7" w:rsidRPr="00F60113" w:rsidRDefault="000A66F7" w:rsidP="00A43B04">
            <w:pPr>
              <w:spacing w:after="0"/>
            </w:pPr>
            <w:r w:rsidRPr="00F60113">
              <w:t>2038-39</w:t>
            </w:r>
          </w:p>
        </w:tc>
        <w:tc>
          <w:tcPr>
            <w:tcW w:w="0" w:type="auto"/>
            <w:noWrap/>
            <w:hideMark/>
          </w:tcPr>
          <w:p w14:paraId="51894E43" w14:textId="28DAF009" w:rsidR="000A66F7" w:rsidRPr="000A66F7" w:rsidRDefault="000A66F7" w:rsidP="00A43B04">
            <w:pPr>
              <w:spacing w:after="0"/>
            </w:pPr>
            <w:r w:rsidRPr="000A66F7">
              <w:t>1.64%</w:t>
            </w:r>
          </w:p>
        </w:tc>
        <w:tc>
          <w:tcPr>
            <w:tcW w:w="0" w:type="auto"/>
            <w:noWrap/>
          </w:tcPr>
          <w:p w14:paraId="1B8C4951" w14:textId="31E4BDAD" w:rsidR="000A66F7" w:rsidRPr="000A66F7" w:rsidRDefault="000A66F7" w:rsidP="00A43B04">
            <w:pPr>
              <w:spacing w:after="0"/>
            </w:pPr>
            <w:r w:rsidRPr="000A66F7">
              <w:t xml:space="preserve"> 3,888 </w:t>
            </w:r>
          </w:p>
        </w:tc>
      </w:tr>
      <w:tr w:rsidR="000A66F7" w:rsidRPr="00F60113" w14:paraId="4F5C0637" w14:textId="77777777" w:rsidTr="00951711">
        <w:trPr>
          <w:trHeight w:val="285"/>
        </w:trPr>
        <w:tc>
          <w:tcPr>
            <w:tcW w:w="0" w:type="auto"/>
            <w:noWrap/>
            <w:hideMark/>
          </w:tcPr>
          <w:p w14:paraId="4FC3BEE8" w14:textId="77777777" w:rsidR="000A66F7" w:rsidRPr="00F60113" w:rsidRDefault="000A66F7" w:rsidP="00A43B04">
            <w:pPr>
              <w:spacing w:after="0"/>
            </w:pPr>
            <w:r w:rsidRPr="00F60113">
              <w:t>17</w:t>
            </w:r>
          </w:p>
        </w:tc>
        <w:tc>
          <w:tcPr>
            <w:tcW w:w="0" w:type="auto"/>
            <w:noWrap/>
            <w:hideMark/>
          </w:tcPr>
          <w:p w14:paraId="237F9789" w14:textId="77777777" w:rsidR="000A66F7" w:rsidRPr="00F60113" w:rsidRDefault="000A66F7" w:rsidP="00A43B04">
            <w:pPr>
              <w:spacing w:after="0"/>
            </w:pPr>
            <w:r w:rsidRPr="00F60113">
              <w:t>2039-40</w:t>
            </w:r>
          </w:p>
        </w:tc>
        <w:tc>
          <w:tcPr>
            <w:tcW w:w="0" w:type="auto"/>
            <w:noWrap/>
            <w:hideMark/>
          </w:tcPr>
          <w:p w14:paraId="70E520A8" w14:textId="4CD1952B" w:rsidR="000A66F7" w:rsidRPr="000A66F7" w:rsidRDefault="000A66F7" w:rsidP="00A43B04">
            <w:pPr>
              <w:spacing w:after="0"/>
            </w:pPr>
            <w:r w:rsidRPr="000A66F7">
              <w:t>1.64%</w:t>
            </w:r>
          </w:p>
        </w:tc>
        <w:tc>
          <w:tcPr>
            <w:tcW w:w="0" w:type="auto"/>
            <w:noWrap/>
          </w:tcPr>
          <w:p w14:paraId="2122CE96" w14:textId="2F4D6FD6" w:rsidR="000A66F7" w:rsidRPr="000A66F7" w:rsidRDefault="000A66F7" w:rsidP="00A43B04">
            <w:pPr>
              <w:spacing w:after="0"/>
            </w:pPr>
            <w:r w:rsidRPr="000A66F7">
              <w:t xml:space="preserve"> 3,933 </w:t>
            </w:r>
          </w:p>
        </w:tc>
      </w:tr>
      <w:tr w:rsidR="000A66F7" w:rsidRPr="00F60113" w14:paraId="0F0198CB" w14:textId="77777777" w:rsidTr="00951711">
        <w:trPr>
          <w:trHeight w:val="285"/>
        </w:trPr>
        <w:tc>
          <w:tcPr>
            <w:tcW w:w="0" w:type="auto"/>
            <w:noWrap/>
            <w:hideMark/>
          </w:tcPr>
          <w:p w14:paraId="18674EE3" w14:textId="77777777" w:rsidR="000A66F7" w:rsidRPr="00F60113" w:rsidRDefault="000A66F7" w:rsidP="00A43B04">
            <w:pPr>
              <w:spacing w:after="0"/>
            </w:pPr>
            <w:r w:rsidRPr="00F60113">
              <w:t>18</w:t>
            </w:r>
          </w:p>
        </w:tc>
        <w:tc>
          <w:tcPr>
            <w:tcW w:w="0" w:type="auto"/>
            <w:noWrap/>
            <w:hideMark/>
          </w:tcPr>
          <w:p w14:paraId="4E4A2B50" w14:textId="77777777" w:rsidR="000A66F7" w:rsidRPr="00F60113" w:rsidRDefault="000A66F7" w:rsidP="00A43B04">
            <w:pPr>
              <w:spacing w:after="0"/>
            </w:pPr>
            <w:r w:rsidRPr="00F60113">
              <w:t>2040-41</w:t>
            </w:r>
          </w:p>
        </w:tc>
        <w:tc>
          <w:tcPr>
            <w:tcW w:w="0" w:type="auto"/>
            <w:noWrap/>
            <w:hideMark/>
          </w:tcPr>
          <w:p w14:paraId="0E6C7588" w14:textId="77777777" w:rsidR="000A66F7" w:rsidRPr="00F60113" w:rsidRDefault="000A66F7" w:rsidP="00A43B04">
            <w:pPr>
              <w:spacing w:after="0"/>
            </w:pPr>
            <w:r w:rsidRPr="00F60113">
              <w:t>1.58%</w:t>
            </w:r>
          </w:p>
        </w:tc>
        <w:tc>
          <w:tcPr>
            <w:tcW w:w="0" w:type="auto"/>
            <w:noWrap/>
          </w:tcPr>
          <w:p w14:paraId="71E5913C" w14:textId="48C8445A" w:rsidR="000A66F7" w:rsidRPr="000A66F7" w:rsidRDefault="000A66F7" w:rsidP="00A43B04">
            <w:pPr>
              <w:spacing w:after="0"/>
            </w:pPr>
            <w:r w:rsidRPr="000A66F7">
              <w:t xml:space="preserve"> 3,865 </w:t>
            </w:r>
          </w:p>
        </w:tc>
      </w:tr>
      <w:tr w:rsidR="000A66F7" w:rsidRPr="00F60113" w14:paraId="7C69C1BC" w14:textId="77777777" w:rsidTr="00951711">
        <w:trPr>
          <w:trHeight w:val="285"/>
        </w:trPr>
        <w:tc>
          <w:tcPr>
            <w:tcW w:w="0" w:type="auto"/>
            <w:noWrap/>
            <w:hideMark/>
          </w:tcPr>
          <w:p w14:paraId="4B4F7019" w14:textId="77777777" w:rsidR="000A66F7" w:rsidRPr="00F60113" w:rsidRDefault="000A66F7" w:rsidP="00A43B04">
            <w:pPr>
              <w:spacing w:after="0"/>
            </w:pPr>
            <w:r w:rsidRPr="00F60113">
              <w:t>19</w:t>
            </w:r>
          </w:p>
        </w:tc>
        <w:tc>
          <w:tcPr>
            <w:tcW w:w="0" w:type="auto"/>
            <w:noWrap/>
            <w:hideMark/>
          </w:tcPr>
          <w:p w14:paraId="418C4C71" w14:textId="77777777" w:rsidR="000A66F7" w:rsidRPr="00F60113" w:rsidRDefault="000A66F7" w:rsidP="00A43B04">
            <w:pPr>
              <w:spacing w:after="0"/>
            </w:pPr>
            <w:r w:rsidRPr="00F60113">
              <w:t>2041-42</w:t>
            </w:r>
          </w:p>
        </w:tc>
        <w:tc>
          <w:tcPr>
            <w:tcW w:w="0" w:type="auto"/>
            <w:noWrap/>
            <w:hideMark/>
          </w:tcPr>
          <w:p w14:paraId="3E5D7154" w14:textId="77777777" w:rsidR="000A66F7" w:rsidRPr="00F60113" w:rsidRDefault="000A66F7" w:rsidP="00A43B04">
            <w:pPr>
              <w:spacing w:after="0"/>
            </w:pPr>
            <w:r w:rsidRPr="00F60113">
              <w:t>1.58%</w:t>
            </w:r>
          </w:p>
        </w:tc>
        <w:tc>
          <w:tcPr>
            <w:tcW w:w="0" w:type="auto"/>
            <w:noWrap/>
          </w:tcPr>
          <w:p w14:paraId="21D17B09" w14:textId="45F301D8" w:rsidR="000A66F7" w:rsidRPr="000A66F7" w:rsidRDefault="000A66F7" w:rsidP="00A43B04">
            <w:pPr>
              <w:spacing w:after="0"/>
            </w:pPr>
            <w:r w:rsidRPr="000A66F7">
              <w:t xml:space="preserve"> 3,926 </w:t>
            </w:r>
          </w:p>
        </w:tc>
      </w:tr>
      <w:tr w:rsidR="000A66F7" w:rsidRPr="00F60113" w14:paraId="74A678EB" w14:textId="77777777" w:rsidTr="00951711">
        <w:trPr>
          <w:trHeight w:val="285"/>
        </w:trPr>
        <w:tc>
          <w:tcPr>
            <w:tcW w:w="0" w:type="auto"/>
            <w:noWrap/>
            <w:hideMark/>
          </w:tcPr>
          <w:p w14:paraId="003A55B7" w14:textId="77777777" w:rsidR="000A66F7" w:rsidRPr="00F60113" w:rsidRDefault="000A66F7" w:rsidP="00A43B04">
            <w:pPr>
              <w:spacing w:after="0"/>
            </w:pPr>
            <w:r w:rsidRPr="00F60113">
              <w:t>20</w:t>
            </w:r>
          </w:p>
        </w:tc>
        <w:tc>
          <w:tcPr>
            <w:tcW w:w="0" w:type="auto"/>
            <w:noWrap/>
            <w:hideMark/>
          </w:tcPr>
          <w:p w14:paraId="58F7103E" w14:textId="77777777" w:rsidR="000A66F7" w:rsidRPr="00F60113" w:rsidRDefault="000A66F7" w:rsidP="00A43B04">
            <w:pPr>
              <w:spacing w:after="0"/>
            </w:pPr>
            <w:r w:rsidRPr="00F60113">
              <w:t>2042-43</w:t>
            </w:r>
          </w:p>
        </w:tc>
        <w:tc>
          <w:tcPr>
            <w:tcW w:w="0" w:type="auto"/>
            <w:noWrap/>
            <w:hideMark/>
          </w:tcPr>
          <w:p w14:paraId="1936EE4C" w14:textId="77777777" w:rsidR="000A66F7" w:rsidRPr="00F60113" w:rsidRDefault="000A66F7" w:rsidP="00A43B04">
            <w:pPr>
              <w:spacing w:after="0"/>
            </w:pPr>
            <w:r w:rsidRPr="00F60113">
              <w:t>1.58%</w:t>
            </w:r>
          </w:p>
        </w:tc>
        <w:tc>
          <w:tcPr>
            <w:tcW w:w="0" w:type="auto"/>
            <w:noWrap/>
          </w:tcPr>
          <w:p w14:paraId="6B609E51" w14:textId="169A8A72" w:rsidR="000A66F7" w:rsidRPr="000A66F7" w:rsidRDefault="000A66F7" w:rsidP="00A43B04">
            <w:pPr>
              <w:spacing w:after="0"/>
            </w:pPr>
            <w:r w:rsidRPr="000A66F7">
              <w:t xml:space="preserve"> 3,988 </w:t>
            </w:r>
          </w:p>
        </w:tc>
      </w:tr>
      <w:tr w:rsidR="000A66F7" w:rsidRPr="00F60113" w14:paraId="0741A320" w14:textId="77777777" w:rsidTr="00951711">
        <w:trPr>
          <w:trHeight w:val="285"/>
        </w:trPr>
        <w:tc>
          <w:tcPr>
            <w:tcW w:w="0" w:type="auto"/>
            <w:noWrap/>
            <w:hideMark/>
          </w:tcPr>
          <w:p w14:paraId="3179B400" w14:textId="77777777" w:rsidR="000A66F7" w:rsidRPr="00F60113" w:rsidRDefault="000A66F7" w:rsidP="00A43B04">
            <w:pPr>
              <w:spacing w:after="0"/>
            </w:pPr>
            <w:r w:rsidRPr="00F60113">
              <w:lastRenderedPageBreak/>
              <w:t>21</w:t>
            </w:r>
          </w:p>
        </w:tc>
        <w:tc>
          <w:tcPr>
            <w:tcW w:w="0" w:type="auto"/>
            <w:noWrap/>
            <w:hideMark/>
          </w:tcPr>
          <w:p w14:paraId="24FB3BBE" w14:textId="77777777" w:rsidR="000A66F7" w:rsidRPr="00F60113" w:rsidRDefault="000A66F7" w:rsidP="00A43B04">
            <w:pPr>
              <w:spacing w:after="0"/>
            </w:pPr>
            <w:r w:rsidRPr="00F60113">
              <w:t>2043-44</w:t>
            </w:r>
          </w:p>
        </w:tc>
        <w:tc>
          <w:tcPr>
            <w:tcW w:w="0" w:type="auto"/>
            <w:noWrap/>
            <w:hideMark/>
          </w:tcPr>
          <w:p w14:paraId="552FB666" w14:textId="77777777" w:rsidR="000A66F7" w:rsidRPr="00F60113" w:rsidRDefault="000A66F7" w:rsidP="00A43B04">
            <w:pPr>
              <w:spacing w:after="0"/>
            </w:pPr>
            <w:r w:rsidRPr="00F60113">
              <w:t>1.58%</w:t>
            </w:r>
          </w:p>
        </w:tc>
        <w:tc>
          <w:tcPr>
            <w:tcW w:w="0" w:type="auto"/>
            <w:noWrap/>
          </w:tcPr>
          <w:p w14:paraId="227540BF" w14:textId="41BDFC20" w:rsidR="000A66F7" w:rsidRPr="000A66F7" w:rsidRDefault="000A66F7" w:rsidP="00A43B04">
            <w:pPr>
              <w:spacing w:after="0"/>
            </w:pPr>
            <w:r w:rsidRPr="000A66F7">
              <w:t xml:space="preserve"> 4,051 </w:t>
            </w:r>
          </w:p>
        </w:tc>
      </w:tr>
      <w:tr w:rsidR="000A66F7" w:rsidRPr="00F60113" w14:paraId="675CC214" w14:textId="77777777" w:rsidTr="00951711">
        <w:trPr>
          <w:trHeight w:val="285"/>
        </w:trPr>
        <w:tc>
          <w:tcPr>
            <w:tcW w:w="0" w:type="auto"/>
            <w:noWrap/>
            <w:hideMark/>
          </w:tcPr>
          <w:p w14:paraId="7C1BBDE4" w14:textId="77777777" w:rsidR="000A66F7" w:rsidRPr="00F60113" w:rsidRDefault="000A66F7" w:rsidP="00A43B04">
            <w:pPr>
              <w:spacing w:after="0"/>
            </w:pPr>
            <w:r w:rsidRPr="00F60113">
              <w:t>22</w:t>
            </w:r>
          </w:p>
        </w:tc>
        <w:tc>
          <w:tcPr>
            <w:tcW w:w="0" w:type="auto"/>
            <w:noWrap/>
            <w:hideMark/>
          </w:tcPr>
          <w:p w14:paraId="4F50C7AB" w14:textId="77777777" w:rsidR="000A66F7" w:rsidRPr="00F60113" w:rsidRDefault="000A66F7" w:rsidP="00A43B04">
            <w:pPr>
              <w:spacing w:after="0"/>
            </w:pPr>
            <w:r w:rsidRPr="00F60113">
              <w:t>2044-45</w:t>
            </w:r>
          </w:p>
        </w:tc>
        <w:tc>
          <w:tcPr>
            <w:tcW w:w="0" w:type="auto"/>
            <w:noWrap/>
            <w:hideMark/>
          </w:tcPr>
          <w:p w14:paraId="6908BE11" w14:textId="77777777" w:rsidR="000A66F7" w:rsidRPr="00F60113" w:rsidRDefault="000A66F7" w:rsidP="00A43B04">
            <w:pPr>
              <w:spacing w:after="0"/>
            </w:pPr>
            <w:r w:rsidRPr="00F60113">
              <w:t>1.58%</w:t>
            </w:r>
          </w:p>
        </w:tc>
        <w:tc>
          <w:tcPr>
            <w:tcW w:w="0" w:type="auto"/>
            <w:noWrap/>
          </w:tcPr>
          <w:p w14:paraId="0F706EF1" w14:textId="307E20C2" w:rsidR="000A66F7" w:rsidRPr="000A66F7" w:rsidRDefault="000A66F7" w:rsidP="00A43B04">
            <w:pPr>
              <w:spacing w:after="0"/>
            </w:pPr>
            <w:r w:rsidRPr="000A66F7">
              <w:t xml:space="preserve"> 4,115 </w:t>
            </w:r>
          </w:p>
        </w:tc>
      </w:tr>
      <w:tr w:rsidR="000A66F7" w:rsidRPr="00F60113" w14:paraId="0214848E" w14:textId="77777777" w:rsidTr="00951711">
        <w:trPr>
          <w:trHeight w:val="285"/>
        </w:trPr>
        <w:tc>
          <w:tcPr>
            <w:tcW w:w="0" w:type="auto"/>
            <w:noWrap/>
            <w:hideMark/>
          </w:tcPr>
          <w:p w14:paraId="6C8E71BF" w14:textId="77777777" w:rsidR="000A66F7" w:rsidRPr="00F60113" w:rsidRDefault="000A66F7" w:rsidP="00A43B04">
            <w:pPr>
              <w:spacing w:after="0"/>
            </w:pPr>
            <w:r w:rsidRPr="00F60113">
              <w:t>23</w:t>
            </w:r>
          </w:p>
        </w:tc>
        <w:tc>
          <w:tcPr>
            <w:tcW w:w="0" w:type="auto"/>
            <w:noWrap/>
            <w:hideMark/>
          </w:tcPr>
          <w:p w14:paraId="2FAEAF96" w14:textId="77777777" w:rsidR="000A66F7" w:rsidRPr="00F60113" w:rsidRDefault="000A66F7" w:rsidP="00A43B04">
            <w:pPr>
              <w:spacing w:after="0"/>
            </w:pPr>
            <w:r w:rsidRPr="00F60113">
              <w:t>2045-46</w:t>
            </w:r>
          </w:p>
        </w:tc>
        <w:tc>
          <w:tcPr>
            <w:tcW w:w="0" w:type="auto"/>
            <w:noWrap/>
            <w:hideMark/>
          </w:tcPr>
          <w:p w14:paraId="5B92E96E" w14:textId="77777777" w:rsidR="000A66F7" w:rsidRPr="00F60113" w:rsidRDefault="000A66F7" w:rsidP="00A43B04">
            <w:pPr>
              <w:spacing w:after="0"/>
            </w:pPr>
            <w:r w:rsidRPr="00F60113">
              <w:t>1.58%</w:t>
            </w:r>
          </w:p>
        </w:tc>
        <w:tc>
          <w:tcPr>
            <w:tcW w:w="0" w:type="auto"/>
            <w:noWrap/>
          </w:tcPr>
          <w:p w14:paraId="2E11F5EE" w14:textId="71BB70BD" w:rsidR="000A66F7" w:rsidRPr="000A66F7" w:rsidRDefault="000A66F7" w:rsidP="00A43B04">
            <w:pPr>
              <w:spacing w:after="0"/>
            </w:pPr>
            <w:r w:rsidRPr="000A66F7">
              <w:t xml:space="preserve"> 4,181 </w:t>
            </w:r>
          </w:p>
        </w:tc>
      </w:tr>
      <w:tr w:rsidR="000A66F7" w:rsidRPr="00F60113" w14:paraId="6E0848A8" w14:textId="77777777" w:rsidTr="00951711">
        <w:trPr>
          <w:trHeight w:val="285"/>
        </w:trPr>
        <w:tc>
          <w:tcPr>
            <w:tcW w:w="0" w:type="auto"/>
            <w:noWrap/>
            <w:hideMark/>
          </w:tcPr>
          <w:p w14:paraId="682DEDF0" w14:textId="77777777" w:rsidR="000A66F7" w:rsidRPr="00F60113" w:rsidRDefault="000A66F7" w:rsidP="00A43B04">
            <w:pPr>
              <w:spacing w:after="0"/>
            </w:pPr>
            <w:r w:rsidRPr="00F60113">
              <w:t>24</w:t>
            </w:r>
          </w:p>
        </w:tc>
        <w:tc>
          <w:tcPr>
            <w:tcW w:w="0" w:type="auto"/>
            <w:noWrap/>
            <w:hideMark/>
          </w:tcPr>
          <w:p w14:paraId="450DEC6D" w14:textId="77777777" w:rsidR="000A66F7" w:rsidRPr="00F60113" w:rsidRDefault="000A66F7" w:rsidP="00A43B04">
            <w:pPr>
              <w:spacing w:after="0"/>
            </w:pPr>
            <w:r w:rsidRPr="00F60113">
              <w:t>2046-47</w:t>
            </w:r>
          </w:p>
        </w:tc>
        <w:tc>
          <w:tcPr>
            <w:tcW w:w="0" w:type="auto"/>
            <w:noWrap/>
            <w:hideMark/>
          </w:tcPr>
          <w:p w14:paraId="4233F314" w14:textId="77777777" w:rsidR="000A66F7" w:rsidRPr="00F60113" w:rsidRDefault="000A66F7" w:rsidP="00A43B04">
            <w:pPr>
              <w:spacing w:after="0"/>
            </w:pPr>
            <w:r w:rsidRPr="00F60113">
              <w:t>1.58%</w:t>
            </w:r>
          </w:p>
        </w:tc>
        <w:tc>
          <w:tcPr>
            <w:tcW w:w="0" w:type="auto"/>
            <w:noWrap/>
          </w:tcPr>
          <w:p w14:paraId="5E012C2B" w14:textId="3EE100B1" w:rsidR="000A66F7" w:rsidRPr="000A66F7" w:rsidRDefault="000A66F7" w:rsidP="00A43B04">
            <w:pPr>
              <w:spacing w:after="0"/>
            </w:pPr>
            <w:r w:rsidRPr="000A66F7">
              <w:t xml:space="preserve"> 4,247 </w:t>
            </w:r>
          </w:p>
        </w:tc>
      </w:tr>
      <w:tr w:rsidR="000A66F7" w:rsidRPr="00F60113" w14:paraId="64B19427" w14:textId="77777777" w:rsidTr="00951711">
        <w:trPr>
          <w:trHeight w:val="285"/>
        </w:trPr>
        <w:tc>
          <w:tcPr>
            <w:tcW w:w="0" w:type="auto"/>
            <w:noWrap/>
            <w:hideMark/>
          </w:tcPr>
          <w:p w14:paraId="4ED84978" w14:textId="77777777" w:rsidR="000A66F7" w:rsidRPr="00F60113" w:rsidRDefault="000A66F7" w:rsidP="00A43B04">
            <w:pPr>
              <w:spacing w:after="0"/>
            </w:pPr>
            <w:r w:rsidRPr="00F60113">
              <w:t>25</w:t>
            </w:r>
          </w:p>
        </w:tc>
        <w:tc>
          <w:tcPr>
            <w:tcW w:w="0" w:type="auto"/>
            <w:noWrap/>
            <w:hideMark/>
          </w:tcPr>
          <w:p w14:paraId="5A8764EC" w14:textId="77777777" w:rsidR="000A66F7" w:rsidRPr="00F60113" w:rsidRDefault="000A66F7" w:rsidP="00A43B04">
            <w:pPr>
              <w:spacing w:after="0"/>
            </w:pPr>
            <w:r w:rsidRPr="00F60113">
              <w:t>2047-48</w:t>
            </w:r>
          </w:p>
        </w:tc>
        <w:tc>
          <w:tcPr>
            <w:tcW w:w="0" w:type="auto"/>
            <w:noWrap/>
            <w:hideMark/>
          </w:tcPr>
          <w:p w14:paraId="173793E5" w14:textId="77777777" w:rsidR="000A66F7" w:rsidRPr="00F60113" w:rsidRDefault="000A66F7" w:rsidP="00A43B04">
            <w:pPr>
              <w:spacing w:after="0"/>
            </w:pPr>
            <w:r w:rsidRPr="00F60113">
              <w:t>1.58%</w:t>
            </w:r>
          </w:p>
        </w:tc>
        <w:tc>
          <w:tcPr>
            <w:tcW w:w="0" w:type="auto"/>
            <w:noWrap/>
          </w:tcPr>
          <w:p w14:paraId="4A3169B8" w14:textId="58E44DDB" w:rsidR="000A66F7" w:rsidRPr="000A66F7" w:rsidRDefault="000A66F7" w:rsidP="00A43B04">
            <w:pPr>
              <w:spacing w:after="0"/>
            </w:pPr>
            <w:r w:rsidRPr="000A66F7">
              <w:t xml:space="preserve"> 4,314 </w:t>
            </w:r>
          </w:p>
        </w:tc>
      </w:tr>
      <w:tr w:rsidR="000A66F7" w:rsidRPr="00F60113" w14:paraId="45DCF7EE" w14:textId="77777777" w:rsidTr="00951711">
        <w:trPr>
          <w:trHeight w:val="285"/>
        </w:trPr>
        <w:tc>
          <w:tcPr>
            <w:tcW w:w="0" w:type="auto"/>
            <w:noWrap/>
            <w:hideMark/>
          </w:tcPr>
          <w:p w14:paraId="0B8D93FB" w14:textId="77777777" w:rsidR="000A66F7" w:rsidRPr="00F60113" w:rsidRDefault="000A66F7" w:rsidP="00A43B04">
            <w:pPr>
              <w:spacing w:after="0"/>
            </w:pPr>
            <w:r w:rsidRPr="00F60113">
              <w:t>26</w:t>
            </w:r>
          </w:p>
        </w:tc>
        <w:tc>
          <w:tcPr>
            <w:tcW w:w="0" w:type="auto"/>
            <w:noWrap/>
            <w:hideMark/>
          </w:tcPr>
          <w:p w14:paraId="5172C8AB" w14:textId="77777777" w:rsidR="000A66F7" w:rsidRPr="00F60113" w:rsidRDefault="000A66F7" w:rsidP="00A43B04">
            <w:pPr>
              <w:spacing w:after="0"/>
            </w:pPr>
            <w:r w:rsidRPr="00F60113">
              <w:t>2048-49</w:t>
            </w:r>
          </w:p>
        </w:tc>
        <w:tc>
          <w:tcPr>
            <w:tcW w:w="0" w:type="auto"/>
            <w:noWrap/>
            <w:hideMark/>
          </w:tcPr>
          <w:p w14:paraId="3B8922B6" w14:textId="77777777" w:rsidR="000A66F7" w:rsidRPr="00F60113" w:rsidRDefault="000A66F7" w:rsidP="00A43B04">
            <w:pPr>
              <w:spacing w:after="0"/>
            </w:pPr>
            <w:r w:rsidRPr="00F60113">
              <w:t>1.58%</w:t>
            </w:r>
          </w:p>
        </w:tc>
        <w:tc>
          <w:tcPr>
            <w:tcW w:w="0" w:type="auto"/>
            <w:noWrap/>
          </w:tcPr>
          <w:p w14:paraId="17056AC0" w14:textId="498BB64E" w:rsidR="000A66F7" w:rsidRPr="000A66F7" w:rsidRDefault="000A66F7" w:rsidP="00A43B04">
            <w:pPr>
              <w:spacing w:after="0"/>
            </w:pPr>
            <w:r w:rsidRPr="000A66F7">
              <w:t xml:space="preserve"> 4,382 </w:t>
            </w:r>
          </w:p>
        </w:tc>
      </w:tr>
      <w:tr w:rsidR="000A66F7" w:rsidRPr="00F60113" w14:paraId="5D47A1D1" w14:textId="77777777" w:rsidTr="00951711">
        <w:trPr>
          <w:trHeight w:val="285"/>
        </w:trPr>
        <w:tc>
          <w:tcPr>
            <w:tcW w:w="0" w:type="auto"/>
            <w:noWrap/>
            <w:hideMark/>
          </w:tcPr>
          <w:p w14:paraId="4920376F" w14:textId="77777777" w:rsidR="000A66F7" w:rsidRPr="00F60113" w:rsidRDefault="000A66F7" w:rsidP="00A43B04">
            <w:pPr>
              <w:spacing w:after="0"/>
            </w:pPr>
            <w:r w:rsidRPr="00F60113">
              <w:t>27</w:t>
            </w:r>
          </w:p>
        </w:tc>
        <w:tc>
          <w:tcPr>
            <w:tcW w:w="0" w:type="auto"/>
            <w:noWrap/>
            <w:hideMark/>
          </w:tcPr>
          <w:p w14:paraId="73FB6C39" w14:textId="77777777" w:rsidR="000A66F7" w:rsidRPr="00F60113" w:rsidRDefault="000A66F7" w:rsidP="00A43B04">
            <w:pPr>
              <w:spacing w:after="0"/>
            </w:pPr>
            <w:r w:rsidRPr="00F60113">
              <w:t>2049-50</w:t>
            </w:r>
          </w:p>
        </w:tc>
        <w:tc>
          <w:tcPr>
            <w:tcW w:w="0" w:type="auto"/>
            <w:noWrap/>
            <w:hideMark/>
          </w:tcPr>
          <w:p w14:paraId="0F73AAD1" w14:textId="77777777" w:rsidR="000A66F7" w:rsidRPr="00F60113" w:rsidRDefault="000A66F7" w:rsidP="00A43B04">
            <w:pPr>
              <w:spacing w:after="0"/>
            </w:pPr>
            <w:r w:rsidRPr="00F60113">
              <w:t>1.58%</w:t>
            </w:r>
          </w:p>
        </w:tc>
        <w:tc>
          <w:tcPr>
            <w:tcW w:w="0" w:type="auto"/>
            <w:noWrap/>
          </w:tcPr>
          <w:p w14:paraId="636CBAD0" w14:textId="0FDDAFD2" w:rsidR="000A66F7" w:rsidRPr="000A66F7" w:rsidRDefault="000A66F7" w:rsidP="00A43B04">
            <w:pPr>
              <w:spacing w:after="0"/>
            </w:pPr>
            <w:r w:rsidRPr="000A66F7">
              <w:t xml:space="preserve"> 4,451 </w:t>
            </w:r>
          </w:p>
        </w:tc>
      </w:tr>
      <w:tr w:rsidR="000A66F7" w:rsidRPr="00F60113" w14:paraId="2A5B1782" w14:textId="77777777" w:rsidTr="00951711">
        <w:trPr>
          <w:trHeight w:val="285"/>
        </w:trPr>
        <w:tc>
          <w:tcPr>
            <w:tcW w:w="0" w:type="auto"/>
            <w:noWrap/>
            <w:hideMark/>
          </w:tcPr>
          <w:p w14:paraId="2017AA1E" w14:textId="77777777" w:rsidR="000A66F7" w:rsidRPr="00F60113" w:rsidRDefault="000A66F7" w:rsidP="00A43B04">
            <w:pPr>
              <w:spacing w:after="0"/>
            </w:pPr>
            <w:r w:rsidRPr="00F60113">
              <w:t>28</w:t>
            </w:r>
          </w:p>
        </w:tc>
        <w:tc>
          <w:tcPr>
            <w:tcW w:w="0" w:type="auto"/>
            <w:noWrap/>
            <w:hideMark/>
          </w:tcPr>
          <w:p w14:paraId="46E5F68C" w14:textId="77777777" w:rsidR="000A66F7" w:rsidRPr="00F60113" w:rsidRDefault="000A66F7" w:rsidP="00A43B04">
            <w:pPr>
              <w:spacing w:after="0"/>
            </w:pPr>
            <w:r w:rsidRPr="00F60113">
              <w:t>2050-51</w:t>
            </w:r>
          </w:p>
        </w:tc>
        <w:tc>
          <w:tcPr>
            <w:tcW w:w="0" w:type="auto"/>
            <w:noWrap/>
            <w:hideMark/>
          </w:tcPr>
          <w:p w14:paraId="7F3034CB" w14:textId="77777777" w:rsidR="000A66F7" w:rsidRPr="00F60113" w:rsidRDefault="000A66F7" w:rsidP="00A43B04">
            <w:pPr>
              <w:spacing w:after="0"/>
            </w:pPr>
            <w:r w:rsidRPr="00F60113">
              <w:t>1.58%</w:t>
            </w:r>
          </w:p>
        </w:tc>
        <w:tc>
          <w:tcPr>
            <w:tcW w:w="0" w:type="auto"/>
            <w:noWrap/>
          </w:tcPr>
          <w:p w14:paraId="77664B13" w14:textId="46AECAD4" w:rsidR="000A66F7" w:rsidRPr="000A66F7" w:rsidRDefault="000A66F7" w:rsidP="00A43B04">
            <w:pPr>
              <w:spacing w:after="0"/>
            </w:pPr>
            <w:r w:rsidRPr="000A66F7">
              <w:t xml:space="preserve"> 4,522 </w:t>
            </w:r>
          </w:p>
        </w:tc>
      </w:tr>
      <w:tr w:rsidR="000A66F7" w:rsidRPr="00F60113" w14:paraId="7A2DDA1D" w14:textId="77777777" w:rsidTr="00951711">
        <w:trPr>
          <w:trHeight w:val="285"/>
        </w:trPr>
        <w:tc>
          <w:tcPr>
            <w:tcW w:w="0" w:type="auto"/>
            <w:noWrap/>
            <w:hideMark/>
          </w:tcPr>
          <w:p w14:paraId="03A19698" w14:textId="77777777" w:rsidR="000A66F7" w:rsidRPr="00F60113" w:rsidRDefault="000A66F7" w:rsidP="00A43B04">
            <w:pPr>
              <w:spacing w:after="0"/>
            </w:pPr>
            <w:r w:rsidRPr="00F60113">
              <w:t>29</w:t>
            </w:r>
          </w:p>
        </w:tc>
        <w:tc>
          <w:tcPr>
            <w:tcW w:w="0" w:type="auto"/>
            <w:noWrap/>
            <w:hideMark/>
          </w:tcPr>
          <w:p w14:paraId="691AF9D1" w14:textId="77777777" w:rsidR="000A66F7" w:rsidRPr="00F60113" w:rsidRDefault="000A66F7" w:rsidP="00A43B04">
            <w:pPr>
              <w:spacing w:after="0"/>
            </w:pPr>
            <w:r w:rsidRPr="00F60113">
              <w:t>2051-52</w:t>
            </w:r>
          </w:p>
        </w:tc>
        <w:tc>
          <w:tcPr>
            <w:tcW w:w="0" w:type="auto"/>
            <w:noWrap/>
            <w:hideMark/>
          </w:tcPr>
          <w:p w14:paraId="4AEEB465" w14:textId="77777777" w:rsidR="000A66F7" w:rsidRPr="00F60113" w:rsidRDefault="000A66F7" w:rsidP="00A43B04">
            <w:pPr>
              <w:spacing w:after="0"/>
            </w:pPr>
            <w:r w:rsidRPr="00F60113">
              <w:t>1.58%</w:t>
            </w:r>
          </w:p>
        </w:tc>
        <w:tc>
          <w:tcPr>
            <w:tcW w:w="0" w:type="auto"/>
            <w:noWrap/>
          </w:tcPr>
          <w:p w14:paraId="428B6EFE" w14:textId="3AA8020E" w:rsidR="000A66F7" w:rsidRPr="000A66F7" w:rsidRDefault="000A66F7" w:rsidP="00A43B04">
            <w:pPr>
              <w:spacing w:after="0"/>
            </w:pPr>
            <w:r w:rsidRPr="000A66F7">
              <w:t xml:space="preserve"> 4,593 </w:t>
            </w:r>
          </w:p>
        </w:tc>
      </w:tr>
      <w:tr w:rsidR="000A66F7" w:rsidRPr="00F60113" w14:paraId="41C9337C" w14:textId="77777777" w:rsidTr="00951711">
        <w:trPr>
          <w:trHeight w:val="285"/>
        </w:trPr>
        <w:tc>
          <w:tcPr>
            <w:tcW w:w="0" w:type="auto"/>
            <w:noWrap/>
            <w:hideMark/>
          </w:tcPr>
          <w:p w14:paraId="4C15948D" w14:textId="77777777" w:rsidR="000A66F7" w:rsidRPr="00F60113" w:rsidRDefault="000A66F7" w:rsidP="00A43B04">
            <w:pPr>
              <w:spacing w:after="0"/>
            </w:pPr>
            <w:r w:rsidRPr="00F60113">
              <w:t>30</w:t>
            </w:r>
          </w:p>
        </w:tc>
        <w:tc>
          <w:tcPr>
            <w:tcW w:w="0" w:type="auto"/>
            <w:noWrap/>
            <w:hideMark/>
          </w:tcPr>
          <w:p w14:paraId="72F0D58A" w14:textId="77777777" w:rsidR="000A66F7" w:rsidRPr="00F60113" w:rsidRDefault="000A66F7" w:rsidP="00A43B04">
            <w:pPr>
              <w:spacing w:after="0"/>
            </w:pPr>
            <w:r w:rsidRPr="00F60113">
              <w:t>2052-53</w:t>
            </w:r>
          </w:p>
        </w:tc>
        <w:tc>
          <w:tcPr>
            <w:tcW w:w="0" w:type="auto"/>
            <w:noWrap/>
            <w:hideMark/>
          </w:tcPr>
          <w:p w14:paraId="1C3CF3B0" w14:textId="77777777" w:rsidR="000A66F7" w:rsidRPr="00F60113" w:rsidRDefault="000A66F7" w:rsidP="00A43B04">
            <w:pPr>
              <w:spacing w:after="0"/>
            </w:pPr>
            <w:r w:rsidRPr="00F60113">
              <w:t>1.58%</w:t>
            </w:r>
          </w:p>
        </w:tc>
        <w:tc>
          <w:tcPr>
            <w:tcW w:w="0" w:type="auto"/>
            <w:noWrap/>
          </w:tcPr>
          <w:p w14:paraId="695D77C8" w14:textId="5A63A129" w:rsidR="000A66F7" w:rsidRPr="000A66F7" w:rsidRDefault="000A66F7" w:rsidP="00A43B04">
            <w:pPr>
              <w:spacing w:after="0"/>
            </w:pPr>
            <w:r w:rsidRPr="000A66F7">
              <w:t xml:space="preserve"> 4,666 </w:t>
            </w:r>
          </w:p>
        </w:tc>
      </w:tr>
    </w:tbl>
    <w:p w14:paraId="5EC8F13D" w14:textId="06C17ECC" w:rsidR="00177D06" w:rsidRDefault="00177D06" w:rsidP="00C113EE"/>
    <w:p w14:paraId="4829FABA" w14:textId="1BADDAD1" w:rsidR="00504C53" w:rsidRPr="00951711" w:rsidRDefault="00504C53" w:rsidP="00951711">
      <w:pPr>
        <w:pStyle w:val="Caption"/>
        <w:keepNext/>
        <w:spacing w:before="120" w:after="120"/>
        <w:rPr>
          <w:color w:val="414042"/>
        </w:rPr>
      </w:pPr>
      <w:bookmarkStart w:id="49" w:name="_Ref114227380"/>
      <w:r w:rsidRPr="00951711">
        <w:rPr>
          <w:color w:val="414042"/>
        </w:rPr>
        <w:t xml:space="preserve">Table </w:t>
      </w:r>
      <w:r w:rsidR="001E509C" w:rsidRPr="00951711">
        <w:rPr>
          <w:color w:val="414042"/>
        </w:rPr>
        <w:fldChar w:fldCharType="begin"/>
      </w:r>
      <w:r w:rsidR="001E509C" w:rsidRPr="00951711">
        <w:rPr>
          <w:color w:val="414042"/>
        </w:rPr>
        <w:instrText xml:space="preserve"> SEQ Table \* ARABIC </w:instrText>
      </w:r>
      <w:r w:rsidR="001E509C" w:rsidRPr="00951711">
        <w:rPr>
          <w:color w:val="414042"/>
        </w:rPr>
        <w:fldChar w:fldCharType="separate"/>
      </w:r>
      <w:r w:rsidRPr="00951711">
        <w:rPr>
          <w:color w:val="414042"/>
        </w:rPr>
        <w:t>3</w:t>
      </w:r>
      <w:r w:rsidR="001E509C" w:rsidRPr="00951711">
        <w:rPr>
          <w:color w:val="414042"/>
        </w:rPr>
        <w:fldChar w:fldCharType="end"/>
      </w:r>
      <w:bookmarkEnd w:id="49"/>
      <w:r w:rsidRPr="00951711">
        <w:rPr>
          <w:color w:val="414042"/>
        </w:rPr>
        <w:t xml:space="preserve"> Meter Sizes and Number of Lots</w:t>
      </w:r>
    </w:p>
    <w:tbl>
      <w:tblPr>
        <w:tblStyle w:val="TableGrid"/>
        <w:tblW w:w="0" w:type="auto"/>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1296"/>
        <w:gridCol w:w="1124"/>
        <w:gridCol w:w="1821"/>
        <w:gridCol w:w="1068"/>
      </w:tblGrid>
      <w:tr w:rsidR="00504C53" w:rsidRPr="00504C53" w14:paraId="3468C29D" w14:textId="77777777" w:rsidTr="00951711">
        <w:trPr>
          <w:trHeight w:val="285"/>
        </w:trPr>
        <w:tc>
          <w:tcPr>
            <w:tcW w:w="1139" w:type="dxa"/>
            <w:shd w:val="clear" w:color="auto" w:fill="008998"/>
            <w:noWrap/>
            <w:hideMark/>
          </w:tcPr>
          <w:p w14:paraId="3BB6549E" w14:textId="77777777" w:rsidR="00504C53" w:rsidRPr="00951711" w:rsidRDefault="00504C53" w:rsidP="00951711">
            <w:pPr>
              <w:spacing w:after="0"/>
              <w:rPr>
                <w:b/>
                <w:color w:val="EEECE1" w:themeColor="background2"/>
              </w:rPr>
            </w:pPr>
            <w:r w:rsidRPr="00951711">
              <w:rPr>
                <w:b/>
                <w:color w:val="EEECE1" w:themeColor="background2"/>
              </w:rPr>
              <w:t>Slit</w:t>
            </w:r>
          </w:p>
        </w:tc>
        <w:tc>
          <w:tcPr>
            <w:tcW w:w="1124" w:type="dxa"/>
            <w:shd w:val="clear" w:color="auto" w:fill="008998"/>
            <w:noWrap/>
            <w:hideMark/>
          </w:tcPr>
          <w:p w14:paraId="5CD8F61B" w14:textId="77777777" w:rsidR="00504C53" w:rsidRPr="00951711" w:rsidRDefault="00504C53" w:rsidP="00951711">
            <w:pPr>
              <w:spacing w:after="0"/>
              <w:rPr>
                <w:b/>
                <w:color w:val="EEECE1" w:themeColor="background2"/>
              </w:rPr>
            </w:pPr>
            <w:r w:rsidRPr="00951711">
              <w:rPr>
                <w:b/>
                <w:color w:val="EEECE1" w:themeColor="background2"/>
              </w:rPr>
              <w:t>Meter Size</w:t>
            </w:r>
          </w:p>
        </w:tc>
        <w:tc>
          <w:tcPr>
            <w:tcW w:w="1650" w:type="dxa"/>
            <w:shd w:val="clear" w:color="auto" w:fill="008998"/>
            <w:noWrap/>
            <w:hideMark/>
          </w:tcPr>
          <w:p w14:paraId="0A66594E" w14:textId="59322221" w:rsidR="00504C53" w:rsidRPr="00951711" w:rsidRDefault="00504C53" w:rsidP="00951711">
            <w:pPr>
              <w:spacing w:after="0"/>
              <w:rPr>
                <w:b/>
                <w:color w:val="EEECE1" w:themeColor="background2"/>
              </w:rPr>
            </w:pPr>
            <w:r w:rsidRPr="00951711">
              <w:rPr>
                <w:b/>
                <w:color w:val="EEECE1" w:themeColor="background2"/>
              </w:rPr>
              <w:t>Apportionment</w:t>
            </w:r>
          </w:p>
        </w:tc>
        <w:tc>
          <w:tcPr>
            <w:tcW w:w="1044" w:type="dxa"/>
            <w:shd w:val="clear" w:color="auto" w:fill="008998"/>
            <w:noWrap/>
            <w:hideMark/>
          </w:tcPr>
          <w:p w14:paraId="137CC39B" w14:textId="77777777" w:rsidR="00504C53" w:rsidRPr="00951711" w:rsidRDefault="00504C53" w:rsidP="00951711">
            <w:pPr>
              <w:spacing w:after="0"/>
              <w:rPr>
                <w:b/>
                <w:color w:val="EEECE1" w:themeColor="background2"/>
              </w:rPr>
            </w:pPr>
            <w:r w:rsidRPr="00951711">
              <w:rPr>
                <w:b/>
                <w:color w:val="EEECE1" w:themeColor="background2"/>
              </w:rPr>
              <w:t>Number of Lots</w:t>
            </w:r>
          </w:p>
        </w:tc>
      </w:tr>
      <w:tr w:rsidR="00504C53" w:rsidRPr="00504C53" w14:paraId="68E62AF3" w14:textId="77777777" w:rsidTr="00951711">
        <w:trPr>
          <w:trHeight w:val="300"/>
        </w:trPr>
        <w:tc>
          <w:tcPr>
            <w:tcW w:w="1139" w:type="dxa"/>
            <w:noWrap/>
            <w:hideMark/>
          </w:tcPr>
          <w:p w14:paraId="31FEC871" w14:textId="77777777" w:rsidR="00504C53" w:rsidRPr="002B72FD" w:rsidRDefault="00504C53" w:rsidP="00951711">
            <w:pPr>
              <w:spacing w:after="0"/>
              <w:rPr>
                <w:b/>
              </w:rPr>
            </w:pPr>
            <w:r w:rsidRPr="002B72FD">
              <w:rPr>
                <w:b/>
              </w:rPr>
              <w:t>Greenfield</w:t>
            </w:r>
          </w:p>
        </w:tc>
        <w:tc>
          <w:tcPr>
            <w:tcW w:w="1124" w:type="dxa"/>
            <w:noWrap/>
            <w:hideMark/>
          </w:tcPr>
          <w:p w14:paraId="165C74DD" w14:textId="77777777" w:rsidR="00504C53" w:rsidRPr="00504C53" w:rsidRDefault="00504C53" w:rsidP="00951711">
            <w:pPr>
              <w:spacing w:after="0"/>
            </w:pPr>
            <w:r w:rsidRPr="00504C53">
              <w:t>20mm</w:t>
            </w:r>
          </w:p>
        </w:tc>
        <w:tc>
          <w:tcPr>
            <w:tcW w:w="1650" w:type="dxa"/>
            <w:noWrap/>
            <w:hideMark/>
          </w:tcPr>
          <w:p w14:paraId="73FC05A5" w14:textId="77777777" w:rsidR="00504C53" w:rsidRPr="00504C53" w:rsidRDefault="00504C53" w:rsidP="00951711">
            <w:pPr>
              <w:spacing w:after="0"/>
            </w:pPr>
            <w:r w:rsidRPr="00504C53">
              <w:t>99.92636%</w:t>
            </w:r>
          </w:p>
        </w:tc>
        <w:tc>
          <w:tcPr>
            <w:tcW w:w="1044" w:type="dxa"/>
            <w:noWrap/>
            <w:hideMark/>
          </w:tcPr>
          <w:p w14:paraId="26717019" w14:textId="77777777" w:rsidR="00504C53" w:rsidRPr="00504C53" w:rsidRDefault="00504C53" w:rsidP="00951711">
            <w:pPr>
              <w:spacing w:after="0"/>
            </w:pPr>
            <w:r w:rsidRPr="00504C53">
              <w:t>1</w:t>
            </w:r>
          </w:p>
        </w:tc>
      </w:tr>
      <w:tr w:rsidR="00504C53" w:rsidRPr="00504C53" w14:paraId="74BA3CE9" w14:textId="77777777" w:rsidTr="00951711">
        <w:trPr>
          <w:trHeight w:val="300"/>
        </w:trPr>
        <w:tc>
          <w:tcPr>
            <w:tcW w:w="1139" w:type="dxa"/>
            <w:noWrap/>
            <w:hideMark/>
          </w:tcPr>
          <w:p w14:paraId="610A8B23" w14:textId="77777777" w:rsidR="00504C53" w:rsidRPr="00504C53" w:rsidRDefault="00504C53" w:rsidP="00951711">
            <w:pPr>
              <w:spacing w:after="0"/>
            </w:pPr>
          </w:p>
        </w:tc>
        <w:tc>
          <w:tcPr>
            <w:tcW w:w="1124" w:type="dxa"/>
            <w:noWrap/>
            <w:hideMark/>
          </w:tcPr>
          <w:p w14:paraId="6C8895E7" w14:textId="77777777" w:rsidR="00504C53" w:rsidRPr="00504C53" w:rsidRDefault="00504C53" w:rsidP="00951711">
            <w:pPr>
              <w:spacing w:after="0"/>
            </w:pPr>
            <w:r w:rsidRPr="00504C53">
              <w:t>25mm</w:t>
            </w:r>
          </w:p>
        </w:tc>
        <w:tc>
          <w:tcPr>
            <w:tcW w:w="1650" w:type="dxa"/>
            <w:noWrap/>
            <w:hideMark/>
          </w:tcPr>
          <w:p w14:paraId="4EEBB71A" w14:textId="77777777" w:rsidR="00504C53" w:rsidRPr="00504C53" w:rsidRDefault="00504C53" w:rsidP="00951711">
            <w:pPr>
              <w:spacing w:after="0"/>
            </w:pPr>
            <w:r w:rsidRPr="00504C53">
              <w:t>0.01983%</w:t>
            </w:r>
          </w:p>
        </w:tc>
        <w:tc>
          <w:tcPr>
            <w:tcW w:w="1044" w:type="dxa"/>
            <w:noWrap/>
            <w:hideMark/>
          </w:tcPr>
          <w:p w14:paraId="43DC47C6" w14:textId="77777777" w:rsidR="00504C53" w:rsidRPr="00504C53" w:rsidRDefault="00504C53" w:rsidP="00951711">
            <w:pPr>
              <w:spacing w:after="0"/>
            </w:pPr>
            <w:r w:rsidRPr="00504C53">
              <w:t>2</w:t>
            </w:r>
          </w:p>
        </w:tc>
      </w:tr>
      <w:tr w:rsidR="00504C53" w:rsidRPr="00504C53" w14:paraId="3D807561" w14:textId="77777777" w:rsidTr="00951711">
        <w:trPr>
          <w:trHeight w:val="300"/>
        </w:trPr>
        <w:tc>
          <w:tcPr>
            <w:tcW w:w="1139" w:type="dxa"/>
            <w:noWrap/>
            <w:hideMark/>
          </w:tcPr>
          <w:p w14:paraId="27BFA983" w14:textId="77777777" w:rsidR="00504C53" w:rsidRPr="00504C53" w:rsidRDefault="00504C53" w:rsidP="00951711">
            <w:pPr>
              <w:spacing w:after="0"/>
            </w:pPr>
          </w:p>
        </w:tc>
        <w:tc>
          <w:tcPr>
            <w:tcW w:w="1124" w:type="dxa"/>
            <w:noWrap/>
            <w:hideMark/>
          </w:tcPr>
          <w:p w14:paraId="7ED6CB98" w14:textId="77777777" w:rsidR="00504C53" w:rsidRPr="00504C53" w:rsidRDefault="00504C53" w:rsidP="00951711">
            <w:pPr>
              <w:spacing w:after="0"/>
            </w:pPr>
            <w:r w:rsidRPr="00504C53">
              <w:t>32mm</w:t>
            </w:r>
          </w:p>
        </w:tc>
        <w:tc>
          <w:tcPr>
            <w:tcW w:w="1650" w:type="dxa"/>
            <w:noWrap/>
            <w:hideMark/>
          </w:tcPr>
          <w:p w14:paraId="114D9197" w14:textId="77777777" w:rsidR="00504C53" w:rsidRPr="00504C53" w:rsidRDefault="00504C53" w:rsidP="00951711">
            <w:pPr>
              <w:spacing w:after="0"/>
            </w:pPr>
            <w:r w:rsidRPr="00504C53">
              <w:t>0.04815%</w:t>
            </w:r>
          </w:p>
        </w:tc>
        <w:tc>
          <w:tcPr>
            <w:tcW w:w="1044" w:type="dxa"/>
            <w:noWrap/>
            <w:hideMark/>
          </w:tcPr>
          <w:p w14:paraId="67D6FBA2" w14:textId="77777777" w:rsidR="00504C53" w:rsidRPr="00504C53" w:rsidRDefault="00504C53" w:rsidP="00951711">
            <w:pPr>
              <w:spacing w:after="0"/>
            </w:pPr>
            <w:r w:rsidRPr="00504C53">
              <w:t>3</w:t>
            </w:r>
          </w:p>
        </w:tc>
      </w:tr>
      <w:tr w:rsidR="00504C53" w:rsidRPr="00504C53" w14:paraId="63EA0DAD" w14:textId="77777777" w:rsidTr="00951711">
        <w:trPr>
          <w:trHeight w:val="300"/>
        </w:trPr>
        <w:tc>
          <w:tcPr>
            <w:tcW w:w="1139" w:type="dxa"/>
            <w:noWrap/>
            <w:hideMark/>
          </w:tcPr>
          <w:p w14:paraId="0423E9ED" w14:textId="77777777" w:rsidR="00504C53" w:rsidRPr="00504C53" w:rsidRDefault="00504C53" w:rsidP="00951711">
            <w:pPr>
              <w:spacing w:after="0"/>
            </w:pPr>
          </w:p>
        </w:tc>
        <w:tc>
          <w:tcPr>
            <w:tcW w:w="1124" w:type="dxa"/>
            <w:noWrap/>
            <w:hideMark/>
          </w:tcPr>
          <w:p w14:paraId="70D1DAD9" w14:textId="77777777" w:rsidR="00504C53" w:rsidRPr="00504C53" w:rsidRDefault="00504C53" w:rsidP="00951711">
            <w:pPr>
              <w:spacing w:after="0"/>
            </w:pPr>
            <w:r w:rsidRPr="00504C53">
              <w:t>40mm</w:t>
            </w:r>
          </w:p>
        </w:tc>
        <w:tc>
          <w:tcPr>
            <w:tcW w:w="1650" w:type="dxa"/>
            <w:noWrap/>
            <w:hideMark/>
          </w:tcPr>
          <w:p w14:paraId="3DC5A80D" w14:textId="77777777" w:rsidR="00504C53" w:rsidRPr="00504C53" w:rsidRDefault="00504C53" w:rsidP="00951711">
            <w:pPr>
              <w:spacing w:after="0"/>
            </w:pPr>
            <w:r w:rsidRPr="00504C53">
              <w:t>0.00000%</w:t>
            </w:r>
          </w:p>
        </w:tc>
        <w:tc>
          <w:tcPr>
            <w:tcW w:w="1044" w:type="dxa"/>
            <w:noWrap/>
            <w:hideMark/>
          </w:tcPr>
          <w:p w14:paraId="62CCBFE1" w14:textId="77777777" w:rsidR="00504C53" w:rsidRPr="00504C53" w:rsidRDefault="00504C53" w:rsidP="00951711">
            <w:pPr>
              <w:spacing w:after="0"/>
            </w:pPr>
            <w:r w:rsidRPr="00504C53">
              <w:t>6</w:t>
            </w:r>
          </w:p>
        </w:tc>
      </w:tr>
      <w:tr w:rsidR="00504C53" w:rsidRPr="00504C53" w14:paraId="3AF99FAE" w14:textId="77777777" w:rsidTr="00951711">
        <w:trPr>
          <w:trHeight w:val="300"/>
        </w:trPr>
        <w:tc>
          <w:tcPr>
            <w:tcW w:w="1139" w:type="dxa"/>
            <w:noWrap/>
            <w:hideMark/>
          </w:tcPr>
          <w:p w14:paraId="251B981E" w14:textId="77777777" w:rsidR="00504C53" w:rsidRPr="00504C53" w:rsidRDefault="00504C53" w:rsidP="00951711">
            <w:pPr>
              <w:spacing w:after="0"/>
            </w:pPr>
          </w:p>
        </w:tc>
        <w:tc>
          <w:tcPr>
            <w:tcW w:w="1124" w:type="dxa"/>
            <w:noWrap/>
            <w:hideMark/>
          </w:tcPr>
          <w:p w14:paraId="2EA76A73" w14:textId="77777777" w:rsidR="00504C53" w:rsidRPr="00504C53" w:rsidRDefault="00504C53" w:rsidP="00951711">
            <w:pPr>
              <w:spacing w:after="0"/>
            </w:pPr>
            <w:r w:rsidRPr="00504C53">
              <w:t>50mm</w:t>
            </w:r>
          </w:p>
        </w:tc>
        <w:tc>
          <w:tcPr>
            <w:tcW w:w="1650" w:type="dxa"/>
            <w:noWrap/>
            <w:hideMark/>
          </w:tcPr>
          <w:p w14:paraId="67AB966A" w14:textId="77777777" w:rsidR="00504C53" w:rsidRPr="00504C53" w:rsidRDefault="00504C53" w:rsidP="00951711">
            <w:pPr>
              <w:spacing w:after="0"/>
            </w:pPr>
            <w:r w:rsidRPr="00504C53">
              <w:t>0.00283%</w:t>
            </w:r>
          </w:p>
        </w:tc>
        <w:tc>
          <w:tcPr>
            <w:tcW w:w="1044" w:type="dxa"/>
            <w:noWrap/>
            <w:hideMark/>
          </w:tcPr>
          <w:p w14:paraId="3CB65C24" w14:textId="77777777" w:rsidR="00504C53" w:rsidRPr="00504C53" w:rsidRDefault="00504C53" w:rsidP="00951711">
            <w:pPr>
              <w:spacing w:after="0"/>
            </w:pPr>
            <w:r w:rsidRPr="00504C53">
              <w:t>10</w:t>
            </w:r>
          </w:p>
        </w:tc>
      </w:tr>
      <w:tr w:rsidR="00504C53" w:rsidRPr="00504C53" w14:paraId="3AD8506A" w14:textId="77777777" w:rsidTr="00951711">
        <w:trPr>
          <w:trHeight w:val="300"/>
        </w:trPr>
        <w:tc>
          <w:tcPr>
            <w:tcW w:w="1139" w:type="dxa"/>
            <w:noWrap/>
            <w:hideMark/>
          </w:tcPr>
          <w:p w14:paraId="156F9E72" w14:textId="77777777" w:rsidR="00504C53" w:rsidRPr="00504C53" w:rsidRDefault="00504C53" w:rsidP="00951711">
            <w:pPr>
              <w:spacing w:after="0"/>
            </w:pPr>
          </w:p>
        </w:tc>
        <w:tc>
          <w:tcPr>
            <w:tcW w:w="1124" w:type="dxa"/>
            <w:noWrap/>
            <w:hideMark/>
          </w:tcPr>
          <w:p w14:paraId="761E32C8" w14:textId="77777777" w:rsidR="00504C53" w:rsidRPr="00504C53" w:rsidRDefault="00504C53" w:rsidP="00951711">
            <w:pPr>
              <w:spacing w:after="0"/>
            </w:pPr>
            <w:r w:rsidRPr="00504C53">
              <w:t>80mm</w:t>
            </w:r>
          </w:p>
        </w:tc>
        <w:tc>
          <w:tcPr>
            <w:tcW w:w="1650" w:type="dxa"/>
            <w:noWrap/>
            <w:hideMark/>
          </w:tcPr>
          <w:p w14:paraId="7F8F2BC5" w14:textId="77777777" w:rsidR="00504C53" w:rsidRPr="00504C53" w:rsidRDefault="00504C53" w:rsidP="00951711">
            <w:pPr>
              <w:spacing w:after="0"/>
            </w:pPr>
            <w:r w:rsidRPr="00504C53">
              <w:t>0.00000%</w:t>
            </w:r>
          </w:p>
        </w:tc>
        <w:tc>
          <w:tcPr>
            <w:tcW w:w="1044" w:type="dxa"/>
            <w:noWrap/>
            <w:hideMark/>
          </w:tcPr>
          <w:p w14:paraId="328F345B" w14:textId="77777777" w:rsidR="00504C53" w:rsidRPr="00504C53" w:rsidRDefault="00504C53" w:rsidP="00951711">
            <w:pPr>
              <w:spacing w:after="0"/>
            </w:pPr>
            <w:r w:rsidRPr="00504C53">
              <w:t>40</w:t>
            </w:r>
          </w:p>
        </w:tc>
      </w:tr>
      <w:tr w:rsidR="00504C53" w:rsidRPr="00504C53" w14:paraId="49491284" w14:textId="77777777" w:rsidTr="00951711">
        <w:trPr>
          <w:trHeight w:val="300"/>
        </w:trPr>
        <w:tc>
          <w:tcPr>
            <w:tcW w:w="1139" w:type="dxa"/>
            <w:noWrap/>
            <w:hideMark/>
          </w:tcPr>
          <w:p w14:paraId="1791C5AE" w14:textId="77777777" w:rsidR="00504C53" w:rsidRPr="00504C53" w:rsidRDefault="00504C53" w:rsidP="00951711">
            <w:pPr>
              <w:spacing w:after="0"/>
            </w:pPr>
          </w:p>
        </w:tc>
        <w:tc>
          <w:tcPr>
            <w:tcW w:w="1124" w:type="dxa"/>
            <w:noWrap/>
            <w:hideMark/>
          </w:tcPr>
          <w:p w14:paraId="4E596F83" w14:textId="77777777" w:rsidR="00504C53" w:rsidRPr="00504C53" w:rsidRDefault="00504C53" w:rsidP="00951711">
            <w:pPr>
              <w:spacing w:after="0"/>
            </w:pPr>
            <w:r w:rsidRPr="00504C53">
              <w:t>100mm</w:t>
            </w:r>
          </w:p>
        </w:tc>
        <w:tc>
          <w:tcPr>
            <w:tcW w:w="1650" w:type="dxa"/>
            <w:noWrap/>
            <w:hideMark/>
          </w:tcPr>
          <w:p w14:paraId="5817E37C" w14:textId="77777777" w:rsidR="00504C53" w:rsidRPr="00504C53" w:rsidRDefault="00504C53" w:rsidP="00951711">
            <w:pPr>
              <w:spacing w:after="0"/>
            </w:pPr>
            <w:r w:rsidRPr="00504C53">
              <w:t>0.00000%</w:t>
            </w:r>
          </w:p>
        </w:tc>
        <w:tc>
          <w:tcPr>
            <w:tcW w:w="1044" w:type="dxa"/>
            <w:noWrap/>
            <w:hideMark/>
          </w:tcPr>
          <w:p w14:paraId="277EDF4B" w14:textId="77777777" w:rsidR="00504C53" w:rsidRPr="00504C53" w:rsidRDefault="00504C53" w:rsidP="00951711">
            <w:pPr>
              <w:spacing w:after="0"/>
            </w:pPr>
            <w:r w:rsidRPr="00504C53">
              <w:t>70</w:t>
            </w:r>
          </w:p>
        </w:tc>
      </w:tr>
      <w:tr w:rsidR="00504C53" w:rsidRPr="00504C53" w14:paraId="25CCDDD3" w14:textId="77777777" w:rsidTr="00951711">
        <w:trPr>
          <w:trHeight w:val="300"/>
        </w:trPr>
        <w:tc>
          <w:tcPr>
            <w:tcW w:w="1139" w:type="dxa"/>
            <w:noWrap/>
            <w:hideMark/>
          </w:tcPr>
          <w:p w14:paraId="13583CBB" w14:textId="77777777" w:rsidR="00504C53" w:rsidRPr="00504C53" w:rsidRDefault="00504C53" w:rsidP="00951711">
            <w:pPr>
              <w:spacing w:after="0"/>
            </w:pPr>
          </w:p>
        </w:tc>
        <w:tc>
          <w:tcPr>
            <w:tcW w:w="1124" w:type="dxa"/>
            <w:noWrap/>
            <w:hideMark/>
          </w:tcPr>
          <w:p w14:paraId="3B1E7F31" w14:textId="77777777" w:rsidR="00504C53" w:rsidRPr="00504C53" w:rsidRDefault="00504C53" w:rsidP="00951711">
            <w:pPr>
              <w:spacing w:after="0"/>
            </w:pPr>
            <w:r w:rsidRPr="00504C53">
              <w:t>150mm</w:t>
            </w:r>
          </w:p>
        </w:tc>
        <w:tc>
          <w:tcPr>
            <w:tcW w:w="1650" w:type="dxa"/>
            <w:noWrap/>
            <w:hideMark/>
          </w:tcPr>
          <w:p w14:paraId="1C02498E" w14:textId="77777777" w:rsidR="00504C53" w:rsidRPr="00504C53" w:rsidRDefault="00504C53" w:rsidP="00951711">
            <w:pPr>
              <w:spacing w:after="0"/>
            </w:pPr>
            <w:r w:rsidRPr="00504C53">
              <w:t>0.00283%</w:t>
            </w:r>
          </w:p>
        </w:tc>
        <w:tc>
          <w:tcPr>
            <w:tcW w:w="1044" w:type="dxa"/>
            <w:noWrap/>
            <w:hideMark/>
          </w:tcPr>
          <w:p w14:paraId="1ECC7C64" w14:textId="77777777" w:rsidR="00504C53" w:rsidRPr="00504C53" w:rsidRDefault="00504C53" w:rsidP="00951711">
            <w:pPr>
              <w:spacing w:after="0"/>
            </w:pPr>
            <w:r w:rsidRPr="00504C53">
              <w:t>200</w:t>
            </w:r>
          </w:p>
        </w:tc>
      </w:tr>
      <w:tr w:rsidR="00504C53" w:rsidRPr="00504C53" w14:paraId="0F2FC23E" w14:textId="77777777" w:rsidTr="00951711">
        <w:trPr>
          <w:trHeight w:val="285"/>
        </w:trPr>
        <w:tc>
          <w:tcPr>
            <w:tcW w:w="1139" w:type="dxa"/>
            <w:noWrap/>
            <w:hideMark/>
          </w:tcPr>
          <w:p w14:paraId="3F66A4CB" w14:textId="77777777" w:rsidR="00504C53" w:rsidRPr="00504C53" w:rsidRDefault="00504C53" w:rsidP="00951711">
            <w:pPr>
              <w:spacing w:after="0"/>
            </w:pPr>
          </w:p>
        </w:tc>
        <w:tc>
          <w:tcPr>
            <w:tcW w:w="1124" w:type="dxa"/>
            <w:noWrap/>
            <w:hideMark/>
          </w:tcPr>
          <w:p w14:paraId="5FCCE1FA" w14:textId="77777777" w:rsidR="00504C53" w:rsidRPr="00504C53" w:rsidRDefault="00504C53" w:rsidP="00951711">
            <w:pPr>
              <w:spacing w:after="0"/>
            </w:pPr>
          </w:p>
        </w:tc>
        <w:tc>
          <w:tcPr>
            <w:tcW w:w="1650" w:type="dxa"/>
            <w:noWrap/>
            <w:hideMark/>
          </w:tcPr>
          <w:p w14:paraId="520612AE" w14:textId="77777777" w:rsidR="00504C53" w:rsidRPr="00504C53" w:rsidRDefault="00504C53" w:rsidP="00951711">
            <w:pPr>
              <w:spacing w:after="0"/>
            </w:pPr>
          </w:p>
        </w:tc>
        <w:tc>
          <w:tcPr>
            <w:tcW w:w="1044" w:type="dxa"/>
            <w:noWrap/>
            <w:hideMark/>
          </w:tcPr>
          <w:p w14:paraId="4E077567" w14:textId="77777777" w:rsidR="00504C53" w:rsidRPr="00504C53" w:rsidRDefault="00504C53" w:rsidP="00951711">
            <w:pPr>
              <w:spacing w:after="0"/>
            </w:pPr>
          </w:p>
        </w:tc>
      </w:tr>
      <w:tr w:rsidR="00504C53" w:rsidRPr="00504C53" w14:paraId="7D40B51D" w14:textId="77777777" w:rsidTr="00951711">
        <w:trPr>
          <w:trHeight w:val="300"/>
        </w:trPr>
        <w:tc>
          <w:tcPr>
            <w:tcW w:w="1139" w:type="dxa"/>
            <w:noWrap/>
            <w:hideMark/>
          </w:tcPr>
          <w:p w14:paraId="363B857D" w14:textId="77777777" w:rsidR="00504C53" w:rsidRPr="002B72FD" w:rsidRDefault="00504C53" w:rsidP="00951711">
            <w:pPr>
              <w:spacing w:after="0"/>
              <w:rPr>
                <w:b/>
              </w:rPr>
            </w:pPr>
            <w:r w:rsidRPr="002B72FD">
              <w:rPr>
                <w:b/>
              </w:rPr>
              <w:t>Infill</w:t>
            </w:r>
          </w:p>
        </w:tc>
        <w:tc>
          <w:tcPr>
            <w:tcW w:w="1124" w:type="dxa"/>
            <w:noWrap/>
            <w:hideMark/>
          </w:tcPr>
          <w:p w14:paraId="247CD265" w14:textId="77777777" w:rsidR="00504C53" w:rsidRPr="00504C53" w:rsidRDefault="00504C53" w:rsidP="00951711">
            <w:pPr>
              <w:spacing w:after="0"/>
            </w:pPr>
            <w:r w:rsidRPr="00504C53">
              <w:t>20mm</w:t>
            </w:r>
          </w:p>
        </w:tc>
        <w:tc>
          <w:tcPr>
            <w:tcW w:w="1650" w:type="dxa"/>
            <w:noWrap/>
            <w:hideMark/>
          </w:tcPr>
          <w:p w14:paraId="63A03931" w14:textId="77777777" w:rsidR="00504C53" w:rsidRPr="00504C53" w:rsidRDefault="00504C53" w:rsidP="00951711">
            <w:pPr>
              <w:spacing w:after="0"/>
            </w:pPr>
            <w:r w:rsidRPr="00504C53">
              <w:t>70.7431%</w:t>
            </w:r>
          </w:p>
        </w:tc>
        <w:tc>
          <w:tcPr>
            <w:tcW w:w="1044" w:type="dxa"/>
            <w:noWrap/>
            <w:hideMark/>
          </w:tcPr>
          <w:p w14:paraId="14BEF81A" w14:textId="77777777" w:rsidR="00504C53" w:rsidRPr="00504C53" w:rsidRDefault="00504C53" w:rsidP="00951711">
            <w:pPr>
              <w:spacing w:after="0"/>
            </w:pPr>
            <w:r w:rsidRPr="00504C53">
              <w:t>1</w:t>
            </w:r>
          </w:p>
        </w:tc>
      </w:tr>
      <w:tr w:rsidR="00504C53" w:rsidRPr="00504C53" w14:paraId="5D8C52BB" w14:textId="77777777" w:rsidTr="00951711">
        <w:trPr>
          <w:trHeight w:val="300"/>
        </w:trPr>
        <w:tc>
          <w:tcPr>
            <w:tcW w:w="1139" w:type="dxa"/>
            <w:noWrap/>
            <w:hideMark/>
          </w:tcPr>
          <w:p w14:paraId="3671182A" w14:textId="77777777" w:rsidR="00504C53" w:rsidRPr="00504C53" w:rsidRDefault="00504C53" w:rsidP="00951711">
            <w:pPr>
              <w:spacing w:after="0"/>
            </w:pPr>
          </w:p>
        </w:tc>
        <w:tc>
          <w:tcPr>
            <w:tcW w:w="1124" w:type="dxa"/>
            <w:noWrap/>
            <w:hideMark/>
          </w:tcPr>
          <w:p w14:paraId="2BB8DC33" w14:textId="77777777" w:rsidR="00504C53" w:rsidRPr="00504C53" w:rsidRDefault="00504C53" w:rsidP="00951711">
            <w:pPr>
              <w:spacing w:after="0"/>
            </w:pPr>
            <w:r w:rsidRPr="00504C53">
              <w:t>25mm</w:t>
            </w:r>
          </w:p>
        </w:tc>
        <w:tc>
          <w:tcPr>
            <w:tcW w:w="1650" w:type="dxa"/>
            <w:noWrap/>
            <w:hideMark/>
          </w:tcPr>
          <w:p w14:paraId="6DE45B4E" w14:textId="77777777" w:rsidR="00504C53" w:rsidRPr="00504C53" w:rsidRDefault="00504C53" w:rsidP="00951711">
            <w:pPr>
              <w:spacing w:after="0"/>
            </w:pPr>
            <w:r w:rsidRPr="00504C53">
              <w:t>12.3045%</w:t>
            </w:r>
          </w:p>
        </w:tc>
        <w:tc>
          <w:tcPr>
            <w:tcW w:w="1044" w:type="dxa"/>
            <w:noWrap/>
            <w:hideMark/>
          </w:tcPr>
          <w:p w14:paraId="6C8FA3D0" w14:textId="77777777" w:rsidR="00504C53" w:rsidRPr="00504C53" w:rsidRDefault="00504C53" w:rsidP="00951711">
            <w:pPr>
              <w:spacing w:after="0"/>
            </w:pPr>
            <w:r w:rsidRPr="00504C53">
              <w:t>2</w:t>
            </w:r>
          </w:p>
        </w:tc>
      </w:tr>
      <w:tr w:rsidR="00504C53" w:rsidRPr="00504C53" w14:paraId="77383DD8" w14:textId="77777777" w:rsidTr="00951711">
        <w:trPr>
          <w:trHeight w:val="300"/>
        </w:trPr>
        <w:tc>
          <w:tcPr>
            <w:tcW w:w="1139" w:type="dxa"/>
            <w:noWrap/>
            <w:hideMark/>
          </w:tcPr>
          <w:p w14:paraId="6B4EA6A0" w14:textId="77777777" w:rsidR="00504C53" w:rsidRPr="00504C53" w:rsidRDefault="00504C53" w:rsidP="00951711">
            <w:pPr>
              <w:spacing w:after="0"/>
            </w:pPr>
          </w:p>
        </w:tc>
        <w:tc>
          <w:tcPr>
            <w:tcW w:w="1124" w:type="dxa"/>
            <w:noWrap/>
            <w:hideMark/>
          </w:tcPr>
          <w:p w14:paraId="435B2809" w14:textId="77777777" w:rsidR="00504C53" w:rsidRPr="00504C53" w:rsidRDefault="00504C53" w:rsidP="00951711">
            <w:pPr>
              <w:spacing w:after="0"/>
            </w:pPr>
            <w:r w:rsidRPr="00504C53">
              <w:t>32mm</w:t>
            </w:r>
          </w:p>
        </w:tc>
        <w:tc>
          <w:tcPr>
            <w:tcW w:w="1650" w:type="dxa"/>
            <w:noWrap/>
            <w:hideMark/>
          </w:tcPr>
          <w:p w14:paraId="1B1BA7EE" w14:textId="77777777" w:rsidR="00504C53" w:rsidRPr="00504C53" w:rsidRDefault="00504C53" w:rsidP="00951711">
            <w:pPr>
              <w:spacing w:after="0"/>
            </w:pPr>
            <w:r w:rsidRPr="00504C53">
              <w:t>4.7984%</w:t>
            </w:r>
          </w:p>
        </w:tc>
        <w:tc>
          <w:tcPr>
            <w:tcW w:w="1044" w:type="dxa"/>
            <w:noWrap/>
            <w:hideMark/>
          </w:tcPr>
          <w:p w14:paraId="0F0613F4" w14:textId="77777777" w:rsidR="00504C53" w:rsidRPr="00504C53" w:rsidRDefault="00504C53" w:rsidP="00951711">
            <w:pPr>
              <w:spacing w:after="0"/>
            </w:pPr>
            <w:r w:rsidRPr="00504C53">
              <w:t>3</w:t>
            </w:r>
          </w:p>
        </w:tc>
      </w:tr>
      <w:tr w:rsidR="00504C53" w:rsidRPr="00504C53" w14:paraId="1C473E64" w14:textId="77777777" w:rsidTr="00951711">
        <w:trPr>
          <w:trHeight w:val="300"/>
        </w:trPr>
        <w:tc>
          <w:tcPr>
            <w:tcW w:w="1139" w:type="dxa"/>
            <w:noWrap/>
            <w:hideMark/>
          </w:tcPr>
          <w:p w14:paraId="43A98F3D" w14:textId="77777777" w:rsidR="00504C53" w:rsidRPr="00504C53" w:rsidRDefault="00504C53" w:rsidP="00951711">
            <w:pPr>
              <w:spacing w:after="0"/>
            </w:pPr>
          </w:p>
        </w:tc>
        <w:tc>
          <w:tcPr>
            <w:tcW w:w="1124" w:type="dxa"/>
            <w:noWrap/>
            <w:hideMark/>
          </w:tcPr>
          <w:p w14:paraId="5AE8F618" w14:textId="77777777" w:rsidR="00504C53" w:rsidRPr="00504C53" w:rsidRDefault="00504C53" w:rsidP="00951711">
            <w:pPr>
              <w:spacing w:after="0"/>
            </w:pPr>
            <w:r w:rsidRPr="00504C53">
              <w:t>40mm</w:t>
            </w:r>
          </w:p>
        </w:tc>
        <w:tc>
          <w:tcPr>
            <w:tcW w:w="1650" w:type="dxa"/>
            <w:noWrap/>
            <w:hideMark/>
          </w:tcPr>
          <w:p w14:paraId="3635D5E1" w14:textId="77777777" w:rsidR="00504C53" w:rsidRPr="00504C53" w:rsidRDefault="00504C53" w:rsidP="00951711">
            <w:pPr>
              <w:spacing w:after="0"/>
            </w:pPr>
            <w:r w:rsidRPr="00504C53">
              <w:t>1.4591%</w:t>
            </w:r>
          </w:p>
        </w:tc>
        <w:tc>
          <w:tcPr>
            <w:tcW w:w="1044" w:type="dxa"/>
            <w:noWrap/>
            <w:hideMark/>
          </w:tcPr>
          <w:p w14:paraId="4A5AE670" w14:textId="77777777" w:rsidR="00504C53" w:rsidRPr="00504C53" w:rsidRDefault="00504C53" w:rsidP="00951711">
            <w:pPr>
              <w:spacing w:after="0"/>
            </w:pPr>
            <w:r w:rsidRPr="00504C53">
              <w:t>6</w:t>
            </w:r>
          </w:p>
        </w:tc>
      </w:tr>
      <w:tr w:rsidR="00504C53" w:rsidRPr="00504C53" w14:paraId="441C3375" w14:textId="77777777" w:rsidTr="00951711">
        <w:trPr>
          <w:trHeight w:val="300"/>
        </w:trPr>
        <w:tc>
          <w:tcPr>
            <w:tcW w:w="1139" w:type="dxa"/>
            <w:noWrap/>
            <w:hideMark/>
          </w:tcPr>
          <w:p w14:paraId="743144C9" w14:textId="77777777" w:rsidR="00504C53" w:rsidRPr="00504C53" w:rsidRDefault="00504C53" w:rsidP="00951711">
            <w:pPr>
              <w:spacing w:after="0"/>
            </w:pPr>
          </w:p>
        </w:tc>
        <w:tc>
          <w:tcPr>
            <w:tcW w:w="1124" w:type="dxa"/>
            <w:noWrap/>
            <w:hideMark/>
          </w:tcPr>
          <w:p w14:paraId="2128D7A5" w14:textId="77777777" w:rsidR="00504C53" w:rsidRPr="00504C53" w:rsidRDefault="00504C53" w:rsidP="00951711">
            <w:pPr>
              <w:spacing w:after="0"/>
            </w:pPr>
            <w:r w:rsidRPr="00504C53">
              <w:t>50mm</w:t>
            </w:r>
          </w:p>
        </w:tc>
        <w:tc>
          <w:tcPr>
            <w:tcW w:w="1650" w:type="dxa"/>
            <w:noWrap/>
            <w:hideMark/>
          </w:tcPr>
          <w:p w14:paraId="36E59BE6" w14:textId="77777777" w:rsidR="00504C53" w:rsidRPr="00504C53" w:rsidRDefault="00504C53" w:rsidP="00951711">
            <w:pPr>
              <w:spacing w:after="0"/>
            </w:pPr>
            <w:r w:rsidRPr="00504C53">
              <w:t>0.7371%</w:t>
            </w:r>
          </w:p>
        </w:tc>
        <w:tc>
          <w:tcPr>
            <w:tcW w:w="1044" w:type="dxa"/>
            <w:noWrap/>
            <w:hideMark/>
          </w:tcPr>
          <w:p w14:paraId="219AA0EC" w14:textId="77777777" w:rsidR="00504C53" w:rsidRPr="00504C53" w:rsidRDefault="00504C53" w:rsidP="00951711">
            <w:pPr>
              <w:spacing w:after="0"/>
            </w:pPr>
            <w:r w:rsidRPr="00504C53">
              <w:t>10</w:t>
            </w:r>
          </w:p>
        </w:tc>
      </w:tr>
      <w:tr w:rsidR="00504C53" w:rsidRPr="00504C53" w14:paraId="44490331" w14:textId="77777777" w:rsidTr="00951711">
        <w:trPr>
          <w:trHeight w:val="300"/>
        </w:trPr>
        <w:tc>
          <w:tcPr>
            <w:tcW w:w="1139" w:type="dxa"/>
            <w:noWrap/>
            <w:hideMark/>
          </w:tcPr>
          <w:p w14:paraId="08EEF26A" w14:textId="77777777" w:rsidR="00504C53" w:rsidRPr="00504C53" w:rsidRDefault="00504C53" w:rsidP="00951711">
            <w:pPr>
              <w:spacing w:after="0"/>
            </w:pPr>
          </w:p>
        </w:tc>
        <w:tc>
          <w:tcPr>
            <w:tcW w:w="1124" w:type="dxa"/>
            <w:noWrap/>
            <w:hideMark/>
          </w:tcPr>
          <w:p w14:paraId="51D676FE" w14:textId="77777777" w:rsidR="00504C53" w:rsidRPr="00504C53" w:rsidRDefault="00504C53" w:rsidP="00951711">
            <w:pPr>
              <w:spacing w:after="0"/>
            </w:pPr>
            <w:r w:rsidRPr="00504C53">
              <w:t>80mm</w:t>
            </w:r>
          </w:p>
        </w:tc>
        <w:tc>
          <w:tcPr>
            <w:tcW w:w="1650" w:type="dxa"/>
            <w:noWrap/>
            <w:hideMark/>
          </w:tcPr>
          <w:p w14:paraId="2B9FC7BD" w14:textId="77777777" w:rsidR="00504C53" w:rsidRPr="00504C53" w:rsidRDefault="00504C53" w:rsidP="00951711">
            <w:pPr>
              <w:spacing w:after="0"/>
            </w:pPr>
            <w:r w:rsidRPr="00504C53">
              <w:t>0.0903%</w:t>
            </w:r>
          </w:p>
        </w:tc>
        <w:tc>
          <w:tcPr>
            <w:tcW w:w="1044" w:type="dxa"/>
            <w:noWrap/>
            <w:hideMark/>
          </w:tcPr>
          <w:p w14:paraId="2BBE72DB" w14:textId="77777777" w:rsidR="00504C53" w:rsidRPr="00504C53" w:rsidRDefault="00504C53" w:rsidP="00951711">
            <w:pPr>
              <w:spacing w:after="0"/>
            </w:pPr>
            <w:r w:rsidRPr="00504C53">
              <w:t>40</w:t>
            </w:r>
          </w:p>
        </w:tc>
      </w:tr>
      <w:tr w:rsidR="00504C53" w:rsidRPr="00504C53" w14:paraId="78FE2A2B" w14:textId="77777777" w:rsidTr="00951711">
        <w:trPr>
          <w:trHeight w:val="300"/>
        </w:trPr>
        <w:tc>
          <w:tcPr>
            <w:tcW w:w="1139" w:type="dxa"/>
            <w:noWrap/>
            <w:hideMark/>
          </w:tcPr>
          <w:p w14:paraId="400C3B27" w14:textId="77777777" w:rsidR="00504C53" w:rsidRPr="00504C53" w:rsidRDefault="00504C53" w:rsidP="00951711">
            <w:pPr>
              <w:spacing w:after="0"/>
            </w:pPr>
          </w:p>
        </w:tc>
        <w:tc>
          <w:tcPr>
            <w:tcW w:w="1124" w:type="dxa"/>
            <w:noWrap/>
            <w:hideMark/>
          </w:tcPr>
          <w:p w14:paraId="30462488" w14:textId="77777777" w:rsidR="00504C53" w:rsidRPr="00504C53" w:rsidRDefault="00504C53" w:rsidP="00951711">
            <w:pPr>
              <w:spacing w:after="0"/>
            </w:pPr>
            <w:r w:rsidRPr="00504C53">
              <w:t>100mm</w:t>
            </w:r>
          </w:p>
        </w:tc>
        <w:tc>
          <w:tcPr>
            <w:tcW w:w="1650" w:type="dxa"/>
            <w:noWrap/>
            <w:hideMark/>
          </w:tcPr>
          <w:p w14:paraId="0DF43553" w14:textId="77777777" w:rsidR="00504C53" w:rsidRPr="00504C53" w:rsidRDefault="00504C53" w:rsidP="00951711">
            <w:pPr>
              <w:spacing w:after="0"/>
            </w:pPr>
            <w:r w:rsidRPr="00504C53">
              <w:t>0.0000%</w:t>
            </w:r>
          </w:p>
        </w:tc>
        <w:tc>
          <w:tcPr>
            <w:tcW w:w="1044" w:type="dxa"/>
            <w:noWrap/>
            <w:hideMark/>
          </w:tcPr>
          <w:p w14:paraId="6CAE624E" w14:textId="77777777" w:rsidR="00504C53" w:rsidRPr="00504C53" w:rsidRDefault="00504C53" w:rsidP="00951711">
            <w:pPr>
              <w:spacing w:after="0"/>
            </w:pPr>
            <w:r w:rsidRPr="00504C53">
              <w:t>70</w:t>
            </w:r>
          </w:p>
        </w:tc>
      </w:tr>
      <w:tr w:rsidR="00504C53" w:rsidRPr="00504C53" w14:paraId="30AC8EC1" w14:textId="77777777" w:rsidTr="00951711">
        <w:trPr>
          <w:trHeight w:val="300"/>
        </w:trPr>
        <w:tc>
          <w:tcPr>
            <w:tcW w:w="1139" w:type="dxa"/>
            <w:noWrap/>
            <w:hideMark/>
          </w:tcPr>
          <w:p w14:paraId="49A499C0" w14:textId="77777777" w:rsidR="00504C53" w:rsidRPr="00504C53" w:rsidRDefault="00504C53" w:rsidP="00951711">
            <w:pPr>
              <w:spacing w:after="0"/>
            </w:pPr>
          </w:p>
        </w:tc>
        <w:tc>
          <w:tcPr>
            <w:tcW w:w="1124" w:type="dxa"/>
            <w:noWrap/>
            <w:hideMark/>
          </w:tcPr>
          <w:p w14:paraId="4AAB2467" w14:textId="77777777" w:rsidR="00504C53" w:rsidRPr="00504C53" w:rsidRDefault="00504C53" w:rsidP="00951711">
            <w:pPr>
              <w:spacing w:after="0"/>
            </w:pPr>
            <w:r w:rsidRPr="00504C53">
              <w:t>150mm</w:t>
            </w:r>
          </w:p>
        </w:tc>
        <w:tc>
          <w:tcPr>
            <w:tcW w:w="1650" w:type="dxa"/>
            <w:noWrap/>
            <w:hideMark/>
          </w:tcPr>
          <w:p w14:paraId="22A07277" w14:textId="77777777" w:rsidR="00504C53" w:rsidRPr="00504C53" w:rsidRDefault="00504C53" w:rsidP="00951711">
            <w:pPr>
              <w:spacing w:after="0"/>
            </w:pPr>
            <w:r w:rsidRPr="00504C53">
              <w:t>0.0000%</w:t>
            </w:r>
          </w:p>
        </w:tc>
        <w:tc>
          <w:tcPr>
            <w:tcW w:w="1044" w:type="dxa"/>
            <w:noWrap/>
            <w:hideMark/>
          </w:tcPr>
          <w:p w14:paraId="0053FA0E" w14:textId="77777777" w:rsidR="00504C53" w:rsidRPr="00504C53" w:rsidRDefault="00504C53" w:rsidP="00951711">
            <w:pPr>
              <w:spacing w:after="0"/>
            </w:pPr>
            <w:r w:rsidRPr="00504C53">
              <w:t>200</w:t>
            </w:r>
          </w:p>
        </w:tc>
      </w:tr>
    </w:tbl>
    <w:p w14:paraId="37962378" w14:textId="1FF1C8A2" w:rsidR="008A41D0" w:rsidRDefault="008A41D0" w:rsidP="00C113EE"/>
    <w:p w14:paraId="19AAB24A" w14:textId="3E9D4C93" w:rsidR="00047352" w:rsidRDefault="00047352" w:rsidP="00C113EE"/>
    <w:p w14:paraId="338F7034" w14:textId="1197C94F" w:rsidR="00047352" w:rsidRDefault="00047352" w:rsidP="00C113EE"/>
    <w:p w14:paraId="07129579" w14:textId="77777777" w:rsidR="00047352" w:rsidRDefault="00047352" w:rsidP="00C113EE"/>
    <w:p w14:paraId="5DDB9F27" w14:textId="2D171056" w:rsidR="00177D06" w:rsidRPr="00951711" w:rsidRDefault="00177D06" w:rsidP="00951711">
      <w:pPr>
        <w:pStyle w:val="Caption"/>
        <w:keepNext/>
        <w:spacing w:before="120" w:after="120"/>
        <w:rPr>
          <w:color w:val="414042"/>
        </w:rPr>
      </w:pPr>
      <w:r w:rsidRPr="00951711">
        <w:rPr>
          <w:color w:val="414042"/>
        </w:rPr>
        <w:lastRenderedPageBreak/>
        <w:t xml:space="preserve">Table </w:t>
      </w:r>
      <w:r w:rsidR="001E509C" w:rsidRPr="00951711">
        <w:rPr>
          <w:color w:val="414042"/>
        </w:rPr>
        <w:fldChar w:fldCharType="begin"/>
      </w:r>
      <w:r w:rsidR="001E509C" w:rsidRPr="00951711">
        <w:rPr>
          <w:color w:val="414042"/>
        </w:rPr>
        <w:instrText xml:space="preserve"> SEQ Table \* ARABIC </w:instrText>
      </w:r>
      <w:r w:rsidR="001E509C" w:rsidRPr="00951711">
        <w:rPr>
          <w:color w:val="414042"/>
        </w:rPr>
        <w:fldChar w:fldCharType="separate"/>
      </w:r>
      <w:r w:rsidR="00504C53" w:rsidRPr="00951711">
        <w:rPr>
          <w:color w:val="414042"/>
        </w:rPr>
        <w:t>4</w:t>
      </w:r>
      <w:r w:rsidR="001E509C" w:rsidRPr="00951711">
        <w:rPr>
          <w:color w:val="414042"/>
        </w:rPr>
        <w:fldChar w:fldCharType="end"/>
      </w:r>
      <w:r w:rsidRPr="00951711">
        <w:rPr>
          <w:color w:val="414042"/>
        </w:rPr>
        <w:t xml:space="preserve"> New Sewer Connections</w:t>
      </w:r>
    </w:p>
    <w:tbl>
      <w:tblPr>
        <w:tblStyle w:val="TableGrid"/>
        <w:tblW w:w="0" w:type="auto"/>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675"/>
        <w:gridCol w:w="1016"/>
        <w:gridCol w:w="800"/>
        <w:gridCol w:w="1150"/>
      </w:tblGrid>
      <w:tr w:rsidR="00177D06" w:rsidRPr="00F60113" w14:paraId="0923F1D7" w14:textId="77777777" w:rsidTr="00951711">
        <w:trPr>
          <w:trHeight w:val="285"/>
        </w:trPr>
        <w:tc>
          <w:tcPr>
            <w:tcW w:w="0" w:type="auto"/>
            <w:shd w:val="clear" w:color="auto" w:fill="008998"/>
            <w:noWrap/>
            <w:hideMark/>
          </w:tcPr>
          <w:p w14:paraId="4D758DE2" w14:textId="77777777" w:rsidR="00177D06" w:rsidRPr="00951711" w:rsidRDefault="00177D06" w:rsidP="00951711">
            <w:pPr>
              <w:spacing w:after="0"/>
              <w:rPr>
                <w:b/>
                <w:color w:val="EEECE1" w:themeColor="background2"/>
              </w:rPr>
            </w:pPr>
            <w:r w:rsidRPr="00951711">
              <w:rPr>
                <w:b/>
                <w:color w:val="EEECE1" w:themeColor="background2"/>
              </w:rPr>
              <w:t>Year</w:t>
            </w:r>
          </w:p>
        </w:tc>
        <w:tc>
          <w:tcPr>
            <w:tcW w:w="0" w:type="auto"/>
            <w:shd w:val="clear" w:color="auto" w:fill="008998"/>
            <w:noWrap/>
            <w:hideMark/>
          </w:tcPr>
          <w:p w14:paraId="31D0F477" w14:textId="77777777" w:rsidR="00177D06" w:rsidRPr="00951711" w:rsidRDefault="00177D06" w:rsidP="00951711">
            <w:pPr>
              <w:spacing w:after="0"/>
              <w:rPr>
                <w:b/>
                <w:color w:val="EEECE1" w:themeColor="background2"/>
              </w:rPr>
            </w:pPr>
            <w:r w:rsidRPr="00951711">
              <w:rPr>
                <w:b/>
                <w:color w:val="EEECE1" w:themeColor="background2"/>
              </w:rPr>
              <w:t>FY</w:t>
            </w:r>
          </w:p>
        </w:tc>
        <w:tc>
          <w:tcPr>
            <w:tcW w:w="0" w:type="auto"/>
            <w:shd w:val="clear" w:color="auto" w:fill="008998"/>
            <w:noWrap/>
            <w:hideMark/>
          </w:tcPr>
          <w:p w14:paraId="383F3925" w14:textId="77777777" w:rsidR="00177D06" w:rsidRPr="00951711" w:rsidRDefault="00177D06" w:rsidP="00951711">
            <w:pPr>
              <w:spacing w:after="0"/>
              <w:rPr>
                <w:b/>
                <w:color w:val="EEECE1" w:themeColor="background2"/>
              </w:rPr>
            </w:pPr>
            <w:r w:rsidRPr="00951711">
              <w:rPr>
                <w:b/>
                <w:color w:val="EEECE1" w:themeColor="background2"/>
              </w:rPr>
              <w:t>%</w:t>
            </w:r>
          </w:p>
        </w:tc>
        <w:tc>
          <w:tcPr>
            <w:tcW w:w="0" w:type="auto"/>
            <w:shd w:val="clear" w:color="auto" w:fill="008998"/>
            <w:noWrap/>
            <w:hideMark/>
          </w:tcPr>
          <w:p w14:paraId="6C8017F5" w14:textId="77777777" w:rsidR="00177D06" w:rsidRPr="00951711" w:rsidRDefault="00177D06" w:rsidP="00951711">
            <w:pPr>
              <w:spacing w:after="0"/>
              <w:rPr>
                <w:b/>
                <w:color w:val="EEECE1" w:themeColor="background2"/>
              </w:rPr>
            </w:pPr>
            <w:r w:rsidRPr="00951711">
              <w:rPr>
                <w:b/>
                <w:color w:val="EEECE1" w:themeColor="background2"/>
              </w:rPr>
              <w:t>New Con</w:t>
            </w:r>
          </w:p>
        </w:tc>
      </w:tr>
      <w:tr w:rsidR="00595EE0" w:rsidRPr="00F60113" w14:paraId="0035ABDD" w14:textId="77777777" w:rsidTr="00951711">
        <w:trPr>
          <w:trHeight w:val="285"/>
        </w:trPr>
        <w:tc>
          <w:tcPr>
            <w:tcW w:w="0" w:type="auto"/>
            <w:noWrap/>
            <w:hideMark/>
          </w:tcPr>
          <w:p w14:paraId="430184DF" w14:textId="77777777" w:rsidR="00595EE0" w:rsidRPr="00F60113" w:rsidRDefault="00595EE0" w:rsidP="00951711">
            <w:pPr>
              <w:spacing w:after="0"/>
            </w:pPr>
            <w:r w:rsidRPr="00F60113">
              <w:t>0</w:t>
            </w:r>
          </w:p>
        </w:tc>
        <w:tc>
          <w:tcPr>
            <w:tcW w:w="0" w:type="auto"/>
            <w:noWrap/>
            <w:hideMark/>
          </w:tcPr>
          <w:p w14:paraId="2C532898" w14:textId="77777777" w:rsidR="00595EE0" w:rsidRPr="00F60113" w:rsidRDefault="00595EE0" w:rsidP="00951711">
            <w:pPr>
              <w:spacing w:after="0"/>
            </w:pPr>
            <w:r w:rsidRPr="00F60113">
              <w:t>2022-23</w:t>
            </w:r>
          </w:p>
        </w:tc>
        <w:tc>
          <w:tcPr>
            <w:tcW w:w="0" w:type="auto"/>
            <w:noWrap/>
            <w:hideMark/>
          </w:tcPr>
          <w:p w14:paraId="0D4910EF" w14:textId="1F85C634" w:rsidR="00595EE0" w:rsidRPr="00595EE0" w:rsidRDefault="00595EE0" w:rsidP="00951711">
            <w:pPr>
              <w:spacing w:after="0"/>
            </w:pPr>
            <w:r w:rsidRPr="00595EE0">
              <w:t>2.21%</w:t>
            </w:r>
          </w:p>
        </w:tc>
        <w:tc>
          <w:tcPr>
            <w:tcW w:w="0" w:type="auto"/>
            <w:noWrap/>
            <w:hideMark/>
          </w:tcPr>
          <w:p w14:paraId="471B5FC4" w14:textId="44120076" w:rsidR="00595EE0" w:rsidRPr="00595EE0" w:rsidRDefault="00595EE0" w:rsidP="00951711">
            <w:pPr>
              <w:spacing w:after="0"/>
            </w:pPr>
            <w:r w:rsidRPr="00595EE0">
              <w:t xml:space="preserve"> 3,506 </w:t>
            </w:r>
          </w:p>
        </w:tc>
      </w:tr>
      <w:tr w:rsidR="00595EE0" w:rsidRPr="00F60113" w14:paraId="3E341668" w14:textId="77777777" w:rsidTr="00951711">
        <w:trPr>
          <w:trHeight w:val="285"/>
        </w:trPr>
        <w:tc>
          <w:tcPr>
            <w:tcW w:w="0" w:type="auto"/>
            <w:noWrap/>
            <w:hideMark/>
          </w:tcPr>
          <w:p w14:paraId="260EDF9B" w14:textId="77777777" w:rsidR="00595EE0" w:rsidRPr="00F60113" w:rsidRDefault="00595EE0" w:rsidP="00951711">
            <w:pPr>
              <w:spacing w:after="0"/>
            </w:pPr>
            <w:r w:rsidRPr="00F60113">
              <w:t>1</w:t>
            </w:r>
          </w:p>
        </w:tc>
        <w:tc>
          <w:tcPr>
            <w:tcW w:w="0" w:type="auto"/>
            <w:noWrap/>
            <w:hideMark/>
          </w:tcPr>
          <w:p w14:paraId="23A4F821" w14:textId="77777777" w:rsidR="00595EE0" w:rsidRPr="00F60113" w:rsidRDefault="00595EE0" w:rsidP="00951711">
            <w:pPr>
              <w:spacing w:after="0"/>
            </w:pPr>
            <w:r w:rsidRPr="00F60113">
              <w:t>2023-24</w:t>
            </w:r>
          </w:p>
        </w:tc>
        <w:tc>
          <w:tcPr>
            <w:tcW w:w="0" w:type="auto"/>
            <w:noWrap/>
            <w:hideMark/>
          </w:tcPr>
          <w:p w14:paraId="0ACFE268" w14:textId="3E11AECC" w:rsidR="00595EE0" w:rsidRPr="00595EE0" w:rsidRDefault="00595EE0" w:rsidP="00951711">
            <w:pPr>
              <w:spacing w:after="0"/>
            </w:pPr>
            <w:r w:rsidRPr="00595EE0">
              <w:t>2.16%</w:t>
            </w:r>
          </w:p>
        </w:tc>
        <w:tc>
          <w:tcPr>
            <w:tcW w:w="0" w:type="auto"/>
            <w:noWrap/>
            <w:hideMark/>
          </w:tcPr>
          <w:p w14:paraId="642D7025" w14:textId="39189EDC" w:rsidR="00595EE0" w:rsidRPr="00595EE0" w:rsidRDefault="00595EE0" w:rsidP="00951711">
            <w:pPr>
              <w:spacing w:after="0"/>
            </w:pPr>
            <w:r w:rsidRPr="00595EE0">
              <w:t xml:space="preserve"> 3,504 </w:t>
            </w:r>
          </w:p>
        </w:tc>
      </w:tr>
      <w:tr w:rsidR="00595EE0" w:rsidRPr="00F60113" w14:paraId="30227442" w14:textId="77777777" w:rsidTr="00951711">
        <w:trPr>
          <w:trHeight w:val="285"/>
        </w:trPr>
        <w:tc>
          <w:tcPr>
            <w:tcW w:w="0" w:type="auto"/>
            <w:noWrap/>
            <w:hideMark/>
          </w:tcPr>
          <w:p w14:paraId="6F4C5AE3" w14:textId="77777777" w:rsidR="00595EE0" w:rsidRPr="00F60113" w:rsidRDefault="00595EE0" w:rsidP="00951711">
            <w:pPr>
              <w:spacing w:after="0"/>
            </w:pPr>
            <w:r w:rsidRPr="00F60113">
              <w:t>2</w:t>
            </w:r>
          </w:p>
        </w:tc>
        <w:tc>
          <w:tcPr>
            <w:tcW w:w="0" w:type="auto"/>
            <w:noWrap/>
            <w:hideMark/>
          </w:tcPr>
          <w:p w14:paraId="5F479EC3" w14:textId="77777777" w:rsidR="00595EE0" w:rsidRPr="00F60113" w:rsidRDefault="00595EE0" w:rsidP="00951711">
            <w:pPr>
              <w:spacing w:after="0"/>
            </w:pPr>
            <w:r w:rsidRPr="00F60113">
              <w:t>2024-25</w:t>
            </w:r>
          </w:p>
        </w:tc>
        <w:tc>
          <w:tcPr>
            <w:tcW w:w="0" w:type="auto"/>
            <w:noWrap/>
            <w:hideMark/>
          </w:tcPr>
          <w:p w14:paraId="59A2990C" w14:textId="06E03C93" w:rsidR="00595EE0" w:rsidRPr="00595EE0" w:rsidRDefault="00595EE0" w:rsidP="00951711">
            <w:pPr>
              <w:spacing w:after="0"/>
            </w:pPr>
            <w:r w:rsidRPr="00595EE0">
              <w:t>2.12%</w:t>
            </w:r>
          </w:p>
        </w:tc>
        <w:tc>
          <w:tcPr>
            <w:tcW w:w="0" w:type="auto"/>
            <w:noWrap/>
            <w:hideMark/>
          </w:tcPr>
          <w:p w14:paraId="4DD64503" w14:textId="27EF3216" w:rsidR="00595EE0" w:rsidRPr="00595EE0" w:rsidRDefault="00595EE0" w:rsidP="00951711">
            <w:pPr>
              <w:spacing w:after="0"/>
            </w:pPr>
            <w:r w:rsidRPr="00595EE0">
              <w:t xml:space="preserve"> 3,515 </w:t>
            </w:r>
          </w:p>
        </w:tc>
      </w:tr>
      <w:tr w:rsidR="00595EE0" w:rsidRPr="00F60113" w14:paraId="36F59476" w14:textId="77777777" w:rsidTr="00951711">
        <w:trPr>
          <w:trHeight w:val="285"/>
        </w:trPr>
        <w:tc>
          <w:tcPr>
            <w:tcW w:w="0" w:type="auto"/>
            <w:noWrap/>
            <w:hideMark/>
          </w:tcPr>
          <w:p w14:paraId="34D2DE98" w14:textId="77777777" w:rsidR="00595EE0" w:rsidRPr="00F60113" w:rsidRDefault="00595EE0" w:rsidP="00951711">
            <w:pPr>
              <w:spacing w:after="0"/>
            </w:pPr>
            <w:r w:rsidRPr="00F60113">
              <w:t>3</w:t>
            </w:r>
          </w:p>
        </w:tc>
        <w:tc>
          <w:tcPr>
            <w:tcW w:w="0" w:type="auto"/>
            <w:noWrap/>
            <w:hideMark/>
          </w:tcPr>
          <w:p w14:paraId="18B24629" w14:textId="77777777" w:rsidR="00595EE0" w:rsidRPr="00F60113" w:rsidRDefault="00595EE0" w:rsidP="00951711">
            <w:pPr>
              <w:spacing w:after="0"/>
            </w:pPr>
            <w:r w:rsidRPr="00F60113">
              <w:t>2025-26</w:t>
            </w:r>
          </w:p>
        </w:tc>
        <w:tc>
          <w:tcPr>
            <w:tcW w:w="0" w:type="auto"/>
            <w:noWrap/>
            <w:hideMark/>
          </w:tcPr>
          <w:p w14:paraId="0A3A5DAD" w14:textId="54BD77AB" w:rsidR="00595EE0" w:rsidRPr="00595EE0" w:rsidRDefault="00595EE0" w:rsidP="00951711">
            <w:pPr>
              <w:spacing w:after="0"/>
            </w:pPr>
            <w:r w:rsidRPr="00595EE0">
              <w:t>2.11%</w:t>
            </w:r>
          </w:p>
        </w:tc>
        <w:tc>
          <w:tcPr>
            <w:tcW w:w="0" w:type="auto"/>
            <w:noWrap/>
            <w:hideMark/>
          </w:tcPr>
          <w:p w14:paraId="7C2873F6" w14:textId="121BCB47" w:rsidR="00595EE0" w:rsidRPr="00595EE0" w:rsidRDefault="00595EE0" w:rsidP="00951711">
            <w:pPr>
              <w:spacing w:after="0"/>
            </w:pPr>
            <w:r w:rsidRPr="00595EE0">
              <w:t xml:space="preserve"> 3,572 </w:t>
            </w:r>
          </w:p>
        </w:tc>
      </w:tr>
      <w:tr w:rsidR="00595EE0" w:rsidRPr="00F60113" w14:paraId="42FA5749" w14:textId="77777777" w:rsidTr="00951711">
        <w:trPr>
          <w:trHeight w:val="285"/>
        </w:trPr>
        <w:tc>
          <w:tcPr>
            <w:tcW w:w="0" w:type="auto"/>
            <w:noWrap/>
            <w:hideMark/>
          </w:tcPr>
          <w:p w14:paraId="064D4285" w14:textId="77777777" w:rsidR="00595EE0" w:rsidRPr="00F60113" w:rsidRDefault="00595EE0" w:rsidP="00951711">
            <w:pPr>
              <w:spacing w:after="0"/>
            </w:pPr>
            <w:r w:rsidRPr="00F60113">
              <w:t>4</w:t>
            </w:r>
          </w:p>
        </w:tc>
        <w:tc>
          <w:tcPr>
            <w:tcW w:w="0" w:type="auto"/>
            <w:noWrap/>
            <w:hideMark/>
          </w:tcPr>
          <w:p w14:paraId="5CFD9F03" w14:textId="77777777" w:rsidR="00595EE0" w:rsidRPr="00F60113" w:rsidRDefault="00595EE0" w:rsidP="00951711">
            <w:pPr>
              <w:spacing w:after="0"/>
            </w:pPr>
            <w:r w:rsidRPr="00F60113">
              <w:t>2026-27</w:t>
            </w:r>
          </w:p>
        </w:tc>
        <w:tc>
          <w:tcPr>
            <w:tcW w:w="0" w:type="auto"/>
            <w:noWrap/>
            <w:hideMark/>
          </w:tcPr>
          <w:p w14:paraId="08CA26DC" w14:textId="61EA0596" w:rsidR="00595EE0" w:rsidRPr="00595EE0" w:rsidRDefault="00595EE0" w:rsidP="00951711">
            <w:pPr>
              <w:spacing w:after="0"/>
            </w:pPr>
            <w:r w:rsidRPr="00595EE0">
              <w:t>2.07%</w:t>
            </w:r>
          </w:p>
        </w:tc>
        <w:tc>
          <w:tcPr>
            <w:tcW w:w="0" w:type="auto"/>
            <w:noWrap/>
            <w:hideMark/>
          </w:tcPr>
          <w:p w14:paraId="4E41878F" w14:textId="1B3A1629" w:rsidR="00595EE0" w:rsidRPr="00595EE0" w:rsidRDefault="00595EE0" w:rsidP="00951711">
            <w:pPr>
              <w:spacing w:after="0"/>
            </w:pPr>
            <w:r w:rsidRPr="00595EE0">
              <w:t xml:space="preserve"> 3,581 </w:t>
            </w:r>
          </w:p>
        </w:tc>
      </w:tr>
      <w:tr w:rsidR="00595EE0" w:rsidRPr="00F60113" w14:paraId="3B2AA066" w14:textId="77777777" w:rsidTr="00951711">
        <w:trPr>
          <w:trHeight w:val="285"/>
        </w:trPr>
        <w:tc>
          <w:tcPr>
            <w:tcW w:w="0" w:type="auto"/>
            <w:noWrap/>
            <w:hideMark/>
          </w:tcPr>
          <w:p w14:paraId="18F3594C" w14:textId="77777777" w:rsidR="00595EE0" w:rsidRPr="00F60113" w:rsidRDefault="00595EE0" w:rsidP="00951711">
            <w:pPr>
              <w:spacing w:after="0"/>
            </w:pPr>
            <w:r w:rsidRPr="00F60113">
              <w:t>5</w:t>
            </w:r>
          </w:p>
        </w:tc>
        <w:tc>
          <w:tcPr>
            <w:tcW w:w="0" w:type="auto"/>
            <w:noWrap/>
            <w:hideMark/>
          </w:tcPr>
          <w:p w14:paraId="4AB580EA" w14:textId="77777777" w:rsidR="00595EE0" w:rsidRPr="00F60113" w:rsidRDefault="00595EE0" w:rsidP="00951711">
            <w:pPr>
              <w:spacing w:after="0"/>
            </w:pPr>
            <w:r w:rsidRPr="00F60113">
              <w:t>2027-28</w:t>
            </w:r>
          </w:p>
        </w:tc>
        <w:tc>
          <w:tcPr>
            <w:tcW w:w="0" w:type="auto"/>
            <w:noWrap/>
            <w:hideMark/>
          </w:tcPr>
          <w:p w14:paraId="301F75B6" w14:textId="1B87897F" w:rsidR="00595EE0" w:rsidRPr="00595EE0" w:rsidRDefault="00595EE0" w:rsidP="00951711">
            <w:pPr>
              <w:spacing w:after="0"/>
            </w:pPr>
            <w:r w:rsidRPr="00595EE0">
              <w:t>2.00%</w:t>
            </w:r>
          </w:p>
        </w:tc>
        <w:tc>
          <w:tcPr>
            <w:tcW w:w="0" w:type="auto"/>
            <w:noWrap/>
            <w:hideMark/>
          </w:tcPr>
          <w:p w14:paraId="41F3A5C0" w14:textId="69E56BCB" w:rsidR="00595EE0" w:rsidRPr="00595EE0" w:rsidRDefault="00595EE0" w:rsidP="00951711">
            <w:pPr>
              <w:spacing w:after="0"/>
            </w:pPr>
            <w:r w:rsidRPr="00595EE0">
              <w:t xml:space="preserve"> 3,540 </w:t>
            </w:r>
          </w:p>
        </w:tc>
      </w:tr>
      <w:tr w:rsidR="00595EE0" w:rsidRPr="00F60113" w14:paraId="2FE0B9EE" w14:textId="77777777" w:rsidTr="00951711">
        <w:trPr>
          <w:trHeight w:val="285"/>
        </w:trPr>
        <w:tc>
          <w:tcPr>
            <w:tcW w:w="0" w:type="auto"/>
            <w:noWrap/>
            <w:hideMark/>
          </w:tcPr>
          <w:p w14:paraId="6D58473D" w14:textId="77777777" w:rsidR="00595EE0" w:rsidRPr="00F60113" w:rsidRDefault="00595EE0" w:rsidP="00951711">
            <w:pPr>
              <w:spacing w:after="0"/>
            </w:pPr>
            <w:r w:rsidRPr="00F60113">
              <w:t>6</w:t>
            </w:r>
          </w:p>
        </w:tc>
        <w:tc>
          <w:tcPr>
            <w:tcW w:w="0" w:type="auto"/>
            <w:noWrap/>
            <w:hideMark/>
          </w:tcPr>
          <w:p w14:paraId="6EB1D55C" w14:textId="77777777" w:rsidR="00595EE0" w:rsidRPr="00F60113" w:rsidRDefault="00595EE0" w:rsidP="00951711">
            <w:pPr>
              <w:spacing w:after="0"/>
            </w:pPr>
            <w:r w:rsidRPr="00F60113">
              <w:t>2028-29</w:t>
            </w:r>
          </w:p>
        </w:tc>
        <w:tc>
          <w:tcPr>
            <w:tcW w:w="0" w:type="auto"/>
            <w:noWrap/>
            <w:hideMark/>
          </w:tcPr>
          <w:p w14:paraId="37532155" w14:textId="107B5305" w:rsidR="00595EE0" w:rsidRPr="00595EE0" w:rsidRDefault="00595EE0" w:rsidP="00951711">
            <w:pPr>
              <w:spacing w:after="0"/>
            </w:pPr>
            <w:r w:rsidRPr="00595EE0">
              <w:t>1.97%</w:t>
            </w:r>
          </w:p>
        </w:tc>
        <w:tc>
          <w:tcPr>
            <w:tcW w:w="0" w:type="auto"/>
            <w:noWrap/>
            <w:hideMark/>
          </w:tcPr>
          <w:p w14:paraId="0B329DE9" w14:textId="440D9410" w:rsidR="00595EE0" w:rsidRPr="00595EE0" w:rsidRDefault="00595EE0" w:rsidP="00951711">
            <w:pPr>
              <w:spacing w:after="0"/>
            </w:pPr>
            <w:r w:rsidRPr="00595EE0">
              <w:t xml:space="preserve"> 3,554 </w:t>
            </w:r>
          </w:p>
        </w:tc>
      </w:tr>
      <w:tr w:rsidR="00595EE0" w:rsidRPr="00F60113" w14:paraId="1D670A39" w14:textId="77777777" w:rsidTr="00951711">
        <w:trPr>
          <w:trHeight w:val="285"/>
        </w:trPr>
        <w:tc>
          <w:tcPr>
            <w:tcW w:w="0" w:type="auto"/>
            <w:noWrap/>
            <w:hideMark/>
          </w:tcPr>
          <w:p w14:paraId="5B49A179" w14:textId="77777777" w:rsidR="00595EE0" w:rsidRPr="00F60113" w:rsidRDefault="00595EE0" w:rsidP="00951711">
            <w:pPr>
              <w:spacing w:after="0"/>
            </w:pPr>
            <w:r w:rsidRPr="00F60113">
              <w:t>7</w:t>
            </w:r>
          </w:p>
        </w:tc>
        <w:tc>
          <w:tcPr>
            <w:tcW w:w="0" w:type="auto"/>
            <w:noWrap/>
            <w:hideMark/>
          </w:tcPr>
          <w:p w14:paraId="32C479C5" w14:textId="77777777" w:rsidR="00595EE0" w:rsidRPr="00F60113" w:rsidRDefault="00595EE0" w:rsidP="00951711">
            <w:pPr>
              <w:spacing w:after="0"/>
            </w:pPr>
            <w:r w:rsidRPr="00F60113">
              <w:t>2029-30</w:t>
            </w:r>
          </w:p>
        </w:tc>
        <w:tc>
          <w:tcPr>
            <w:tcW w:w="0" w:type="auto"/>
            <w:noWrap/>
            <w:hideMark/>
          </w:tcPr>
          <w:p w14:paraId="36805A1A" w14:textId="59A92F96" w:rsidR="00595EE0" w:rsidRPr="00595EE0" w:rsidRDefault="00595EE0" w:rsidP="00951711">
            <w:pPr>
              <w:spacing w:after="0"/>
            </w:pPr>
            <w:r w:rsidRPr="00595EE0">
              <w:t>1.94%</w:t>
            </w:r>
          </w:p>
        </w:tc>
        <w:tc>
          <w:tcPr>
            <w:tcW w:w="0" w:type="auto"/>
            <w:noWrap/>
            <w:hideMark/>
          </w:tcPr>
          <w:p w14:paraId="750D619F" w14:textId="1604F7AD" w:rsidR="00595EE0" w:rsidRPr="00595EE0" w:rsidRDefault="00595EE0" w:rsidP="00951711">
            <w:pPr>
              <w:spacing w:after="0"/>
            </w:pPr>
            <w:r w:rsidRPr="00595EE0">
              <w:t xml:space="preserve"> 3,567 </w:t>
            </w:r>
          </w:p>
        </w:tc>
      </w:tr>
      <w:tr w:rsidR="00595EE0" w:rsidRPr="00F60113" w14:paraId="17CB5F77" w14:textId="77777777" w:rsidTr="00951711">
        <w:trPr>
          <w:trHeight w:val="285"/>
        </w:trPr>
        <w:tc>
          <w:tcPr>
            <w:tcW w:w="0" w:type="auto"/>
            <w:noWrap/>
            <w:hideMark/>
          </w:tcPr>
          <w:p w14:paraId="14FFF11F" w14:textId="77777777" w:rsidR="00595EE0" w:rsidRPr="00F60113" w:rsidRDefault="00595EE0" w:rsidP="00951711">
            <w:pPr>
              <w:spacing w:after="0"/>
            </w:pPr>
            <w:r w:rsidRPr="00F60113">
              <w:t>8</w:t>
            </w:r>
          </w:p>
        </w:tc>
        <w:tc>
          <w:tcPr>
            <w:tcW w:w="0" w:type="auto"/>
            <w:noWrap/>
            <w:hideMark/>
          </w:tcPr>
          <w:p w14:paraId="39D1DF85" w14:textId="77777777" w:rsidR="00595EE0" w:rsidRPr="00F60113" w:rsidRDefault="00595EE0" w:rsidP="00951711">
            <w:pPr>
              <w:spacing w:after="0"/>
            </w:pPr>
            <w:r w:rsidRPr="00F60113">
              <w:t>2030-31</w:t>
            </w:r>
          </w:p>
        </w:tc>
        <w:tc>
          <w:tcPr>
            <w:tcW w:w="0" w:type="auto"/>
            <w:noWrap/>
            <w:hideMark/>
          </w:tcPr>
          <w:p w14:paraId="4378C011" w14:textId="1759D23D" w:rsidR="00595EE0" w:rsidRPr="00595EE0" w:rsidRDefault="00595EE0" w:rsidP="00951711">
            <w:pPr>
              <w:spacing w:after="0"/>
            </w:pPr>
            <w:r w:rsidRPr="00595EE0">
              <w:t>1.91%</w:t>
            </w:r>
          </w:p>
        </w:tc>
        <w:tc>
          <w:tcPr>
            <w:tcW w:w="0" w:type="auto"/>
            <w:noWrap/>
            <w:hideMark/>
          </w:tcPr>
          <w:p w14:paraId="0A6D2259" w14:textId="73081AF7" w:rsidR="00595EE0" w:rsidRPr="00595EE0" w:rsidRDefault="00595EE0" w:rsidP="00951711">
            <w:pPr>
              <w:spacing w:after="0"/>
            </w:pPr>
            <w:r w:rsidRPr="00595EE0">
              <w:t xml:space="preserve"> 3,568 </w:t>
            </w:r>
          </w:p>
        </w:tc>
      </w:tr>
      <w:tr w:rsidR="00595EE0" w:rsidRPr="00F60113" w14:paraId="2EC0A11C" w14:textId="77777777" w:rsidTr="00951711">
        <w:trPr>
          <w:trHeight w:val="285"/>
        </w:trPr>
        <w:tc>
          <w:tcPr>
            <w:tcW w:w="0" w:type="auto"/>
            <w:noWrap/>
            <w:hideMark/>
          </w:tcPr>
          <w:p w14:paraId="701A155F" w14:textId="77777777" w:rsidR="00595EE0" w:rsidRPr="00F60113" w:rsidRDefault="00595EE0" w:rsidP="00951711">
            <w:pPr>
              <w:spacing w:after="0"/>
            </w:pPr>
            <w:r w:rsidRPr="00F60113">
              <w:t>9</w:t>
            </w:r>
          </w:p>
        </w:tc>
        <w:tc>
          <w:tcPr>
            <w:tcW w:w="0" w:type="auto"/>
            <w:noWrap/>
            <w:hideMark/>
          </w:tcPr>
          <w:p w14:paraId="33B2BFBE" w14:textId="77777777" w:rsidR="00595EE0" w:rsidRPr="00F60113" w:rsidRDefault="00595EE0" w:rsidP="00951711">
            <w:pPr>
              <w:spacing w:after="0"/>
            </w:pPr>
            <w:r w:rsidRPr="00F60113">
              <w:t>2031-32</w:t>
            </w:r>
          </w:p>
        </w:tc>
        <w:tc>
          <w:tcPr>
            <w:tcW w:w="0" w:type="auto"/>
            <w:noWrap/>
            <w:hideMark/>
          </w:tcPr>
          <w:p w14:paraId="6B72BAF5" w14:textId="0576E5E8" w:rsidR="00595EE0" w:rsidRPr="00595EE0" w:rsidRDefault="00595EE0" w:rsidP="00951711">
            <w:pPr>
              <w:spacing w:after="0"/>
            </w:pPr>
            <w:r w:rsidRPr="00595EE0">
              <w:t>1.84%</w:t>
            </w:r>
          </w:p>
        </w:tc>
        <w:tc>
          <w:tcPr>
            <w:tcW w:w="0" w:type="auto"/>
            <w:noWrap/>
            <w:hideMark/>
          </w:tcPr>
          <w:p w14:paraId="2B7B282A" w14:textId="1A67CEA4" w:rsidR="00595EE0" w:rsidRPr="00595EE0" w:rsidRDefault="00595EE0" w:rsidP="00951711">
            <w:pPr>
              <w:spacing w:after="0"/>
            </w:pPr>
            <w:r w:rsidRPr="00595EE0">
              <w:t xml:space="preserve"> 3,520 </w:t>
            </w:r>
          </w:p>
        </w:tc>
      </w:tr>
      <w:tr w:rsidR="00595EE0" w:rsidRPr="00F60113" w14:paraId="64EECB9E" w14:textId="77777777" w:rsidTr="00951711">
        <w:trPr>
          <w:trHeight w:val="285"/>
        </w:trPr>
        <w:tc>
          <w:tcPr>
            <w:tcW w:w="0" w:type="auto"/>
            <w:noWrap/>
            <w:hideMark/>
          </w:tcPr>
          <w:p w14:paraId="2EF17E73" w14:textId="77777777" w:rsidR="00595EE0" w:rsidRPr="00F60113" w:rsidRDefault="00595EE0" w:rsidP="00951711">
            <w:pPr>
              <w:spacing w:after="0"/>
            </w:pPr>
            <w:r w:rsidRPr="00F60113">
              <w:t>10</w:t>
            </w:r>
          </w:p>
        </w:tc>
        <w:tc>
          <w:tcPr>
            <w:tcW w:w="0" w:type="auto"/>
            <w:noWrap/>
            <w:hideMark/>
          </w:tcPr>
          <w:p w14:paraId="018CBC00" w14:textId="77777777" w:rsidR="00595EE0" w:rsidRPr="00F60113" w:rsidRDefault="00595EE0" w:rsidP="00951711">
            <w:pPr>
              <w:spacing w:after="0"/>
            </w:pPr>
            <w:r w:rsidRPr="00F60113">
              <w:t>2032-33</w:t>
            </w:r>
          </w:p>
        </w:tc>
        <w:tc>
          <w:tcPr>
            <w:tcW w:w="0" w:type="auto"/>
            <w:noWrap/>
            <w:hideMark/>
          </w:tcPr>
          <w:p w14:paraId="0F1504A6" w14:textId="71EA7E40" w:rsidR="00595EE0" w:rsidRPr="00595EE0" w:rsidRDefault="00595EE0" w:rsidP="00951711">
            <w:pPr>
              <w:spacing w:after="0"/>
            </w:pPr>
            <w:r w:rsidRPr="00595EE0">
              <w:t>1.79%</w:t>
            </w:r>
          </w:p>
        </w:tc>
        <w:tc>
          <w:tcPr>
            <w:tcW w:w="0" w:type="auto"/>
            <w:noWrap/>
            <w:hideMark/>
          </w:tcPr>
          <w:p w14:paraId="34601412" w14:textId="138073D1" w:rsidR="00595EE0" w:rsidRPr="00595EE0" w:rsidRDefault="00595EE0" w:rsidP="00951711">
            <w:pPr>
              <w:spacing w:after="0"/>
            </w:pPr>
            <w:r w:rsidRPr="00595EE0">
              <w:t xml:space="preserve"> 3,472 </w:t>
            </w:r>
          </w:p>
        </w:tc>
      </w:tr>
      <w:tr w:rsidR="00595EE0" w:rsidRPr="00F60113" w14:paraId="3EB0AA59" w14:textId="77777777" w:rsidTr="00951711">
        <w:trPr>
          <w:trHeight w:val="285"/>
        </w:trPr>
        <w:tc>
          <w:tcPr>
            <w:tcW w:w="0" w:type="auto"/>
            <w:noWrap/>
            <w:hideMark/>
          </w:tcPr>
          <w:p w14:paraId="38066320" w14:textId="77777777" w:rsidR="00595EE0" w:rsidRPr="00F60113" w:rsidRDefault="00595EE0" w:rsidP="00951711">
            <w:pPr>
              <w:spacing w:after="0"/>
            </w:pPr>
            <w:r w:rsidRPr="00F60113">
              <w:t>11</w:t>
            </w:r>
          </w:p>
        </w:tc>
        <w:tc>
          <w:tcPr>
            <w:tcW w:w="0" w:type="auto"/>
            <w:noWrap/>
            <w:hideMark/>
          </w:tcPr>
          <w:p w14:paraId="68158203" w14:textId="77777777" w:rsidR="00595EE0" w:rsidRPr="00F60113" w:rsidRDefault="00595EE0" w:rsidP="00951711">
            <w:pPr>
              <w:spacing w:after="0"/>
            </w:pPr>
            <w:r w:rsidRPr="00F60113">
              <w:t>2033-34</w:t>
            </w:r>
          </w:p>
        </w:tc>
        <w:tc>
          <w:tcPr>
            <w:tcW w:w="0" w:type="auto"/>
            <w:noWrap/>
            <w:hideMark/>
          </w:tcPr>
          <w:p w14:paraId="1C29A08F" w14:textId="5F083B13" w:rsidR="00595EE0" w:rsidRPr="00595EE0" w:rsidRDefault="00595EE0" w:rsidP="00951711">
            <w:pPr>
              <w:spacing w:after="0"/>
            </w:pPr>
            <w:r w:rsidRPr="00595EE0">
              <w:t>1.77%</w:t>
            </w:r>
          </w:p>
        </w:tc>
        <w:tc>
          <w:tcPr>
            <w:tcW w:w="0" w:type="auto"/>
            <w:noWrap/>
            <w:hideMark/>
          </w:tcPr>
          <w:p w14:paraId="04013DE8" w14:textId="77371EF4" w:rsidR="00595EE0" w:rsidRPr="00595EE0" w:rsidRDefault="00595EE0" w:rsidP="00951711">
            <w:pPr>
              <w:spacing w:after="0"/>
            </w:pPr>
            <w:r w:rsidRPr="00595EE0">
              <w:t xml:space="preserve"> 3,493 </w:t>
            </w:r>
          </w:p>
        </w:tc>
      </w:tr>
      <w:tr w:rsidR="00595EE0" w:rsidRPr="00F60113" w14:paraId="55ECB4A1" w14:textId="77777777" w:rsidTr="00951711">
        <w:trPr>
          <w:trHeight w:val="285"/>
        </w:trPr>
        <w:tc>
          <w:tcPr>
            <w:tcW w:w="0" w:type="auto"/>
            <w:noWrap/>
            <w:hideMark/>
          </w:tcPr>
          <w:p w14:paraId="1A83F399" w14:textId="77777777" w:rsidR="00595EE0" w:rsidRPr="00F60113" w:rsidRDefault="00595EE0" w:rsidP="00951711">
            <w:pPr>
              <w:spacing w:after="0"/>
            </w:pPr>
            <w:r w:rsidRPr="00F60113">
              <w:t>12</w:t>
            </w:r>
          </w:p>
        </w:tc>
        <w:tc>
          <w:tcPr>
            <w:tcW w:w="0" w:type="auto"/>
            <w:noWrap/>
            <w:hideMark/>
          </w:tcPr>
          <w:p w14:paraId="5324F133" w14:textId="77777777" w:rsidR="00595EE0" w:rsidRPr="00F60113" w:rsidRDefault="00595EE0" w:rsidP="00951711">
            <w:pPr>
              <w:spacing w:after="0"/>
            </w:pPr>
            <w:r w:rsidRPr="00F60113">
              <w:t>2034-35</w:t>
            </w:r>
          </w:p>
        </w:tc>
        <w:tc>
          <w:tcPr>
            <w:tcW w:w="0" w:type="auto"/>
            <w:noWrap/>
            <w:hideMark/>
          </w:tcPr>
          <w:p w14:paraId="4B460958" w14:textId="7E227B97" w:rsidR="00595EE0" w:rsidRPr="00595EE0" w:rsidRDefault="00595EE0" w:rsidP="00951711">
            <w:pPr>
              <w:spacing w:after="0"/>
            </w:pPr>
            <w:r w:rsidRPr="00595EE0">
              <w:t>1.74%</w:t>
            </w:r>
          </w:p>
        </w:tc>
        <w:tc>
          <w:tcPr>
            <w:tcW w:w="0" w:type="auto"/>
            <w:noWrap/>
            <w:hideMark/>
          </w:tcPr>
          <w:p w14:paraId="58E14A50" w14:textId="04BEB103" w:rsidR="00595EE0" w:rsidRPr="00595EE0" w:rsidRDefault="00595EE0" w:rsidP="00951711">
            <w:pPr>
              <w:spacing w:after="0"/>
            </w:pPr>
            <w:r w:rsidRPr="00595EE0">
              <w:t xml:space="preserve"> 3,497 </w:t>
            </w:r>
          </w:p>
        </w:tc>
      </w:tr>
      <w:tr w:rsidR="00595EE0" w:rsidRPr="00F60113" w14:paraId="768CC123" w14:textId="77777777" w:rsidTr="00951711">
        <w:trPr>
          <w:trHeight w:val="285"/>
        </w:trPr>
        <w:tc>
          <w:tcPr>
            <w:tcW w:w="0" w:type="auto"/>
            <w:noWrap/>
            <w:hideMark/>
          </w:tcPr>
          <w:p w14:paraId="74DA6EF5" w14:textId="77777777" w:rsidR="00595EE0" w:rsidRPr="00F60113" w:rsidRDefault="00595EE0" w:rsidP="00951711">
            <w:pPr>
              <w:spacing w:after="0"/>
            </w:pPr>
            <w:r w:rsidRPr="00F60113">
              <w:t>13</w:t>
            </w:r>
          </w:p>
        </w:tc>
        <w:tc>
          <w:tcPr>
            <w:tcW w:w="0" w:type="auto"/>
            <w:noWrap/>
            <w:hideMark/>
          </w:tcPr>
          <w:p w14:paraId="7ADFB179" w14:textId="77777777" w:rsidR="00595EE0" w:rsidRPr="00F60113" w:rsidRDefault="00595EE0" w:rsidP="00951711">
            <w:pPr>
              <w:spacing w:after="0"/>
            </w:pPr>
            <w:r w:rsidRPr="00F60113">
              <w:t>2035-36</w:t>
            </w:r>
          </w:p>
        </w:tc>
        <w:tc>
          <w:tcPr>
            <w:tcW w:w="0" w:type="auto"/>
            <w:noWrap/>
            <w:hideMark/>
          </w:tcPr>
          <w:p w14:paraId="72A8748D" w14:textId="05D6299C" w:rsidR="00595EE0" w:rsidRPr="00595EE0" w:rsidRDefault="00595EE0" w:rsidP="00951711">
            <w:pPr>
              <w:spacing w:after="0"/>
            </w:pPr>
            <w:r w:rsidRPr="00595EE0">
              <w:t>1.72%</w:t>
            </w:r>
          </w:p>
        </w:tc>
        <w:tc>
          <w:tcPr>
            <w:tcW w:w="0" w:type="auto"/>
            <w:noWrap/>
            <w:hideMark/>
          </w:tcPr>
          <w:p w14:paraId="438C4054" w14:textId="71B18D57" w:rsidR="00595EE0" w:rsidRPr="00595EE0" w:rsidRDefault="00595EE0" w:rsidP="00951711">
            <w:pPr>
              <w:spacing w:after="0"/>
            </w:pPr>
            <w:r w:rsidRPr="00595EE0">
              <w:t xml:space="preserve"> 3,516 </w:t>
            </w:r>
          </w:p>
        </w:tc>
      </w:tr>
      <w:tr w:rsidR="00595EE0" w:rsidRPr="00F60113" w14:paraId="480B38B3" w14:textId="77777777" w:rsidTr="00951711">
        <w:trPr>
          <w:trHeight w:val="285"/>
        </w:trPr>
        <w:tc>
          <w:tcPr>
            <w:tcW w:w="0" w:type="auto"/>
            <w:noWrap/>
            <w:hideMark/>
          </w:tcPr>
          <w:p w14:paraId="10DA47C4" w14:textId="77777777" w:rsidR="00595EE0" w:rsidRPr="00F60113" w:rsidRDefault="00595EE0" w:rsidP="00951711">
            <w:pPr>
              <w:spacing w:after="0"/>
            </w:pPr>
            <w:r w:rsidRPr="00F60113">
              <w:t>14</w:t>
            </w:r>
          </w:p>
        </w:tc>
        <w:tc>
          <w:tcPr>
            <w:tcW w:w="0" w:type="auto"/>
            <w:noWrap/>
            <w:hideMark/>
          </w:tcPr>
          <w:p w14:paraId="20FFDAFC" w14:textId="77777777" w:rsidR="00595EE0" w:rsidRPr="00F60113" w:rsidRDefault="00595EE0" w:rsidP="00951711">
            <w:pPr>
              <w:spacing w:after="0"/>
            </w:pPr>
            <w:r w:rsidRPr="00F60113">
              <w:t>2036-37</w:t>
            </w:r>
          </w:p>
        </w:tc>
        <w:tc>
          <w:tcPr>
            <w:tcW w:w="0" w:type="auto"/>
            <w:noWrap/>
            <w:hideMark/>
          </w:tcPr>
          <w:p w14:paraId="1280B28B" w14:textId="18CDACC9" w:rsidR="00595EE0" w:rsidRPr="00595EE0" w:rsidRDefault="00595EE0" w:rsidP="00951711">
            <w:pPr>
              <w:spacing w:after="0"/>
            </w:pPr>
            <w:r w:rsidRPr="00595EE0">
              <w:t>1.73%</w:t>
            </w:r>
          </w:p>
        </w:tc>
        <w:tc>
          <w:tcPr>
            <w:tcW w:w="0" w:type="auto"/>
            <w:noWrap/>
            <w:hideMark/>
          </w:tcPr>
          <w:p w14:paraId="6E4E2C6D" w14:textId="5B0DCCAD" w:rsidR="00595EE0" w:rsidRPr="00595EE0" w:rsidRDefault="00595EE0" w:rsidP="00951711">
            <w:pPr>
              <w:spacing w:after="0"/>
            </w:pPr>
            <w:r w:rsidRPr="00595EE0">
              <w:t xml:space="preserve"> 3,596 </w:t>
            </w:r>
          </w:p>
        </w:tc>
      </w:tr>
      <w:tr w:rsidR="00595EE0" w:rsidRPr="00F60113" w14:paraId="24FD61C9" w14:textId="77777777" w:rsidTr="00951711">
        <w:trPr>
          <w:trHeight w:val="285"/>
        </w:trPr>
        <w:tc>
          <w:tcPr>
            <w:tcW w:w="0" w:type="auto"/>
            <w:noWrap/>
            <w:hideMark/>
          </w:tcPr>
          <w:p w14:paraId="718B0277" w14:textId="77777777" w:rsidR="00595EE0" w:rsidRPr="00F60113" w:rsidRDefault="00595EE0" w:rsidP="00951711">
            <w:pPr>
              <w:spacing w:after="0"/>
            </w:pPr>
            <w:r w:rsidRPr="00F60113">
              <w:t>15</w:t>
            </w:r>
          </w:p>
        </w:tc>
        <w:tc>
          <w:tcPr>
            <w:tcW w:w="0" w:type="auto"/>
            <w:noWrap/>
            <w:hideMark/>
          </w:tcPr>
          <w:p w14:paraId="7CEA8E75" w14:textId="77777777" w:rsidR="00595EE0" w:rsidRPr="00F60113" w:rsidRDefault="00595EE0" w:rsidP="00951711">
            <w:pPr>
              <w:spacing w:after="0"/>
            </w:pPr>
            <w:r w:rsidRPr="00F60113">
              <w:t>2037-38</w:t>
            </w:r>
          </w:p>
        </w:tc>
        <w:tc>
          <w:tcPr>
            <w:tcW w:w="0" w:type="auto"/>
            <w:noWrap/>
            <w:hideMark/>
          </w:tcPr>
          <w:p w14:paraId="4D6808D4" w14:textId="797A9981" w:rsidR="00595EE0" w:rsidRPr="00595EE0" w:rsidRDefault="00595EE0" w:rsidP="00951711">
            <w:pPr>
              <w:spacing w:after="0"/>
            </w:pPr>
            <w:r w:rsidRPr="00595EE0">
              <w:t>1.67%</w:t>
            </w:r>
          </w:p>
        </w:tc>
        <w:tc>
          <w:tcPr>
            <w:tcW w:w="0" w:type="auto"/>
            <w:noWrap/>
            <w:hideMark/>
          </w:tcPr>
          <w:p w14:paraId="2B277D44" w14:textId="1B8DE60D" w:rsidR="00595EE0" w:rsidRPr="00595EE0" w:rsidRDefault="00595EE0" w:rsidP="00951711">
            <w:pPr>
              <w:spacing w:after="0"/>
            </w:pPr>
            <w:r w:rsidRPr="00595EE0">
              <w:t xml:space="preserve"> 3,548 </w:t>
            </w:r>
          </w:p>
        </w:tc>
      </w:tr>
      <w:tr w:rsidR="00595EE0" w:rsidRPr="00F60113" w14:paraId="09A80FDE" w14:textId="77777777" w:rsidTr="00951711">
        <w:trPr>
          <w:trHeight w:val="285"/>
        </w:trPr>
        <w:tc>
          <w:tcPr>
            <w:tcW w:w="0" w:type="auto"/>
            <w:noWrap/>
            <w:hideMark/>
          </w:tcPr>
          <w:p w14:paraId="279D2BD2" w14:textId="77777777" w:rsidR="00595EE0" w:rsidRPr="00F60113" w:rsidRDefault="00595EE0" w:rsidP="00951711">
            <w:pPr>
              <w:spacing w:after="0"/>
            </w:pPr>
            <w:r w:rsidRPr="00F60113">
              <w:t>16</w:t>
            </w:r>
          </w:p>
        </w:tc>
        <w:tc>
          <w:tcPr>
            <w:tcW w:w="0" w:type="auto"/>
            <w:noWrap/>
            <w:hideMark/>
          </w:tcPr>
          <w:p w14:paraId="53A6DBEC" w14:textId="77777777" w:rsidR="00595EE0" w:rsidRPr="00F60113" w:rsidRDefault="00595EE0" w:rsidP="00951711">
            <w:pPr>
              <w:spacing w:after="0"/>
            </w:pPr>
            <w:r w:rsidRPr="00F60113">
              <w:t>2038-39</w:t>
            </w:r>
          </w:p>
        </w:tc>
        <w:tc>
          <w:tcPr>
            <w:tcW w:w="0" w:type="auto"/>
            <w:noWrap/>
            <w:hideMark/>
          </w:tcPr>
          <w:p w14:paraId="434FD542" w14:textId="4DE57D06" w:rsidR="00595EE0" w:rsidRPr="00595EE0" w:rsidRDefault="00595EE0" w:rsidP="00951711">
            <w:pPr>
              <w:spacing w:after="0"/>
            </w:pPr>
            <w:r w:rsidRPr="00595EE0">
              <w:t>1.64%</w:t>
            </w:r>
          </w:p>
        </w:tc>
        <w:tc>
          <w:tcPr>
            <w:tcW w:w="0" w:type="auto"/>
            <w:noWrap/>
            <w:hideMark/>
          </w:tcPr>
          <w:p w14:paraId="68B52DB9" w14:textId="1D61A1C2" w:rsidR="00595EE0" w:rsidRPr="00595EE0" w:rsidRDefault="00595EE0" w:rsidP="00951711">
            <w:pPr>
              <w:spacing w:after="0"/>
            </w:pPr>
            <w:r w:rsidRPr="00595EE0">
              <w:t xml:space="preserve"> 3,540 </w:t>
            </w:r>
          </w:p>
        </w:tc>
      </w:tr>
      <w:tr w:rsidR="00595EE0" w:rsidRPr="00F60113" w14:paraId="4A433978" w14:textId="77777777" w:rsidTr="00951711">
        <w:trPr>
          <w:trHeight w:val="285"/>
        </w:trPr>
        <w:tc>
          <w:tcPr>
            <w:tcW w:w="0" w:type="auto"/>
            <w:noWrap/>
            <w:hideMark/>
          </w:tcPr>
          <w:p w14:paraId="0F755C37" w14:textId="77777777" w:rsidR="00595EE0" w:rsidRPr="00F60113" w:rsidRDefault="00595EE0" w:rsidP="00951711">
            <w:pPr>
              <w:spacing w:after="0"/>
            </w:pPr>
            <w:r w:rsidRPr="00F60113">
              <w:t>17</w:t>
            </w:r>
          </w:p>
        </w:tc>
        <w:tc>
          <w:tcPr>
            <w:tcW w:w="0" w:type="auto"/>
            <w:noWrap/>
            <w:hideMark/>
          </w:tcPr>
          <w:p w14:paraId="245F7609" w14:textId="77777777" w:rsidR="00595EE0" w:rsidRPr="00F60113" w:rsidRDefault="00595EE0" w:rsidP="00951711">
            <w:pPr>
              <w:spacing w:after="0"/>
            </w:pPr>
            <w:r w:rsidRPr="00F60113">
              <w:t>2039-40</w:t>
            </w:r>
          </w:p>
        </w:tc>
        <w:tc>
          <w:tcPr>
            <w:tcW w:w="0" w:type="auto"/>
            <w:noWrap/>
            <w:hideMark/>
          </w:tcPr>
          <w:p w14:paraId="7D3FF8C1" w14:textId="5257FE3F" w:rsidR="00595EE0" w:rsidRPr="00595EE0" w:rsidRDefault="00595EE0" w:rsidP="00951711">
            <w:pPr>
              <w:spacing w:after="0"/>
            </w:pPr>
            <w:r w:rsidRPr="00595EE0">
              <w:t>1.64%</w:t>
            </w:r>
          </w:p>
        </w:tc>
        <w:tc>
          <w:tcPr>
            <w:tcW w:w="0" w:type="auto"/>
            <w:noWrap/>
            <w:hideMark/>
          </w:tcPr>
          <w:p w14:paraId="1A36FAE1" w14:textId="75114EEB" w:rsidR="00595EE0" w:rsidRPr="00595EE0" w:rsidRDefault="00595EE0" w:rsidP="00951711">
            <w:pPr>
              <w:spacing w:after="0"/>
            </w:pPr>
            <w:r w:rsidRPr="00595EE0">
              <w:t xml:space="preserve"> 3,580 </w:t>
            </w:r>
          </w:p>
        </w:tc>
      </w:tr>
      <w:tr w:rsidR="00595EE0" w:rsidRPr="00F60113" w14:paraId="6CFEB357" w14:textId="77777777" w:rsidTr="00951711">
        <w:trPr>
          <w:trHeight w:val="285"/>
        </w:trPr>
        <w:tc>
          <w:tcPr>
            <w:tcW w:w="0" w:type="auto"/>
            <w:noWrap/>
            <w:hideMark/>
          </w:tcPr>
          <w:p w14:paraId="10007F1F" w14:textId="77777777" w:rsidR="00595EE0" w:rsidRPr="00F60113" w:rsidRDefault="00595EE0" w:rsidP="00951711">
            <w:pPr>
              <w:spacing w:after="0"/>
            </w:pPr>
            <w:r w:rsidRPr="00F60113">
              <w:t>18</w:t>
            </w:r>
          </w:p>
        </w:tc>
        <w:tc>
          <w:tcPr>
            <w:tcW w:w="0" w:type="auto"/>
            <w:noWrap/>
            <w:hideMark/>
          </w:tcPr>
          <w:p w14:paraId="7E198985" w14:textId="77777777" w:rsidR="00595EE0" w:rsidRPr="00F60113" w:rsidRDefault="00595EE0" w:rsidP="00951711">
            <w:pPr>
              <w:spacing w:after="0"/>
            </w:pPr>
            <w:r w:rsidRPr="00F60113">
              <w:t>2040-41</w:t>
            </w:r>
          </w:p>
        </w:tc>
        <w:tc>
          <w:tcPr>
            <w:tcW w:w="0" w:type="auto"/>
            <w:noWrap/>
            <w:hideMark/>
          </w:tcPr>
          <w:p w14:paraId="34BDBB89" w14:textId="77777777" w:rsidR="00595EE0" w:rsidRPr="00F60113" w:rsidRDefault="00595EE0" w:rsidP="00951711">
            <w:pPr>
              <w:spacing w:after="0"/>
            </w:pPr>
            <w:r w:rsidRPr="00F60113">
              <w:t>1.58%</w:t>
            </w:r>
          </w:p>
        </w:tc>
        <w:tc>
          <w:tcPr>
            <w:tcW w:w="0" w:type="auto"/>
            <w:noWrap/>
            <w:hideMark/>
          </w:tcPr>
          <w:p w14:paraId="6DD0594C" w14:textId="02DE218A" w:rsidR="00595EE0" w:rsidRPr="00595EE0" w:rsidRDefault="00595EE0" w:rsidP="00951711">
            <w:pPr>
              <w:spacing w:after="0"/>
            </w:pPr>
            <w:r w:rsidRPr="00595EE0">
              <w:t xml:space="preserve"> 3,519 </w:t>
            </w:r>
          </w:p>
        </w:tc>
      </w:tr>
      <w:tr w:rsidR="00595EE0" w:rsidRPr="00F60113" w14:paraId="31201095" w14:textId="77777777" w:rsidTr="00951711">
        <w:trPr>
          <w:trHeight w:val="285"/>
        </w:trPr>
        <w:tc>
          <w:tcPr>
            <w:tcW w:w="0" w:type="auto"/>
            <w:noWrap/>
            <w:hideMark/>
          </w:tcPr>
          <w:p w14:paraId="0232FED4" w14:textId="77777777" w:rsidR="00595EE0" w:rsidRPr="00F60113" w:rsidRDefault="00595EE0" w:rsidP="00951711">
            <w:pPr>
              <w:spacing w:after="0"/>
            </w:pPr>
            <w:r w:rsidRPr="00F60113">
              <w:t>19</w:t>
            </w:r>
          </w:p>
        </w:tc>
        <w:tc>
          <w:tcPr>
            <w:tcW w:w="0" w:type="auto"/>
            <w:noWrap/>
            <w:hideMark/>
          </w:tcPr>
          <w:p w14:paraId="7966C5FB" w14:textId="77777777" w:rsidR="00595EE0" w:rsidRPr="00F60113" w:rsidRDefault="00595EE0" w:rsidP="00951711">
            <w:pPr>
              <w:spacing w:after="0"/>
            </w:pPr>
            <w:r w:rsidRPr="00F60113">
              <w:t>2041-42</w:t>
            </w:r>
          </w:p>
        </w:tc>
        <w:tc>
          <w:tcPr>
            <w:tcW w:w="0" w:type="auto"/>
            <w:noWrap/>
            <w:hideMark/>
          </w:tcPr>
          <w:p w14:paraId="76C62C83" w14:textId="77777777" w:rsidR="00595EE0" w:rsidRPr="00F60113" w:rsidRDefault="00595EE0" w:rsidP="00951711">
            <w:pPr>
              <w:spacing w:after="0"/>
            </w:pPr>
            <w:r w:rsidRPr="00F60113">
              <w:t>1.58%</w:t>
            </w:r>
          </w:p>
        </w:tc>
        <w:tc>
          <w:tcPr>
            <w:tcW w:w="0" w:type="auto"/>
            <w:noWrap/>
            <w:hideMark/>
          </w:tcPr>
          <w:p w14:paraId="2BA697F3" w14:textId="4ACDDD0F" w:rsidR="00595EE0" w:rsidRPr="00595EE0" w:rsidRDefault="00595EE0" w:rsidP="00951711">
            <w:pPr>
              <w:spacing w:after="0"/>
            </w:pPr>
            <w:r w:rsidRPr="00595EE0">
              <w:t xml:space="preserve"> 3,574 </w:t>
            </w:r>
          </w:p>
        </w:tc>
      </w:tr>
      <w:tr w:rsidR="00595EE0" w:rsidRPr="00F60113" w14:paraId="55D81801" w14:textId="77777777" w:rsidTr="00951711">
        <w:trPr>
          <w:trHeight w:val="285"/>
        </w:trPr>
        <w:tc>
          <w:tcPr>
            <w:tcW w:w="0" w:type="auto"/>
            <w:noWrap/>
            <w:hideMark/>
          </w:tcPr>
          <w:p w14:paraId="3628ECA9" w14:textId="77777777" w:rsidR="00595EE0" w:rsidRPr="00F60113" w:rsidRDefault="00595EE0" w:rsidP="00951711">
            <w:pPr>
              <w:spacing w:after="0"/>
            </w:pPr>
            <w:r w:rsidRPr="00F60113">
              <w:t>20</w:t>
            </w:r>
          </w:p>
        </w:tc>
        <w:tc>
          <w:tcPr>
            <w:tcW w:w="0" w:type="auto"/>
            <w:noWrap/>
            <w:hideMark/>
          </w:tcPr>
          <w:p w14:paraId="5B0BE2A3" w14:textId="77777777" w:rsidR="00595EE0" w:rsidRPr="00F60113" w:rsidRDefault="00595EE0" w:rsidP="00951711">
            <w:pPr>
              <w:spacing w:after="0"/>
            </w:pPr>
            <w:r w:rsidRPr="00F60113">
              <w:t>2042-43</w:t>
            </w:r>
          </w:p>
        </w:tc>
        <w:tc>
          <w:tcPr>
            <w:tcW w:w="0" w:type="auto"/>
            <w:noWrap/>
            <w:hideMark/>
          </w:tcPr>
          <w:p w14:paraId="72027FD9" w14:textId="77777777" w:rsidR="00595EE0" w:rsidRPr="00F60113" w:rsidRDefault="00595EE0" w:rsidP="00951711">
            <w:pPr>
              <w:spacing w:after="0"/>
            </w:pPr>
            <w:r w:rsidRPr="00F60113">
              <w:t>1.58%</w:t>
            </w:r>
          </w:p>
        </w:tc>
        <w:tc>
          <w:tcPr>
            <w:tcW w:w="0" w:type="auto"/>
            <w:noWrap/>
            <w:hideMark/>
          </w:tcPr>
          <w:p w14:paraId="64EF929A" w14:textId="47A287BA" w:rsidR="00595EE0" w:rsidRPr="00595EE0" w:rsidRDefault="00595EE0" w:rsidP="00951711">
            <w:pPr>
              <w:spacing w:after="0"/>
            </w:pPr>
            <w:r w:rsidRPr="00595EE0">
              <w:t xml:space="preserve"> 3,631 </w:t>
            </w:r>
          </w:p>
        </w:tc>
      </w:tr>
      <w:tr w:rsidR="00595EE0" w:rsidRPr="00F60113" w14:paraId="7FA657ED" w14:textId="77777777" w:rsidTr="00951711">
        <w:trPr>
          <w:trHeight w:val="285"/>
        </w:trPr>
        <w:tc>
          <w:tcPr>
            <w:tcW w:w="0" w:type="auto"/>
            <w:noWrap/>
            <w:hideMark/>
          </w:tcPr>
          <w:p w14:paraId="5E1DB414" w14:textId="77777777" w:rsidR="00595EE0" w:rsidRPr="00F60113" w:rsidRDefault="00595EE0" w:rsidP="00951711">
            <w:pPr>
              <w:spacing w:after="0"/>
            </w:pPr>
            <w:r w:rsidRPr="00F60113">
              <w:t>21</w:t>
            </w:r>
          </w:p>
        </w:tc>
        <w:tc>
          <w:tcPr>
            <w:tcW w:w="0" w:type="auto"/>
            <w:noWrap/>
            <w:hideMark/>
          </w:tcPr>
          <w:p w14:paraId="34925BAD" w14:textId="77777777" w:rsidR="00595EE0" w:rsidRPr="00F60113" w:rsidRDefault="00595EE0" w:rsidP="00951711">
            <w:pPr>
              <w:spacing w:after="0"/>
            </w:pPr>
            <w:r w:rsidRPr="00F60113">
              <w:t>2043-44</w:t>
            </w:r>
          </w:p>
        </w:tc>
        <w:tc>
          <w:tcPr>
            <w:tcW w:w="0" w:type="auto"/>
            <w:noWrap/>
            <w:hideMark/>
          </w:tcPr>
          <w:p w14:paraId="6DD3D1B7" w14:textId="77777777" w:rsidR="00595EE0" w:rsidRPr="00F60113" w:rsidRDefault="00595EE0" w:rsidP="00951711">
            <w:pPr>
              <w:spacing w:after="0"/>
            </w:pPr>
            <w:r w:rsidRPr="00F60113">
              <w:t>1.58%</w:t>
            </w:r>
          </w:p>
        </w:tc>
        <w:tc>
          <w:tcPr>
            <w:tcW w:w="0" w:type="auto"/>
            <w:noWrap/>
            <w:hideMark/>
          </w:tcPr>
          <w:p w14:paraId="72213976" w14:textId="7B486EEE" w:rsidR="00595EE0" w:rsidRPr="00595EE0" w:rsidRDefault="00595EE0" w:rsidP="00951711">
            <w:pPr>
              <w:spacing w:after="0"/>
            </w:pPr>
            <w:r w:rsidRPr="00595EE0">
              <w:t xml:space="preserve"> 3,688 </w:t>
            </w:r>
          </w:p>
        </w:tc>
      </w:tr>
      <w:tr w:rsidR="00595EE0" w:rsidRPr="00F60113" w14:paraId="0B56A27A" w14:textId="77777777" w:rsidTr="00951711">
        <w:trPr>
          <w:trHeight w:val="285"/>
        </w:trPr>
        <w:tc>
          <w:tcPr>
            <w:tcW w:w="0" w:type="auto"/>
            <w:noWrap/>
            <w:hideMark/>
          </w:tcPr>
          <w:p w14:paraId="2B882D3D" w14:textId="77777777" w:rsidR="00595EE0" w:rsidRPr="00F60113" w:rsidRDefault="00595EE0" w:rsidP="00951711">
            <w:pPr>
              <w:spacing w:after="0"/>
            </w:pPr>
            <w:r w:rsidRPr="00F60113">
              <w:t>22</w:t>
            </w:r>
          </w:p>
        </w:tc>
        <w:tc>
          <w:tcPr>
            <w:tcW w:w="0" w:type="auto"/>
            <w:noWrap/>
            <w:hideMark/>
          </w:tcPr>
          <w:p w14:paraId="223C46AB" w14:textId="77777777" w:rsidR="00595EE0" w:rsidRPr="00F60113" w:rsidRDefault="00595EE0" w:rsidP="00951711">
            <w:pPr>
              <w:spacing w:after="0"/>
            </w:pPr>
            <w:r w:rsidRPr="00F60113">
              <w:t>2044-45</w:t>
            </w:r>
          </w:p>
        </w:tc>
        <w:tc>
          <w:tcPr>
            <w:tcW w:w="0" w:type="auto"/>
            <w:noWrap/>
            <w:hideMark/>
          </w:tcPr>
          <w:p w14:paraId="7D6FC8DD" w14:textId="77777777" w:rsidR="00595EE0" w:rsidRPr="00F60113" w:rsidRDefault="00595EE0" w:rsidP="00951711">
            <w:pPr>
              <w:spacing w:after="0"/>
            </w:pPr>
            <w:r w:rsidRPr="00F60113">
              <w:t>1.58%</w:t>
            </w:r>
          </w:p>
        </w:tc>
        <w:tc>
          <w:tcPr>
            <w:tcW w:w="0" w:type="auto"/>
            <w:noWrap/>
            <w:hideMark/>
          </w:tcPr>
          <w:p w14:paraId="4479AFB6" w14:textId="0DE4D755" w:rsidR="00595EE0" w:rsidRPr="00595EE0" w:rsidRDefault="00595EE0" w:rsidP="00951711">
            <w:pPr>
              <w:spacing w:after="0"/>
            </w:pPr>
            <w:r w:rsidRPr="00595EE0">
              <w:t xml:space="preserve"> 3,747 </w:t>
            </w:r>
          </w:p>
        </w:tc>
      </w:tr>
      <w:tr w:rsidR="00595EE0" w:rsidRPr="00F60113" w14:paraId="27B00E7B" w14:textId="77777777" w:rsidTr="00951711">
        <w:trPr>
          <w:trHeight w:val="285"/>
        </w:trPr>
        <w:tc>
          <w:tcPr>
            <w:tcW w:w="0" w:type="auto"/>
            <w:noWrap/>
            <w:hideMark/>
          </w:tcPr>
          <w:p w14:paraId="15A3CF21" w14:textId="77777777" w:rsidR="00595EE0" w:rsidRPr="00F60113" w:rsidRDefault="00595EE0" w:rsidP="00951711">
            <w:pPr>
              <w:spacing w:after="0"/>
            </w:pPr>
            <w:r w:rsidRPr="00F60113">
              <w:t>23</w:t>
            </w:r>
          </w:p>
        </w:tc>
        <w:tc>
          <w:tcPr>
            <w:tcW w:w="0" w:type="auto"/>
            <w:noWrap/>
            <w:hideMark/>
          </w:tcPr>
          <w:p w14:paraId="484DF04B" w14:textId="77777777" w:rsidR="00595EE0" w:rsidRPr="00F60113" w:rsidRDefault="00595EE0" w:rsidP="00951711">
            <w:pPr>
              <w:spacing w:after="0"/>
            </w:pPr>
            <w:r w:rsidRPr="00F60113">
              <w:t>2045-46</w:t>
            </w:r>
          </w:p>
        </w:tc>
        <w:tc>
          <w:tcPr>
            <w:tcW w:w="0" w:type="auto"/>
            <w:noWrap/>
            <w:hideMark/>
          </w:tcPr>
          <w:p w14:paraId="710835C6" w14:textId="77777777" w:rsidR="00595EE0" w:rsidRPr="00F60113" w:rsidRDefault="00595EE0" w:rsidP="00951711">
            <w:pPr>
              <w:spacing w:after="0"/>
            </w:pPr>
            <w:r w:rsidRPr="00F60113">
              <w:t>1.58%</w:t>
            </w:r>
          </w:p>
        </w:tc>
        <w:tc>
          <w:tcPr>
            <w:tcW w:w="0" w:type="auto"/>
            <w:noWrap/>
            <w:hideMark/>
          </w:tcPr>
          <w:p w14:paraId="6303E689" w14:textId="00BE7872" w:rsidR="00595EE0" w:rsidRPr="00595EE0" w:rsidRDefault="00595EE0" w:rsidP="00951711">
            <w:pPr>
              <w:spacing w:after="0"/>
            </w:pPr>
            <w:r w:rsidRPr="00595EE0">
              <w:t xml:space="preserve"> 3,806 </w:t>
            </w:r>
          </w:p>
        </w:tc>
      </w:tr>
      <w:tr w:rsidR="00595EE0" w:rsidRPr="00F60113" w14:paraId="4BCF05E1" w14:textId="77777777" w:rsidTr="00951711">
        <w:trPr>
          <w:trHeight w:val="285"/>
        </w:trPr>
        <w:tc>
          <w:tcPr>
            <w:tcW w:w="0" w:type="auto"/>
            <w:noWrap/>
            <w:hideMark/>
          </w:tcPr>
          <w:p w14:paraId="28285010" w14:textId="77777777" w:rsidR="00595EE0" w:rsidRPr="00F60113" w:rsidRDefault="00595EE0" w:rsidP="00951711">
            <w:pPr>
              <w:spacing w:after="0"/>
            </w:pPr>
            <w:r w:rsidRPr="00F60113">
              <w:t>24</w:t>
            </w:r>
          </w:p>
        </w:tc>
        <w:tc>
          <w:tcPr>
            <w:tcW w:w="0" w:type="auto"/>
            <w:noWrap/>
            <w:hideMark/>
          </w:tcPr>
          <w:p w14:paraId="2D944550" w14:textId="77777777" w:rsidR="00595EE0" w:rsidRPr="00F60113" w:rsidRDefault="00595EE0" w:rsidP="00951711">
            <w:pPr>
              <w:spacing w:after="0"/>
            </w:pPr>
            <w:r w:rsidRPr="00F60113">
              <w:t>2046-47</w:t>
            </w:r>
          </w:p>
        </w:tc>
        <w:tc>
          <w:tcPr>
            <w:tcW w:w="0" w:type="auto"/>
            <w:noWrap/>
            <w:hideMark/>
          </w:tcPr>
          <w:p w14:paraId="2C33DD30" w14:textId="77777777" w:rsidR="00595EE0" w:rsidRPr="00F60113" w:rsidRDefault="00595EE0" w:rsidP="00951711">
            <w:pPr>
              <w:spacing w:after="0"/>
            </w:pPr>
            <w:r w:rsidRPr="00F60113">
              <w:t>1.58%</w:t>
            </w:r>
          </w:p>
        </w:tc>
        <w:tc>
          <w:tcPr>
            <w:tcW w:w="0" w:type="auto"/>
            <w:noWrap/>
            <w:hideMark/>
          </w:tcPr>
          <w:p w14:paraId="5CB94D15" w14:textId="1EAF272A" w:rsidR="00595EE0" w:rsidRPr="00595EE0" w:rsidRDefault="00595EE0" w:rsidP="00951711">
            <w:pPr>
              <w:spacing w:after="0"/>
            </w:pPr>
            <w:r w:rsidRPr="00595EE0">
              <w:t xml:space="preserve"> 3,866 </w:t>
            </w:r>
          </w:p>
        </w:tc>
      </w:tr>
      <w:tr w:rsidR="00595EE0" w:rsidRPr="00F60113" w14:paraId="0383C43A" w14:textId="77777777" w:rsidTr="00951711">
        <w:trPr>
          <w:trHeight w:val="285"/>
        </w:trPr>
        <w:tc>
          <w:tcPr>
            <w:tcW w:w="0" w:type="auto"/>
            <w:noWrap/>
            <w:hideMark/>
          </w:tcPr>
          <w:p w14:paraId="60216E1D" w14:textId="77777777" w:rsidR="00595EE0" w:rsidRPr="00F60113" w:rsidRDefault="00595EE0" w:rsidP="00951711">
            <w:pPr>
              <w:spacing w:after="0"/>
            </w:pPr>
            <w:r w:rsidRPr="00F60113">
              <w:t>25</w:t>
            </w:r>
          </w:p>
        </w:tc>
        <w:tc>
          <w:tcPr>
            <w:tcW w:w="0" w:type="auto"/>
            <w:noWrap/>
            <w:hideMark/>
          </w:tcPr>
          <w:p w14:paraId="7D8A4585" w14:textId="77777777" w:rsidR="00595EE0" w:rsidRPr="00F60113" w:rsidRDefault="00595EE0" w:rsidP="00951711">
            <w:pPr>
              <w:spacing w:after="0"/>
            </w:pPr>
            <w:r w:rsidRPr="00F60113">
              <w:t>2047-48</w:t>
            </w:r>
          </w:p>
        </w:tc>
        <w:tc>
          <w:tcPr>
            <w:tcW w:w="0" w:type="auto"/>
            <w:noWrap/>
            <w:hideMark/>
          </w:tcPr>
          <w:p w14:paraId="3C99EA3D" w14:textId="77777777" w:rsidR="00595EE0" w:rsidRPr="00F60113" w:rsidRDefault="00595EE0" w:rsidP="00951711">
            <w:pPr>
              <w:spacing w:after="0"/>
            </w:pPr>
            <w:r w:rsidRPr="00F60113">
              <w:t>1.58%</w:t>
            </w:r>
          </w:p>
        </w:tc>
        <w:tc>
          <w:tcPr>
            <w:tcW w:w="0" w:type="auto"/>
            <w:noWrap/>
            <w:hideMark/>
          </w:tcPr>
          <w:p w14:paraId="77BC07CA" w14:textId="46512DA8" w:rsidR="00595EE0" w:rsidRPr="00595EE0" w:rsidRDefault="00595EE0" w:rsidP="00951711">
            <w:pPr>
              <w:spacing w:after="0"/>
            </w:pPr>
            <w:r w:rsidRPr="00595EE0">
              <w:t xml:space="preserve"> 3,927 </w:t>
            </w:r>
          </w:p>
        </w:tc>
      </w:tr>
      <w:tr w:rsidR="00595EE0" w:rsidRPr="00F60113" w14:paraId="076B9AD5" w14:textId="77777777" w:rsidTr="00951711">
        <w:trPr>
          <w:trHeight w:val="285"/>
        </w:trPr>
        <w:tc>
          <w:tcPr>
            <w:tcW w:w="0" w:type="auto"/>
            <w:noWrap/>
            <w:hideMark/>
          </w:tcPr>
          <w:p w14:paraId="710B91A6" w14:textId="77777777" w:rsidR="00595EE0" w:rsidRPr="00F60113" w:rsidRDefault="00595EE0" w:rsidP="00951711">
            <w:pPr>
              <w:spacing w:after="0"/>
            </w:pPr>
            <w:r w:rsidRPr="00F60113">
              <w:t>26</w:t>
            </w:r>
          </w:p>
        </w:tc>
        <w:tc>
          <w:tcPr>
            <w:tcW w:w="0" w:type="auto"/>
            <w:noWrap/>
            <w:hideMark/>
          </w:tcPr>
          <w:p w14:paraId="63DF906D" w14:textId="77777777" w:rsidR="00595EE0" w:rsidRPr="00F60113" w:rsidRDefault="00595EE0" w:rsidP="00951711">
            <w:pPr>
              <w:spacing w:after="0"/>
            </w:pPr>
            <w:r w:rsidRPr="00F60113">
              <w:t>2048-49</w:t>
            </w:r>
          </w:p>
        </w:tc>
        <w:tc>
          <w:tcPr>
            <w:tcW w:w="0" w:type="auto"/>
            <w:noWrap/>
            <w:hideMark/>
          </w:tcPr>
          <w:p w14:paraId="12B4A102" w14:textId="77777777" w:rsidR="00595EE0" w:rsidRPr="00F60113" w:rsidRDefault="00595EE0" w:rsidP="00951711">
            <w:pPr>
              <w:spacing w:after="0"/>
            </w:pPr>
            <w:r w:rsidRPr="00F60113">
              <w:t>1.58%</w:t>
            </w:r>
          </w:p>
        </w:tc>
        <w:tc>
          <w:tcPr>
            <w:tcW w:w="0" w:type="auto"/>
            <w:noWrap/>
            <w:hideMark/>
          </w:tcPr>
          <w:p w14:paraId="3691836C" w14:textId="56B4BEB4" w:rsidR="00595EE0" w:rsidRPr="00595EE0" w:rsidRDefault="00595EE0" w:rsidP="00951711">
            <w:pPr>
              <w:spacing w:after="0"/>
            </w:pPr>
            <w:r w:rsidRPr="00595EE0">
              <w:t xml:space="preserve"> 3,989 </w:t>
            </w:r>
          </w:p>
        </w:tc>
      </w:tr>
      <w:tr w:rsidR="00595EE0" w:rsidRPr="00F60113" w14:paraId="1980CF39" w14:textId="77777777" w:rsidTr="00951711">
        <w:trPr>
          <w:trHeight w:val="285"/>
        </w:trPr>
        <w:tc>
          <w:tcPr>
            <w:tcW w:w="0" w:type="auto"/>
            <w:noWrap/>
            <w:hideMark/>
          </w:tcPr>
          <w:p w14:paraId="461F93A0" w14:textId="77777777" w:rsidR="00595EE0" w:rsidRPr="00F60113" w:rsidRDefault="00595EE0" w:rsidP="00951711">
            <w:pPr>
              <w:spacing w:after="0"/>
            </w:pPr>
            <w:r w:rsidRPr="00F60113">
              <w:t>27</w:t>
            </w:r>
          </w:p>
        </w:tc>
        <w:tc>
          <w:tcPr>
            <w:tcW w:w="0" w:type="auto"/>
            <w:noWrap/>
            <w:hideMark/>
          </w:tcPr>
          <w:p w14:paraId="446F4E72" w14:textId="77777777" w:rsidR="00595EE0" w:rsidRPr="00F60113" w:rsidRDefault="00595EE0" w:rsidP="00951711">
            <w:pPr>
              <w:spacing w:after="0"/>
            </w:pPr>
            <w:r w:rsidRPr="00F60113">
              <w:t>2049-50</w:t>
            </w:r>
          </w:p>
        </w:tc>
        <w:tc>
          <w:tcPr>
            <w:tcW w:w="0" w:type="auto"/>
            <w:noWrap/>
            <w:hideMark/>
          </w:tcPr>
          <w:p w14:paraId="7D2145C6" w14:textId="77777777" w:rsidR="00595EE0" w:rsidRPr="00F60113" w:rsidRDefault="00595EE0" w:rsidP="00951711">
            <w:pPr>
              <w:spacing w:after="0"/>
            </w:pPr>
            <w:r w:rsidRPr="00F60113">
              <w:t>1.58%</w:t>
            </w:r>
          </w:p>
        </w:tc>
        <w:tc>
          <w:tcPr>
            <w:tcW w:w="0" w:type="auto"/>
            <w:noWrap/>
            <w:hideMark/>
          </w:tcPr>
          <w:p w14:paraId="007EBF62" w14:textId="2B7B36AA" w:rsidR="00595EE0" w:rsidRPr="00595EE0" w:rsidRDefault="00595EE0" w:rsidP="00951711">
            <w:pPr>
              <w:spacing w:after="0"/>
            </w:pPr>
            <w:r w:rsidRPr="00595EE0">
              <w:t xml:space="preserve"> 4,052 </w:t>
            </w:r>
          </w:p>
        </w:tc>
      </w:tr>
      <w:tr w:rsidR="00595EE0" w:rsidRPr="00F60113" w14:paraId="21099E12" w14:textId="77777777" w:rsidTr="00951711">
        <w:trPr>
          <w:trHeight w:val="285"/>
        </w:trPr>
        <w:tc>
          <w:tcPr>
            <w:tcW w:w="0" w:type="auto"/>
            <w:noWrap/>
            <w:hideMark/>
          </w:tcPr>
          <w:p w14:paraId="7D9A6F28" w14:textId="77777777" w:rsidR="00595EE0" w:rsidRPr="00F60113" w:rsidRDefault="00595EE0" w:rsidP="00951711">
            <w:pPr>
              <w:spacing w:after="0"/>
            </w:pPr>
            <w:r w:rsidRPr="00F60113">
              <w:t>28</w:t>
            </w:r>
          </w:p>
        </w:tc>
        <w:tc>
          <w:tcPr>
            <w:tcW w:w="0" w:type="auto"/>
            <w:noWrap/>
            <w:hideMark/>
          </w:tcPr>
          <w:p w14:paraId="28A758BE" w14:textId="77777777" w:rsidR="00595EE0" w:rsidRPr="00F60113" w:rsidRDefault="00595EE0" w:rsidP="00951711">
            <w:pPr>
              <w:spacing w:after="0"/>
            </w:pPr>
            <w:r w:rsidRPr="00F60113">
              <w:t>2050-51</w:t>
            </w:r>
          </w:p>
        </w:tc>
        <w:tc>
          <w:tcPr>
            <w:tcW w:w="0" w:type="auto"/>
            <w:noWrap/>
            <w:hideMark/>
          </w:tcPr>
          <w:p w14:paraId="37042EFD" w14:textId="77777777" w:rsidR="00595EE0" w:rsidRPr="00F60113" w:rsidRDefault="00595EE0" w:rsidP="00951711">
            <w:pPr>
              <w:spacing w:after="0"/>
            </w:pPr>
            <w:r w:rsidRPr="00F60113">
              <w:t>1.58%</w:t>
            </w:r>
          </w:p>
        </w:tc>
        <w:tc>
          <w:tcPr>
            <w:tcW w:w="0" w:type="auto"/>
            <w:noWrap/>
            <w:hideMark/>
          </w:tcPr>
          <w:p w14:paraId="368B8211" w14:textId="088AFF78" w:rsidR="00595EE0" w:rsidRPr="00595EE0" w:rsidRDefault="00595EE0" w:rsidP="00951711">
            <w:pPr>
              <w:spacing w:after="0"/>
            </w:pPr>
            <w:r w:rsidRPr="00595EE0">
              <w:t xml:space="preserve"> 4,116 </w:t>
            </w:r>
          </w:p>
        </w:tc>
      </w:tr>
      <w:tr w:rsidR="00595EE0" w:rsidRPr="00F60113" w14:paraId="711D3D23" w14:textId="77777777" w:rsidTr="00951711">
        <w:trPr>
          <w:trHeight w:val="285"/>
        </w:trPr>
        <w:tc>
          <w:tcPr>
            <w:tcW w:w="0" w:type="auto"/>
            <w:noWrap/>
            <w:hideMark/>
          </w:tcPr>
          <w:p w14:paraId="0901CE7E" w14:textId="77777777" w:rsidR="00595EE0" w:rsidRPr="00F60113" w:rsidRDefault="00595EE0" w:rsidP="00951711">
            <w:pPr>
              <w:spacing w:after="0"/>
            </w:pPr>
            <w:r w:rsidRPr="00F60113">
              <w:t>29</w:t>
            </w:r>
          </w:p>
        </w:tc>
        <w:tc>
          <w:tcPr>
            <w:tcW w:w="0" w:type="auto"/>
            <w:noWrap/>
            <w:hideMark/>
          </w:tcPr>
          <w:p w14:paraId="255B62DC" w14:textId="77777777" w:rsidR="00595EE0" w:rsidRPr="00F60113" w:rsidRDefault="00595EE0" w:rsidP="00951711">
            <w:pPr>
              <w:spacing w:after="0"/>
            </w:pPr>
            <w:r w:rsidRPr="00F60113">
              <w:t>2051-52</w:t>
            </w:r>
          </w:p>
        </w:tc>
        <w:tc>
          <w:tcPr>
            <w:tcW w:w="0" w:type="auto"/>
            <w:noWrap/>
            <w:hideMark/>
          </w:tcPr>
          <w:p w14:paraId="3DEC5668" w14:textId="77777777" w:rsidR="00595EE0" w:rsidRPr="00F60113" w:rsidRDefault="00595EE0" w:rsidP="00951711">
            <w:pPr>
              <w:spacing w:after="0"/>
            </w:pPr>
            <w:r w:rsidRPr="00F60113">
              <w:t>1.58%</w:t>
            </w:r>
          </w:p>
        </w:tc>
        <w:tc>
          <w:tcPr>
            <w:tcW w:w="0" w:type="auto"/>
            <w:noWrap/>
            <w:hideMark/>
          </w:tcPr>
          <w:p w14:paraId="2EBBAE5F" w14:textId="1A9C6B4C" w:rsidR="00595EE0" w:rsidRPr="00595EE0" w:rsidRDefault="00595EE0" w:rsidP="00951711">
            <w:pPr>
              <w:spacing w:after="0"/>
            </w:pPr>
            <w:r w:rsidRPr="00595EE0">
              <w:t xml:space="preserve"> 4,182 </w:t>
            </w:r>
          </w:p>
        </w:tc>
      </w:tr>
      <w:tr w:rsidR="00595EE0" w:rsidRPr="00F60113" w14:paraId="72EEFE98" w14:textId="77777777" w:rsidTr="00951711">
        <w:trPr>
          <w:trHeight w:val="285"/>
        </w:trPr>
        <w:tc>
          <w:tcPr>
            <w:tcW w:w="0" w:type="auto"/>
            <w:noWrap/>
            <w:hideMark/>
          </w:tcPr>
          <w:p w14:paraId="09BF64A0" w14:textId="77777777" w:rsidR="00595EE0" w:rsidRPr="00F60113" w:rsidRDefault="00595EE0" w:rsidP="00951711">
            <w:pPr>
              <w:spacing w:after="0"/>
            </w:pPr>
            <w:r w:rsidRPr="00F60113">
              <w:t>30</w:t>
            </w:r>
          </w:p>
        </w:tc>
        <w:tc>
          <w:tcPr>
            <w:tcW w:w="0" w:type="auto"/>
            <w:noWrap/>
            <w:hideMark/>
          </w:tcPr>
          <w:p w14:paraId="0E83F9D0" w14:textId="77777777" w:rsidR="00595EE0" w:rsidRPr="00F60113" w:rsidRDefault="00595EE0" w:rsidP="00951711">
            <w:pPr>
              <w:spacing w:after="0"/>
            </w:pPr>
            <w:r w:rsidRPr="00F60113">
              <w:t>2052-53</w:t>
            </w:r>
          </w:p>
        </w:tc>
        <w:tc>
          <w:tcPr>
            <w:tcW w:w="0" w:type="auto"/>
            <w:noWrap/>
            <w:hideMark/>
          </w:tcPr>
          <w:p w14:paraId="78135010" w14:textId="77777777" w:rsidR="00595EE0" w:rsidRPr="00F60113" w:rsidRDefault="00595EE0" w:rsidP="00951711">
            <w:pPr>
              <w:spacing w:after="0"/>
            </w:pPr>
            <w:r w:rsidRPr="00F60113">
              <w:t>1.58%</w:t>
            </w:r>
          </w:p>
        </w:tc>
        <w:tc>
          <w:tcPr>
            <w:tcW w:w="0" w:type="auto"/>
            <w:noWrap/>
            <w:hideMark/>
          </w:tcPr>
          <w:p w14:paraId="17F37C29" w14:textId="3AF27CB3" w:rsidR="00595EE0" w:rsidRPr="00595EE0" w:rsidRDefault="00595EE0" w:rsidP="00951711">
            <w:pPr>
              <w:spacing w:after="0"/>
            </w:pPr>
            <w:r w:rsidRPr="00595EE0">
              <w:t xml:space="preserve"> 4,248 </w:t>
            </w:r>
          </w:p>
        </w:tc>
      </w:tr>
    </w:tbl>
    <w:p w14:paraId="55A9F4EB" w14:textId="77777777" w:rsidR="00177D06" w:rsidRDefault="00177D06" w:rsidP="00C113EE"/>
    <w:p w14:paraId="1EB64208" w14:textId="77777777" w:rsidR="00177D06" w:rsidRPr="00177D06" w:rsidRDefault="00177D06" w:rsidP="00C113EE"/>
    <w:p w14:paraId="3D85A56A" w14:textId="78C53ADD" w:rsidR="00177D06" w:rsidRPr="00A43B04" w:rsidRDefault="00177D06" w:rsidP="00A43B04">
      <w:pPr>
        <w:pStyle w:val="Heading2"/>
        <w:rPr>
          <w:szCs w:val="24"/>
        </w:rPr>
      </w:pPr>
      <w:bookmarkStart w:id="50" w:name="_Toc115768757"/>
      <w:r w:rsidRPr="00A43B04">
        <w:rPr>
          <w:szCs w:val="24"/>
        </w:rPr>
        <w:lastRenderedPageBreak/>
        <w:t>Opex</w:t>
      </w:r>
      <w:bookmarkEnd w:id="50"/>
    </w:p>
    <w:p w14:paraId="41702686" w14:textId="4EBE7F62" w:rsidR="00E149D1" w:rsidRPr="00E149D1" w:rsidRDefault="00E149D1" w:rsidP="00C113EE">
      <w:r>
        <w:t>The NCC model includes the incremental operating expenditure (opex) to service forecast new connections. This comprises the cost of bulk water supply, sewage treatment, and asset maintenance.</w:t>
      </w:r>
    </w:p>
    <w:p w14:paraId="2AE6F0AD" w14:textId="736C1D4A" w:rsidR="00AF1DA3" w:rsidRDefault="00F57C3B" w:rsidP="00A43B04">
      <w:pPr>
        <w:pStyle w:val="Heading3"/>
      </w:pPr>
      <w:r>
        <w:t>Bulk water opex</w:t>
      </w:r>
    </w:p>
    <w:p w14:paraId="47E91D5F" w14:textId="38FB1B4A" w:rsidR="00E149D1" w:rsidRDefault="00E149D1" w:rsidP="00C113EE">
      <w:r>
        <w:t>The following assumptions have been adopted to describe future opex:</w:t>
      </w:r>
    </w:p>
    <w:p w14:paraId="7B4C5D7A" w14:textId="1B7E1CDA" w:rsidR="00E149D1" w:rsidRDefault="00E149D1" w:rsidP="00C113EE">
      <w:pPr>
        <w:pStyle w:val="ListParagraph"/>
        <w:numPr>
          <w:ilvl w:val="0"/>
          <w:numId w:val="15"/>
        </w:numPr>
      </w:pPr>
      <w:r>
        <w:t xml:space="preserve">Water supplied from the </w:t>
      </w:r>
      <w:r w:rsidR="00177D06">
        <w:t xml:space="preserve">Melbourne Geelong Pipeline (MGP) </w:t>
      </w:r>
      <w:r w:rsidR="002A1161">
        <w:t>has a marginal cost of</w:t>
      </w:r>
      <w:r w:rsidR="00177D06">
        <w:t xml:space="preserve"> $460/ML for years 1 to 3</w:t>
      </w:r>
      <w:r>
        <w:t xml:space="preserve">, before </w:t>
      </w:r>
      <w:r w:rsidR="00CF0268">
        <w:t>reduc</w:t>
      </w:r>
      <w:r>
        <w:t>ing</w:t>
      </w:r>
      <w:r w:rsidR="00CF0268">
        <w:t xml:space="preserve"> to</w:t>
      </w:r>
      <w:r w:rsidR="00177D06">
        <w:t xml:space="preserve"> $370/ML for years 4 to 14</w:t>
      </w:r>
      <w:r w:rsidR="00CF0268">
        <w:t xml:space="preserve"> after completion of</w:t>
      </w:r>
      <w:r>
        <w:t xml:space="preserve"> projects to extend the capacity and reach of the pipeline</w:t>
      </w:r>
      <w:r w:rsidR="00CF0268">
        <w:t xml:space="preserve"> </w:t>
      </w:r>
      <w:r>
        <w:t>(</w:t>
      </w:r>
      <w:r w:rsidR="00CF0268">
        <w:t>W1503 MGP Booster Pump Station and W1504 Extension of reach of MGP to Pettavel Basin</w:t>
      </w:r>
      <w:r>
        <w:t>)</w:t>
      </w:r>
      <w:r w:rsidR="00CF0268">
        <w:t>.</w:t>
      </w:r>
    </w:p>
    <w:p w14:paraId="79733FE4" w14:textId="43DE5E7B" w:rsidR="00E149D1" w:rsidRDefault="00E149D1" w:rsidP="00C113EE">
      <w:pPr>
        <w:pStyle w:val="ListParagraph"/>
        <w:numPr>
          <w:ilvl w:val="0"/>
          <w:numId w:val="15"/>
        </w:numPr>
      </w:pPr>
      <w:r>
        <w:t>Water assumed to be supplied from d</w:t>
      </w:r>
      <w:r w:rsidR="00177D06">
        <w:t>esal</w:t>
      </w:r>
      <w:r>
        <w:t>ination has a marginal cost of</w:t>
      </w:r>
      <w:r w:rsidR="00177D06">
        <w:t xml:space="preserve"> $2,620/ML for years 15 to 30. </w:t>
      </w:r>
    </w:p>
    <w:p w14:paraId="1066EF74" w14:textId="478A80ED" w:rsidR="00E149D1" w:rsidRDefault="00177D06" w:rsidP="00C113EE">
      <w:pPr>
        <w:pStyle w:val="ListParagraph"/>
        <w:numPr>
          <w:ilvl w:val="0"/>
          <w:numId w:val="15"/>
        </w:numPr>
      </w:pPr>
      <w:r>
        <w:t xml:space="preserve">Costs are incrementally staggered, </w:t>
      </w:r>
      <w:r w:rsidR="00E149D1">
        <w:t xml:space="preserve">such that </w:t>
      </w:r>
      <w:r>
        <w:t xml:space="preserve">only new customers </w:t>
      </w:r>
      <w:r w:rsidR="00E149D1">
        <w:t xml:space="preserve">from </w:t>
      </w:r>
      <w:r>
        <w:t>year 15 pay for th</w:t>
      </w:r>
      <w:r w:rsidR="00E149D1">
        <w:t>e</w:t>
      </w:r>
      <w:r>
        <w:t xml:space="preserve"> increased cost of bulk water</w:t>
      </w:r>
      <w:r w:rsidR="00E149D1">
        <w:t xml:space="preserve"> assumed to be supplied from desalination</w:t>
      </w:r>
      <w:r>
        <w:t>.</w:t>
      </w:r>
      <w:r w:rsidR="00CF0268" w:rsidRPr="00CF0268">
        <w:t xml:space="preserve"> </w:t>
      </w:r>
    </w:p>
    <w:p w14:paraId="4B27B7FC" w14:textId="185B9481" w:rsidR="00177D06" w:rsidRDefault="00E149D1" w:rsidP="00C113EE">
      <w:pPr>
        <w:pStyle w:val="ListParagraph"/>
        <w:numPr>
          <w:ilvl w:val="0"/>
          <w:numId w:val="15"/>
        </w:numPr>
      </w:pPr>
      <w:r>
        <w:t>The cost to supply r</w:t>
      </w:r>
      <w:r w:rsidR="00CF0268">
        <w:t xml:space="preserve">ecycled water </w:t>
      </w:r>
      <w:r>
        <w:t xml:space="preserve">is </w:t>
      </w:r>
      <w:r w:rsidR="00CF0268">
        <w:t xml:space="preserve">$780/ML </w:t>
      </w:r>
      <w:r>
        <w:t xml:space="preserve">for </w:t>
      </w:r>
      <w:r w:rsidR="00CF0268">
        <w:t>years 1 to 30.</w:t>
      </w:r>
    </w:p>
    <w:p w14:paraId="082F9132" w14:textId="1B74E031" w:rsidR="00AF1DA3" w:rsidRDefault="00F57C3B" w:rsidP="00A43B04">
      <w:pPr>
        <w:pStyle w:val="Heading3"/>
      </w:pPr>
      <w:r>
        <w:t>Sewage treatment</w:t>
      </w:r>
    </w:p>
    <w:p w14:paraId="4DCA2EA4" w14:textId="62902F50" w:rsidR="00177D06" w:rsidRDefault="00177D06" w:rsidP="00C113EE">
      <w:r>
        <w:t xml:space="preserve">Black Rock sewerage treatment costs </w:t>
      </w:r>
      <w:r w:rsidR="00E149D1">
        <w:t xml:space="preserve">are included at </w:t>
      </w:r>
      <w:r>
        <w:t>$460/ML for years 1 to 9</w:t>
      </w:r>
      <w:r w:rsidR="00E149D1">
        <w:t>, before</w:t>
      </w:r>
      <w:r>
        <w:t xml:space="preserve"> decreas</w:t>
      </w:r>
      <w:r w:rsidR="00E149D1">
        <w:t>ing</w:t>
      </w:r>
      <w:r>
        <w:t xml:space="preserve"> to $220/ML for years 10 to 30 post upgrade of the plant</w:t>
      </w:r>
      <w:r w:rsidR="00E149D1">
        <w:t xml:space="preserve"> (which will improve its operating efficiency)</w:t>
      </w:r>
      <w:r>
        <w:t>.</w:t>
      </w:r>
    </w:p>
    <w:p w14:paraId="7C5C9A05" w14:textId="77777777" w:rsidR="00F57C3B" w:rsidRPr="00F57C3B" w:rsidRDefault="00177D06" w:rsidP="00A43B04">
      <w:pPr>
        <w:pStyle w:val="Heading3"/>
      </w:pPr>
      <w:r w:rsidRPr="00F57C3B">
        <w:t xml:space="preserve">Maintenance costs </w:t>
      </w:r>
    </w:p>
    <w:p w14:paraId="31E5F8D5" w14:textId="4AFA38A7" w:rsidR="00E149D1" w:rsidRDefault="00E149D1" w:rsidP="00C113EE">
      <w:r>
        <w:t>Maintenance costs are assigned as a proportion of capital expenditure (capex) based on the following assumptions:</w:t>
      </w:r>
    </w:p>
    <w:p w14:paraId="3783088F" w14:textId="54289C8B" w:rsidR="00E149D1" w:rsidRDefault="00191A1C" w:rsidP="00C113EE">
      <w:pPr>
        <w:pStyle w:val="ListParagraph"/>
        <w:numPr>
          <w:ilvl w:val="0"/>
          <w:numId w:val="17"/>
        </w:numPr>
      </w:pPr>
      <w:r>
        <w:t>A</w:t>
      </w:r>
      <w:r w:rsidR="00177D06">
        <w:t xml:space="preserve"> 77/23 </w:t>
      </w:r>
      <w:r>
        <w:t>split between</w:t>
      </w:r>
      <w:r w:rsidR="00177D06">
        <w:t xml:space="preserve"> </w:t>
      </w:r>
      <w:r>
        <w:t>c</w:t>
      </w:r>
      <w:r w:rsidR="00177D06">
        <w:t>ivil</w:t>
      </w:r>
      <w:r>
        <w:t xml:space="preserve"> and mechanical and electrical (</w:t>
      </w:r>
      <w:r w:rsidR="00177D06">
        <w:t>M&amp;E</w:t>
      </w:r>
      <w:r>
        <w:t>).</w:t>
      </w:r>
    </w:p>
    <w:p w14:paraId="5453C9B7" w14:textId="6B226D6F" w:rsidR="00191A1C" w:rsidRDefault="00191A1C" w:rsidP="00C113EE">
      <w:pPr>
        <w:pStyle w:val="ListParagraph"/>
        <w:numPr>
          <w:ilvl w:val="0"/>
          <w:numId w:val="17"/>
        </w:numPr>
      </w:pPr>
      <w:r>
        <w:t xml:space="preserve">Opex for civil assets calculated as </w:t>
      </w:r>
      <w:r w:rsidR="00177D06">
        <w:t>0.15% of</w:t>
      </w:r>
      <w:r>
        <w:t xml:space="preserve"> capex value, </w:t>
      </w:r>
      <w:r w:rsidR="00177D06">
        <w:t xml:space="preserve">and 1.65% </w:t>
      </w:r>
      <w:r>
        <w:t xml:space="preserve">for </w:t>
      </w:r>
      <w:r w:rsidR="00177D06">
        <w:t xml:space="preserve">M&amp;E </w:t>
      </w:r>
      <w:r>
        <w:t>assets</w:t>
      </w:r>
      <w:r w:rsidR="00177D06">
        <w:t>. Overall this is 0.495% of capex ((77*0.15%)</w:t>
      </w:r>
      <w:r w:rsidR="002A1161">
        <w:t xml:space="preserve"> </w:t>
      </w:r>
      <w:r w:rsidR="00177D06">
        <w:t>+</w:t>
      </w:r>
      <w:r w:rsidR="002A1161">
        <w:t xml:space="preserve"> </w:t>
      </w:r>
      <w:r w:rsidR="00177D06">
        <w:t xml:space="preserve">(23*1.65%)). </w:t>
      </w:r>
    </w:p>
    <w:p w14:paraId="755D26CD" w14:textId="0300949E" w:rsidR="00191A1C" w:rsidRDefault="00177D06" w:rsidP="00C113EE">
      <w:pPr>
        <w:pStyle w:val="ListParagraph"/>
        <w:numPr>
          <w:ilvl w:val="0"/>
          <w:numId w:val="17"/>
        </w:numPr>
      </w:pPr>
      <w:r>
        <w:t>For example</w:t>
      </w:r>
      <w:r w:rsidR="00191A1C">
        <w:t>, capex of $</w:t>
      </w:r>
      <w:r>
        <w:t>100M capex ha</w:t>
      </w:r>
      <w:r w:rsidR="00191A1C">
        <w:t>s an annual maintenance opex of</w:t>
      </w:r>
      <w:r>
        <w:t xml:space="preserve"> </w:t>
      </w:r>
      <w:r w:rsidR="00191A1C">
        <w:t>$</w:t>
      </w:r>
      <w:r>
        <w:t xml:space="preserve">0.495M. </w:t>
      </w:r>
    </w:p>
    <w:p w14:paraId="606C193A" w14:textId="55533D22" w:rsidR="00177D06" w:rsidRDefault="00177D06" w:rsidP="00C113EE">
      <w:pPr>
        <w:pStyle w:val="ListParagraph"/>
        <w:numPr>
          <w:ilvl w:val="0"/>
          <w:numId w:val="17"/>
        </w:numPr>
      </w:pPr>
      <w:r>
        <w:t>Maintenance costs are allocated for gifted assets and capex projects.</w:t>
      </w:r>
    </w:p>
    <w:p w14:paraId="2E10A322" w14:textId="77777777" w:rsidR="00177D06" w:rsidRDefault="00177D06" w:rsidP="00C113EE"/>
    <w:p w14:paraId="4F4F19C1" w14:textId="3DC6C3A6" w:rsidR="00177D06" w:rsidRPr="00A43B04" w:rsidRDefault="00177D06" w:rsidP="00A43B04">
      <w:pPr>
        <w:pStyle w:val="Heading2"/>
        <w:rPr>
          <w:szCs w:val="24"/>
        </w:rPr>
      </w:pPr>
      <w:bookmarkStart w:id="51" w:name="_Toc115768758"/>
      <w:r w:rsidRPr="00A43B04">
        <w:rPr>
          <w:szCs w:val="24"/>
        </w:rPr>
        <w:t>Capex</w:t>
      </w:r>
      <w:bookmarkEnd w:id="51"/>
    </w:p>
    <w:p w14:paraId="1A914EEF" w14:textId="307ACBEB" w:rsidR="009538E7" w:rsidRDefault="009538E7" w:rsidP="00C113EE">
      <w:r>
        <w:t xml:space="preserve">As outlined in section 3.1, Barwon Water proposes to include 30 years of capex in the NCC model. </w:t>
      </w:r>
    </w:p>
    <w:p w14:paraId="70C28EC5" w14:textId="6987819A" w:rsidR="009538E7" w:rsidRDefault="009538E7" w:rsidP="00C113EE">
      <w:r>
        <w:t xml:space="preserve">Capex is split into three categories for NCCs: Water, Recycled Water &amp; Sewer. </w:t>
      </w:r>
    </w:p>
    <w:p w14:paraId="6A1145A1" w14:textId="42DD375E" w:rsidR="00BB07AB" w:rsidRPr="00F57C3B" w:rsidRDefault="00BB07AB" w:rsidP="00A43B04">
      <w:pPr>
        <w:pStyle w:val="Heading3"/>
      </w:pPr>
      <w:r>
        <w:lastRenderedPageBreak/>
        <w:t>10 year CWIP</w:t>
      </w:r>
      <w:r w:rsidR="009538E7">
        <w:t xml:space="preserve"> (Years 1-10)</w:t>
      </w:r>
    </w:p>
    <w:p w14:paraId="053994BC" w14:textId="01CF13CD" w:rsidR="009538E7" w:rsidRDefault="009538E7" w:rsidP="00C113EE">
      <w:r>
        <w:t xml:space="preserve">Refer to </w:t>
      </w:r>
      <w:r w:rsidR="00191A1C">
        <w:t xml:space="preserve">the </w:t>
      </w:r>
      <w:r>
        <w:t xml:space="preserve">capex supporting document for details </w:t>
      </w:r>
      <w:r w:rsidR="00191A1C">
        <w:t>about Barwon Water’s capital program in the next period</w:t>
      </w:r>
      <w:r>
        <w:t xml:space="preserve">. Barwon Water prepares </w:t>
      </w:r>
      <w:r w:rsidR="002A1161">
        <w:t>and maintains a 10 year rolling</w:t>
      </w:r>
      <w:r>
        <w:t xml:space="preserve"> capital works progr</w:t>
      </w:r>
      <w:r w:rsidR="00706FF8">
        <w:t xml:space="preserve">am, and thus it is reasonably </w:t>
      </w:r>
      <w:r>
        <w:t xml:space="preserve">straightforward to establish the expenditure associated with </w:t>
      </w:r>
      <w:r w:rsidR="00706FF8">
        <w:t>growth</w:t>
      </w:r>
      <w:r>
        <w:t xml:space="preserve"> in years 1-10. All projects with the primary project driver, growth, in the 10 year CWIP are included. </w:t>
      </w:r>
    </w:p>
    <w:p w14:paraId="02229981" w14:textId="0DD21F34" w:rsidR="009538E7" w:rsidRPr="00F57C3B" w:rsidRDefault="009538E7" w:rsidP="00A43B04">
      <w:pPr>
        <w:pStyle w:val="Heading3"/>
      </w:pPr>
      <w:r>
        <w:t>Apportionments to 10 year CWIP (Years 1-10)</w:t>
      </w:r>
    </w:p>
    <w:p w14:paraId="25511B24" w14:textId="0505F1F1" w:rsidR="00706FF8" w:rsidRDefault="00706FF8" w:rsidP="00C113EE">
      <w:r>
        <w:t xml:space="preserve">As only one driver </w:t>
      </w:r>
      <w:r w:rsidR="00191A1C">
        <w:t xml:space="preserve">can be assigned to each project </w:t>
      </w:r>
      <w:r>
        <w:t>in the CWIP</w:t>
      </w:r>
      <w:r w:rsidR="00191A1C">
        <w:t>,</w:t>
      </w:r>
      <w:r>
        <w:t xml:space="preserve"> some growth projects are split across other categories such as improved service, compliance or renewal.</w:t>
      </w:r>
    </w:p>
    <w:p w14:paraId="6BE08A0C" w14:textId="77777777" w:rsidR="00706FF8" w:rsidRDefault="00706FF8" w:rsidP="00C113EE"/>
    <w:p w14:paraId="125EE3D5" w14:textId="2EA81044" w:rsidR="009538E7" w:rsidRDefault="009538E7" w:rsidP="00C113EE">
      <w:r>
        <w:t>This section detail</w:t>
      </w:r>
      <w:r w:rsidR="00706FF8">
        <w:t>s</w:t>
      </w:r>
      <w:r>
        <w:t xml:space="preserve"> projects included </w:t>
      </w:r>
      <w:r w:rsidR="00191A1C">
        <w:t xml:space="preserve">in the NCC model </w:t>
      </w:r>
      <w:r>
        <w:t xml:space="preserve">where </w:t>
      </w:r>
      <w:r w:rsidR="00191A1C">
        <w:t xml:space="preserve">the </w:t>
      </w:r>
      <w:r>
        <w:t xml:space="preserve">project driver </w:t>
      </w:r>
      <w:r w:rsidR="00706FF8">
        <w:t>is</w:t>
      </w:r>
      <w:r>
        <w:t xml:space="preserve"> growth</w:t>
      </w:r>
      <w:r w:rsidR="00191A1C">
        <w:t xml:space="preserve">, but the investment will also deliver </w:t>
      </w:r>
      <w:r w:rsidR="00706FF8">
        <w:t xml:space="preserve">some benefits to existing customers. These benefits include improved water system resilience, security of supply, reliability, </w:t>
      </w:r>
      <w:r w:rsidR="00191A1C">
        <w:t xml:space="preserve">improved </w:t>
      </w:r>
      <w:r w:rsidR="00706FF8">
        <w:t xml:space="preserve">asset life etc. Apportionments are made to exclude some capex </w:t>
      </w:r>
      <w:r w:rsidR="00191A1C">
        <w:t xml:space="preserve">from the NCC model where costs should be </w:t>
      </w:r>
      <w:r w:rsidR="00706FF8">
        <w:t xml:space="preserve">borne </w:t>
      </w:r>
      <w:r w:rsidR="00191A1C">
        <w:t xml:space="preserve">in part </w:t>
      </w:r>
      <w:r w:rsidR="00706FF8">
        <w:t xml:space="preserve">by existing customers. </w:t>
      </w:r>
    </w:p>
    <w:p w14:paraId="7F0E4390" w14:textId="77777777" w:rsidR="00706FF8" w:rsidRDefault="00706FF8" w:rsidP="00C113EE"/>
    <w:p w14:paraId="73EAE1D4" w14:textId="435C2873" w:rsidR="009538E7" w:rsidRDefault="00706FF8" w:rsidP="00C113EE">
      <w:r>
        <w:t xml:space="preserve">Year 1-10 </w:t>
      </w:r>
      <w:r w:rsidR="009538E7">
        <w:t>CWIP Water project apportionments to NCCs:</w:t>
      </w:r>
    </w:p>
    <w:p w14:paraId="66C016E3" w14:textId="77777777" w:rsidR="009538E7" w:rsidRDefault="009538E7" w:rsidP="00C113EE">
      <w:pPr>
        <w:pStyle w:val="ListParagraph"/>
        <w:numPr>
          <w:ilvl w:val="0"/>
          <w:numId w:val="5"/>
        </w:numPr>
      </w:pPr>
      <w:r>
        <w:t xml:space="preserve">W1158 - </w:t>
      </w:r>
      <w:r w:rsidRPr="00422D35">
        <w:t>Bellarine Transfer Main Stage 6</w:t>
      </w:r>
      <w:r>
        <w:t xml:space="preserve"> [70%]</w:t>
      </w:r>
    </w:p>
    <w:p w14:paraId="723AEB83" w14:textId="77777777" w:rsidR="009538E7" w:rsidRDefault="009538E7" w:rsidP="00C113EE">
      <w:pPr>
        <w:pStyle w:val="ListParagraph"/>
        <w:numPr>
          <w:ilvl w:val="0"/>
          <w:numId w:val="6"/>
        </w:numPr>
      </w:pPr>
      <w:r>
        <w:t xml:space="preserve">W1039 - </w:t>
      </w:r>
      <w:r w:rsidRPr="00422D35">
        <w:t xml:space="preserve">Bellarine Transfer Main Stage </w:t>
      </w:r>
      <w:r>
        <w:t>5b [70%]</w:t>
      </w:r>
    </w:p>
    <w:p w14:paraId="5969F3C1" w14:textId="77777777" w:rsidR="009538E7" w:rsidRDefault="009538E7" w:rsidP="00C113EE">
      <w:pPr>
        <w:pStyle w:val="ListParagraph"/>
        <w:numPr>
          <w:ilvl w:val="0"/>
          <w:numId w:val="6"/>
        </w:numPr>
      </w:pPr>
      <w:r>
        <w:t xml:space="preserve">W1227 - </w:t>
      </w:r>
      <w:r w:rsidRPr="00422D35">
        <w:t>Indented Head St Leonards Feeder Main Stage 4</w:t>
      </w:r>
      <w:r>
        <w:t xml:space="preserve"> [50%]</w:t>
      </w:r>
    </w:p>
    <w:p w14:paraId="50B913FF" w14:textId="77777777" w:rsidR="009538E7" w:rsidRDefault="009538E7" w:rsidP="00C113EE">
      <w:pPr>
        <w:pStyle w:val="ListParagraph"/>
        <w:numPr>
          <w:ilvl w:val="0"/>
          <w:numId w:val="6"/>
        </w:numPr>
      </w:pPr>
      <w:r>
        <w:t xml:space="preserve">W1167 - </w:t>
      </w:r>
      <w:r w:rsidRPr="00422D35">
        <w:t xml:space="preserve">Indented Head St Leonards Feeder Main Stage </w:t>
      </w:r>
      <w:r>
        <w:t>3 [50%]</w:t>
      </w:r>
    </w:p>
    <w:p w14:paraId="6740F227" w14:textId="77777777" w:rsidR="009538E7" w:rsidRDefault="009538E7" w:rsidP="00C113EE">
      <w:pPr>
        <w:pStyle w:val="ListParagraph"/>
        <w:numPr>
          <w:ilvl w:val="0"/>
          <w:numId w:val="6"/>
        </w:numPr>
      </w:pPr>
      <w:r w:rsidRPr="00415000">
        <w:t>W1142</w:t>
      </w:r>
      <w:r>
        <w:t xml:space="preserve"> - Jan Juc Feeder Main Replacement [20%]</w:t>
      </w:r>
    </w:p>
    <w:p w14:paraId="4196BE2D" w14:textId="77777777" w:rsidR="009538E7" w:rsidRDefault="009538E7" w:rsidP="00C113EE">
      <w:pPr>
        <w:pStyle w:val="ListParagraph"/>
        <w:numPr>
          <w:ilvl w:val="0"/>
          <w:numId w:val="6"/>
        </w:numPr>
      </w:pPr>
      <w:r w:rsidRPr="00415000">
        <w:t>W1146</w:t>
      </w:r>
      <w:r>
        <w:t xml:space="preserve"> - </w:t>
      </w:r>
      <w:r w:rsidRPr="00415000">
        <w:t>Northern Feeder Main Stage 4</w:t>
      </w:r>
      <w:r>
        <w:t xml:space="preserve"> [70%]</w:t>
      </w:r>
    </w:p>
    <w:p w14:paraId="5594B41A" w14:textId="77777777" w:rsidR="009538E7" w:rsidRDefault="009538E7" w:rsidP="00C113EE">
      <w:pPr>
        <w:pStyle w:val="ListParagraph"/>
        <w:numPr>
          <w:ilvl w:val="0"/>
          <w:numId w:val="6"/>
        </w:numPr>
      </w:pPr>
      <w:r>
        <w:t xml:space="preserve">W1376 - </w:t>
      </w:r>
      <w:r w:rsidRPr="00415000">
        <w:t>Bakers Lane Tank Augmentation</w:t>
      </w:r>
      <w:r>
        <w:t xml:space="preserve"> [50%]</w:t>
      </w:r>
    </w:p>
    <w:p w14:paraId="44CE1A98" w14:textId="77777777" w:rsidR="009538E7" w:rsidRDefault="009538E7" w:rsidP="00C113EE">
      <w:pPr>
        <w:pStyle w:val="ListParagraph"/>
        <w:numPr>
          <w:ilvl w:val="0"/>
          <w:numId w:val="6"/>
        </w:numPr>
      </w:pPr>
      <w:r w:rsidRPr="00415000">
        <w:t>W1375</w:t>
      </w:r>
      <w:r>
        <w:t xml:space="preserve"> - </w:t>
      </w:r>
      <w:r w:rsidRPr="00415000">
        <w:t>Bannockburn to Teesdale Transfer Main</w:t>
      </w:r>
      <w:r>
        <w:t xml:space="preserve"> [50%]</w:t>
      </w:r>
    </w:p>
    <w:p w14:paraId="31DF0832" w14:textId="77777777" w:rsidR="009538E7" w:rsidRDefault="009538E7" w:rsidP="00C113EE">
      <w:pPr>
        <w:pStyle w:val="ListParagraph"/>
        <w:numPr>
          <w:ilvl w:val="0"/>
          <w:numId w:val="6"/>
        </w:numPr>
      </w:pPr>
      <w:r>
        <w:t xml:space="preserve">W1377 - </w:t>
      </w:r>
      <w:r w:rsidRPr="00415000">
        <w:t>Inverleigh Feeder Main</w:t>
      </w:r>
      <w:r>
        <w:t xml:space="preserve"> [50%]</w:t>
      </w:r>
    </w:p>
    <w:p w14:paraId="544A2ADF" w14:textId="77777777" w:rsidR="009538E7" w:rsidRDefault="009538E7" w:rsidP="00C113EE">
      <w:pPr>
        <w:pStyle w:val="ListParagraph"/>
        <w:numPr>
          <w:ilvl w:val="0"/>
          <w:numId w:val="6"/>
        </w:numPr>
      </w:pPr>
      <w:r>
        <w:t>W1164 - Highton Feeder Main Stage 2 [50%]</w:t>
      </w:r>
    </w:p>
    <w:p w14:paraId="2863EA71" w14:textId="77777777" w:rsidR="009538E7" w:rsidRDefault="009538E7" w:rsidP="00C113EE">
      <w:pPr>
        <w:pStyle w:val="ListParagraph"/>
        <w:numPr>
          <w:ilvl w:val="0"/>
          <w:numId w:val="6"/>
        </w:numPr>
      </w:pPr>
      <w:r>
        <w:t>W1394 - Lovely Banks - Carrs Rd Pump Station Aug [20%]</w:t>
      </w:r>
    </w:p>
    <w:p w14:paraId="32BD6CCA" w14:textId="77777777" w:rsidR="009538E7" w:rsidRDefault="009538E7" w:rsidP="00C113EE">
      <w:pPr>
        <w:pStyle w:val="ListParagraph"/>
        <w:numPr>
          <w:ilvl w:val="0"/>
          <w:numId w:val="6"/>
        </w:numPr>
      </w:pPr>
      <w:r>
        <w:t>W1506 - Inverleigh south west feeder main [50%]</w:t>
      </w:r>
    </w:p>
    <w:p w14:paraId="28034040" w14:textId="77777777" w:rsidR="009538E7" w:rsidRDefault="009538E7" w:rsidP="00C113EE">
      <w:pPr>
        <w:pStyle w:val="ListParagraph"/>
        <w:numPr>
          <w:ilvl w:val="0"/>
          <w:numId w:val="6"/>
        </w:numPr>
      </w:pPr>
      <w:r>
        <w:t>W1507 - Shelford feeder main upgrade [50%]</w:t>
      </w:r>
    </w:p>
    <w:p w14:paraId="1FC499F0" w14:textId="4DD2470E" w:rsidR="009538E7" w:rsidRDefault="009538E7" w:rsidP="00C113EE">
      <w:pPr>
        <w:pStyle w:val="ListParagraph"/>
        <w:numPr>
          <w:ilvl w:val="0"/>
          <w:numId w:val="6"/>
        </w:numPr>
      </w:pPr>
      <w:r>
        <w:t>W1508 - Teesdale high level system upgrade [50%]</w:t>
      </w:r>
    </w:p>
    <w:p w14:paraId="16FCB490" w14:textId="72A96FFB" w:rsidR="00706FF8" w:rsidRDefault="00706FF8" w:rsidP="00C113EE">
      <w:r>
        <w:t xml:space="preserve">The following projects </w:t>
      </w:r>
      <w:r w:rsidR="008D5782">
        <w:t>have been identified as having a</w:t>
      </w:r>
      <w:r>
        <w:t xml:space="preserve"> growth </w:t>
      </w:r>
      <w:r w:rsidR="008D5782">
        <w:t>driver, but are</w:t>
      </w:r>
      <w:r>
        <w:t xml:space="preserve"> not associated with new customers and thus have been excluded</w:t>
      </w:r>
      <w:r w:rsidR="008D5782">
        <w:t xml:space="preserve"> from the NCC model</w:t>
      </w:r>
      <w:r>
        <w:t>.</w:t>
      </w:r>
    </w:p>
    <w:p w14:paraId="762CC2B7" w14:textId="77777777" w:rsidR="009538E7" w:rsidRDefault="009538E7" w:rsidP="00C113EE">
      <w:pPr>
        <w:pStyle w:val="ListParagraph"/>
        <w:numPr>
          <w:ilvl w:val="0"/>
          <w:numId w:val="6"/>
        </w:numPr>
      </w:pPr>
      <w:r>
        <w:t>W1021 - Developer Constructed Retic - W [zero]</w:t>
      </w:r>
    </w:p>
    <w:p w14:paraId="113559C8" w14:textId="77777777" w:rsidR="00706FF8" w:rsidRDefault="00706FF8" w:rsidP="00C113EE">
      <w:pPr>
        <w:pStyle w:val="ListParagraph"/>
        <w:numPr>
          <w:ilvl w:val="0"/>
          <w:numId w:val="6"/>
        </w:numPr>
      </w:pPr>
      <w:r>
        <w:lastRenderedPageBreak/>
        <w:t xml:space="preserve">W1234 - </w:t>
      </w:r>
      <w:r w:rsidRPr="00415000">
        <w:t>13th Beach Resort WS Improv Stage 2</w:t>
      </w:r>
      <w:r>
        <w:t xml:space="preserve"> [zero]</w:t>
      </w:r>
    </w:p>
    <w:p w14:paraId="09B48B0A" w14:textId="77777777" w:rsidR="00706FF8" w:rsidRDefault="00706FF8" w:rsidP="00C113EE">
      <w:pPr>
        <w:pStyle w:val="ListParagraph"/>
        <w:numPr>
          <w:ilvl w:val="0"/>
          <w:numId w:val="6"/>
        </w:numPr>
      </w:pPr>
      <w:r>
        <w:t>W1498 - Forest St Bridge Replacement [zero]</w:t>
      </w:r>
    </w:p>
    <w:p w14:paraId="0164AD23" w14:textId="77777777" w:rsidR="00706FF8" w:rsidRDefault="00706FF8" w:rsidP="00C113EE">
      <w:pPr>
        <w:pStyle w:val="ListParagraph"/>
        <w:numPr>
          <w:ilvl w:val="0"/>
          <w:numId w:val="6"/>
        </w:numPr>
      </w:pPr>
      <w:r>
        <w:t xml:space="preserve">W1182 - </w:t>
      </w:r>
      <w:r w:rsidRPr="00415000">
        <w:t>Queenscliff Transfer Main Replacement</w:t>
      </w:r>
      <w:r>
        <w:t xml:space="preserve"> [zero]</w:t>
      </w:r>
    </w:p>
    <w:p w14:paraId="0E52BC6F" w14:textId="77777777" w:rsidR="00706FF8" w:rsidRDefault="00706FF8" w:rsidP="00C113EE">
      <w:pPr>
        <w:pStyle w:val="ListParagraph"/>
        <w:numPr>
          <w:ilvl w:val="0"/>
          <w:numId w:val="6"/>
        </w:numPr>
      </w:pPr>
      <w:r>
        <w:t>W1332 - Golden Plains Food Precinct Water Stg 2 [zero]</w:t>
      </w:r>
    </w:p>
    <w:p w14:paraId="0CF56D03" w14:textId="77777777" w:rsidR="00706FF8" w:rsidRDefault="00706FF8" w:rsidP="00C113EE">
      <w:pPr>
        <w:pStyle w:val="ListParagraph"/>
        <w:numPr>
          <w:ilvl w:val="0"/>
          <w:numId w:val="6"/>
        </w:numPr>
      </w:pPr>
      <w:r>
        <w:t xml:space="preserve">W1225 - </w:t>
      </w:r>
      <w:r w:rsidRPr="00415000">
        <w:t>Pettavel Basin New Disinfection Works</w:t>
      </w:r>
      <w:r>
        <w:t xml:space="preserve"> [zero]</w:t>
      </w:r>
    </w:p>
    <w:p w14:paraId="3E63CBEE" w14:textId="77777777" w:rsidR="00706FF8" w:rsidRDefault="00706FF8" w:rsidP="00C113EE">
      <w:pPr>
        <w:pStyle w:val="ListParagraph"/>
        <w:numPr>
          <w:ilvl w:val="0"/>
          <w:numId w:val="6"/>
        </w:numPr>
      </w:pPr>
      <w:r>
        <w:t xml:space="preserve">W1275 - </w:t>
      </w:r>
      <w:r w:rsidRPr="00415000">
        <w:t>Swanston Street Reticulation Improvement</w:t>
      </w:r>
      <w:r>
        <w:t xml:space="preserve"> [zero]</w:t>
      </w:r>
    </w:p>
    <w:p w14:paraId="2889E76E" w14:textId="77777777" w:rsidR="00706FF8" w:rsidRDefault="00706FF8" w:rsidP="00C113EE">
      <w:pPr>
        <w:pStyle w:val="ListParagraph"/>
        <w:numPr>
          <w:ilvl w:val="0"/>
          <w:numId w:val="6"/>
        </w:numPr>
      </w:pPr>
      <w:r>
        <w:t>W1484 - SNAB – Marengo Pilot [zero]</w:t>
      </w:r>
    </w:p>
    <w:p w14:paraId="4B996442" w14:textId="77777777" w:rsidR="009538E7" w:rsidRDefault="009538E7" w:rsidP="00C113EE">
      <w:pPr>
        <w:pStyle w:val="ListParagraph"/>
        <w:numPr>
          <w:ilvl w:val="0"/>
          <w:numId w:val="7"/>
        </w:numPr>
      </w:pPr>
      <w:r>
        <w:t>S1005 - Developer Constructed Retic – S [zero]</w:t>
      </w:r>
    </w:p>
    <w:p w14:paraId="56A803BA" w14:textId="77777777" w:rsidR="009538E7" w:rsidRDefault="009538E7" w:rsidP="00C113EE">
      <w:pPr>
        <w:pStyle w:val="ListParagraph"/>
        <w:numPr>
          <w:ilvl w:val="0"/>
          <w:numId w:val="7"/>
        </w:numPr>
      </w:pPr>
      <w:r>
        <w:t>S1267 - Developer Constructed Pressure Sewer Sys [zero]</w:t>
      </w:r>
    </w:p>
    <w:p w14:paraId="4A891DBF" w14:textId="17DE7B67" w:rsidR="009538E7" w:rsidRPr="00F57C3B" w:rsidRDefault="003E68FC" w:rsidP="00A43B04">
      <w:pPr>
        <w:pStyle w:val="Heading3"/>
      </w:pPr>
      <w:r>
        <w:t>Y</w:t>
      </w:r>
      <w:r w:rsidR="009538E7">
        <w:t>ear 1</w:t>
      </w:r>
      <w:r w:rsidR="00DD0C30">
        <w:t>1</w:t>
      </w:r>
      <w:r w:rsidR="009538E7">
        <w:t>-30 Capex</w:t>
      </w:r>
    </w:p>
    <w:p w14:paraId="0D424749" w14:textId="7C543B94" w:rsidR="009538E7" w:rsidRDefault="00706FF8" w:rsidP="00C113EE">
      <w:r>
        <w:t>As Barwon Water’s capital program is only 10 years, it becomes more challenging to est</w:t>
      </w:r>
      <w:r w:rsidR="00DD0C30">
        <w:t>ab</w:t>
      </w:r>
      <w:r>
        <w:t>lish the projected spend in years 1</w:t>
      </w:r>
      <w:r w:rsidR="00DD0C30">
        <w:t>1</w:t>
      </w:r>
      <w:r>
        <w:t>-30. For the purposes of this model we made the following assumptions to establish this spend profile:</w:t>
      </w:r>
    </w:p>
    <w:p w14:paraId="5EF53AF8" w14:textId="77777777" w:rsidR="00706FF8" w:rsidRDefault="00706FF8" w:rsidP="00C113EE"/>
    <w:p w14:paraId="457E96B7" w14:textId="056E6ACA" w:rsidR="00DD0C30" w:rsidRDefault="00DD0C30" w:rsidP="00C113EE">
      <w:pPr>
        <w:pStyle w:val="ListParagraph"/>
        <w:numPr>
          <w:ilvl w:val="0"/>
          <w:numId w:val="11"/>
        </w:numPr>
      </w:pPr>
      <w:r>
        <w:t>Northern &amp; Western Growth Areas (NWGGA)</w:t>
      </w:r>
    </w:p>
    <w:p w14:paraId="4D6A4CA9" w14:textId="19051FDC" w:rsidR="00F57C3B" w:rsidRDefault="00DD0C30" w:rsidP="00C113EE">
      <w:r>
        <w:t xml:space="preserve">The </w:t>
      </w:r>
      <w:r w:rsidR="00F57C3B">
        <w:t xml:space="preserve">Asset Planning department </w:t>
      </w:r>
      <w:r>
        <w:t xml:space="preserve">has prepared a program of works associated with the </w:t>
      </w:r>
      <w:r w:rsidR="00F57C3B">
        <w:t>NWGGA</w:t>
      </w:r>
      <w:r>
        <w:t xml:space="preserve"> area. This consists of three capital projects</w:t>
      </w:r>
      <w:r w:rsidR="008D5782">
        <w:t xml:space="preserve"> (</w:t>
      </w:r>
      <w:r w:rsidR="00CF0268">
        <w:t>W1502 / R1240 / S1314</w:t>
      </w:r>
      <w:r w:rsidR="008D5782">
        <w:t>)</w:t>
      </w:r>
      <w:r w:rsidR="00CF0268">
        <w:t xml:space="preserve">, </w:t>
      </w:r>
      <w:r w:rsidR="008D5782">
        <w:t xml:space="preserve">which provide </w:t>
      </w:r>
      <w:r w:rsidR="00CF0268">
        <w:t>forecast</w:t>
      </w:r>
      <w:r>
        <w:t xml:space="preserve"> spend associated with the life of the projects and includes expenditure from years 11-30.</w:t>
      </w:r>
      <w:r w:rsidR="00F57C3B">
        <w:t xml:space="preserve"> </w:t>
      </w:r>
    </w:p>
    <w:p w14:paraId="1E15F5BC" w14:textId="74A3F151" w:rsidR="00DD0C30" w:rsidRDefault="00DD0C30" w:rsidP="00C113EE">
      <w:pPr>
        <w:pStyle w:val="ListParagraph"/>
        <w:numPr>
          <w:ilvl w:val="0"/>
          <w:numId w:val="11"/>
        </w:numPr>
      </w:pPr>
      <w:r>
        <w:t xml:space="preserve">Extrapolated </w:t>
      </w:r>
      <w:r w:rsidR="006354BC">
        <w:t xml:space="preserve">Median </w:t>
      </w:r>
      <w:r>
        <w:t>Actual Growth Spends</w:t>
      </w:r>
    </w:p>
    <w:p w14:paraId="7C953F43" w14:textId="31043A93" w:rsidR="00DD0C30" w:rsidRDefault="00DD0C30" w:rsidP="00C113EE">
      <w:r>
        <w:t xml:space="preserve">For </w:t>
      </w:r>
      <w:r w:rsidR="008D5782">
        <w:t>y</w:t>
      </w:r>
      <w:r>
        <w:t>ears 11-30</w:t>
      </w:r>
      <w:r w:rsidR="000E44BB">
        <w:t>,</w:t>
      </w:r>
      <w:r>
        <w:t xml:space="preserve"> Asset Planning analysed actual median spends</w:t>
      </w:r>
      <w:r w:rsidR="000E44BB">
        <w:t xml:space="preserve"> in previous pricing periods, alongside </w:t>
      </w:r>
      <w:r>
        <w:t xml:space="preserve">the growth rates during those periods. </w:t>
      </w:r>
      <w:r w:rsidR="00C21D11">
        <w:t>W</w:t>
      </w:r>
      <w:r>
        <w:t xml:space="preserve">e </w:t>
      </w:r>
      <w:r w:rsidR="00C21D11">
        <w:t>have then used this to extrapolate future expenditure by adopting the median costs for periods of growth that align most closely with the same characteristics of growth expected to occur in the future</w:t>
      </w:r>
      <w:r>
        <w:t xml:space="preserve">. </w:t>
      </w:r>
      <w:r w:rsidR="00C21D11">
        <w:t>For example:</w:t>
      </w:r>
    </w:p>
    <w:p w14:paraId="7E962F91" w14:textId="00C4F751" w:rsidR="00EE188F" w:rsidRDefault="00DD0C30" w:rsidP="00C113EE">
      <w:pPr>
        <w:pStyle w:val="ListParagraph"/>
        <w:numPr>
          <w:ilvl w:val="0"/>
          <w:numId w:val="12"/>
        </w:numPr>
      </w:pPr>
      <w:r>
        <w:t xml:space="preserve">Years 11 to 20 </w:t>
      </w:r>
      <w:r w:rsidR="00EE188F">
        <w:t xml:space="preserve">(or 2034-43) </w:t>
      </w:r>
      <w:r>
        <w:t>are expected to see a growth rate</w:t>
      </w:r>
      <w:r w:rsidR="00457952">
        <w:t>,</w:t>
      </w:r>
      <w:r>
        <w:t xml:space="preserve"> </w:t>
      </w:r>
      <w:r w:rsidR="00EE188F">
        <w:t xml:space="preserve">building activity </w:t>
      </w:r>
      <w:r w:rsidR="00457952">
        <w:t xml:space="preserve">and capital spend </w:t>
      </w:r>
      <w:r>
        <w:t xml:space="preserve">similar to </w:t>
      </w:r>
      <w:r w:rsidR="00457952">
        <w:t>that seen in the 2018-23 period</w:t>
      </w:r>
      <w:r w:rsidR="00C21D11">
        <w:t>.</w:t>
      </w:r>
      <w:r w:rsidR="00457952">
        <w:t xml:space="preserve"> </w:t>
      </w:r>
      <w:r w:rsidR="00C21D11">
        <w:t>W</w:t>
      </w:r>
      <w:r w:rsidR="00457952">
        <w:t xml:space="preserve">e have </w:t>
      </w:r>
      <w:r w:rsidR="00C21D11">
        <w:t xml:space="preserve">therefore </w:t>
      </w:r>
      <w:r w:rsidR="00457952">
        <w:t xml:space="preserve">taken the median actual spend for sewer and water over that </w:t>
      </w:r>
      <w:r w:rsidR="00C21D11">
        <w:t xml:space="preserve">historical </w:t>
      </w:r>
      <w:r w:rsidR="00457952">
        <w:t xml:space="preserve">period and adopted it </w:t>
      </w:r>
      <w:r w:rsidR="00C21D11">
        <w:t>for the period 2034-43</w:t>
      </w:r>
      <w:r w:rsidR="00457952">
        <w:t>.</w:t>
      </w:r>
    </w:p>
    <w:p w14:paraId="20983B71" w14:textId="5F7CD81C" w:rsidR="00EE188F" w:rsidRDefault="00EE188F" w:rsidP="00C113EE">
      <w:pPr>
        <w:pStyle w:val="ListParagraph"/>
        <w:numPr>
          <w:ilvl w:val="0"/>
          <w:numId w:val="12"/>
        </w:numPr>
      </w:pPr>
      <w:r>
        <w:t>Years 21 to 30 (2043-2053) are expected to see a growth rate</w:t>
      </w:r>
      <w:r w:rsidR="00C21D11">
        <w:t>,</w:t>
      </w:r>
      <w:r>
        <w:t xml:space="preserve"> </w:t>
      </w:r>
      <w:r w:rsidR="00457952">
        <w:t xml:space="preserve">building activity and capital spend </w:t>
      </w:r>
      <w:r>
        <w:t>typical of the 2013-2018 period</w:t>
      </w:r>
      <w:r w:rsidR="009A0849">
        <w:t>.</w:t>
      </w:r>
      <w:r>
        <w:t xml:space="preserve"> </w:t>
      </w:r>
      <w:r w:rsidR="009A0849">
        <w:t>T</w:t>
      </w:r>
      <w:r w:rsidR="00457952">
        <w:t xml:space="preserve">his is because the forecast </w:t>
      </w:r>
      <w:r w:rsidR="009A0849">
        <w:t xml:space="preserve">growth in </w:t>
      </w:r>
      <w:r w:rsidR="00457952">
        <w:t>connections reduces later in the 30 year</w:t>
      </w:r>
      <w:r w:rsidR="009A0849">
        <w:t xml:space="preserve"> period</w:t>
      </w:r>
      <w:r w:rsidR="00457952">
        <w:t xml:space="preserve"> down to lower numbers seen during this period. T</w:t>
      </w:r>
      <w:r>
        <w:t>herefore we have taken the median actual spend for sewer and water over that period and adopted it here.</w:t>
      </w:r>
    </w:p>
    <w:p w14:paraId="0D926AAB" w14:textId="77777777" w:rsidR="00F65828" w:rsidRDefault="00F65828" w:rsidP="00C113EE">
      <w:pPr>
        <w:pStyle w:val="ListParagraph"/>
      </w:pPr>
    </w:p>
    <w:p w14:paraId="0A842BA6" w14:textId="47419935" w:rsidR="00876B68" w:rsidRDefault="00876B68" w:rsidP="00C113EE">
      <w:pPr>
        <w:pStyle w:val="ListParagraph"/>
        <w:numPr>
          <w:ilvl w:val="0"/>
          <w:numId w:val="11"/>
        </w:numPr>
      </w:pPr>
      <w:r>
        <w:t xml:space="preserve">No </w:t>
      </w:r>
      <w:r w:rsidR="009A0849">
        <w:t>additional</w:t>
      </w:r>
      <w:r>
        <w:t xml:space="preserve"> </w:t>
      </w:r>
      <w:r w:rsidR="009A0849">
        <w:t>r</w:t>
      </w:r>
      <w:r>
        <w:t>ecycled water</w:t>
      </w:r>
      <w:r w:rsidR="009A0849">
        <w:t xml:space="preserve"> costs outside NWWGA</w:t>
      </w:r>
    </w:p>
    <w:p w14:paraId="30269369" w14:textId="33AD4072" w:rsidR="00EE188F" w:rsidRDefault="00EE188F" w:rsidP="00C113EE">
      <w:r>
        <w:lastRenderedPageBreak/>
        <w:t>For recycled water it is expected that all expenditure in years 11-30 will be associated with the NWGGA area</w:t>
      </w:r>
      <w:r w:rsidR="009A0849">
        <w:t>,</w:t>
      </w:r>
      <w:r>
        <w:t xml:space="preserve"> as Armstrong Creek will be fully built out. Therefore only NWGGA includes recycled water</w:t>
      </w:r>
      <w:r w:rsidR="009A0849">
        <w:t>, with the costs reflected in the forecast NWGGA projects</w:t>
      </w:r>
      <w:r>
        <w:t>.</w:t>
      </w:r>
    </w:p>
    <w:p w14:paraId="324FED3E" w14:textId="1575902F" w:rsidR="00457952" w:rsidRDefault="009A0849" w:rsidP="00C113EE">
      <w:pPr>
        <w:rPr>
          <w:rStyle w:val="CommentReference"/>
        </w:rPr>
      </w:pPr>
      <w:r>
        <w:t xml:space="preserve">Based on these assumptions, the resulting expenditure forecast for </w:t>
      </w:r>
      <w:r w:rsidR="00EE188F">
        <w:t>years 11-30</w:t>
      </w:r>
      <w:r>
        <w:t xml:space="preserve"> </w:t>
      </w:r>
      <w:r w:rsidR="00EE188F" w:rsidRPr="00457952">
        <w:t>is shown below.</w:t>
      </w:r>
    </w:p>
    <w:p w14:paraId="3C9BD37C" w14:textId="71CF21C8" w:rsidR="00457952" w:rsidRPr="00F57C3B" w:rsidRDefault="00457952" w:rsidP="00C113EE">
      <w:r w:rsidRPr="00F57C3B">
        <w:t xml:space="preserve"> </w:t>
      </w:r>
    </w:p>
    <w:tbl>
      <w:tblPr>
        <w:tblStyle w:val="ListTable3-Accent1"/>
        <w:tblW w:w="0" w:type="auto"/>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1413"/>
        <w:gridCol w:w="1562"/>
        <w:gridCol w:w="1556"/>
        <w:gridCol w:w="4464"/>
      </w:tblGrid>
      <w:tr w:rsidR="00457952" w:rsidRPr="00457952" w14:paraId="4D9BF452" w14:textId="77777777" w:rsidTr="00951711">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shd w:val="clear" w:color="auto" w:fill="008998"/>
            <w:vAlign w:val="center"/>
          </w:tcPr>
          <w:p w14:paraId="0C60ECDC" w14:textId="5E532399" w:rsidR="00457952" w:rsidRPr="00951711" w:rsidRDefault="00457952" w:rsidP="00C113EE">
            <w:pPr>
              <w:rPr>
                <w:b w:val="0"/>
                <w:color w:val="EEECE1" w:themeColor="background2"/>
              </w:rPr>
            </w:pPr>
            <w:r w:rsidRPr="00951711">
              <w:rPr>
                <w:b w:val="0"/>
                <w:color w:val="EEECE1" w:themeColor="background2"/>
              </w:rPr>
              <w:t>Period</w:t>
            </w:r>
          </w:p>
        </w:tc>
        <w:tc>
          <w:tcPr>
            <w:tcW w:w="1562" w:type="dxa"/>
            <w:shd w:val="clear" w:color="auto" w:fill="008998"/>
            <w:vAlign w:val="center"/>
          </w:tcPr>
          <w:p w14:paraId="7D6B72A2" w14:textId="709D2CBE" w:rsidR="00457952" w:rsidRPr="00951711" w:rsidRDefault="00457952" w:rsidP="00C113EE">
            <w:pPr>
              <w:cnfStyle w:val="100000000000" w:firstRow="1" w:lastRow="0" w:firstColumn="0" w:lastColumn="0" w:oddVBand="0" w:evenVBand="0" w:oddHBand="0" w:evenHBand="0" w:firstRowFirstColumn="0" w:firstRowLastColumn="0" w:lastRowFirstColumn="0" w:lastRowLastColumn="0"/>
              <w:rPr>
                <w:b w:val="0"/>
                <w:color w:val="EEECE1" w:themeColor="background2"/>
              </w:rPr>
            </w:pPr>
            <w:r w:rsidRPr="00951711">
              <w:rPr>
                <w:b w:val="0"/>
                <w:color w:val="EEECE1" w:themeColor="background2"/>
              </w:rPr>
              <w:t>Sewer</w:t>
            </w:r>
          </w:p>
        </w:tc>
        <w:tc>
          <w:tcPr>
            <w:tcW w:w="1556" w:type="dxa"/>
            <w:shd w:val="clear" w:color="auto" w:fill="008998"/>
            <w:vAlign w:val="center"/>
          </w:tcPr>
          <w:p w14:paraId="1E19B254" w14:textId="2071BDE2" w:rsidR="00457952" w:rsidRPr="00951711" w:rsidRDefault="00457952" w:rsidP="00C113EE">
            <w:pPr>
              <w:cnfStyle w:val="100000000000" w:firstRow="1" w:lastRow="0" w:firstColumn="0" w:lastColumn="0" w:oddVBand="0" w:evenVBand="0" w:oddHBand="0" w:evenHBand="0" w:firstRowFirstColumn="0" w:firstRowLastColumn="0" w:lastRowFirstColumn="0" w:lastRowLastColumn="0"/>
              <w:rPr>
                <w:b w:val="0"/>
                <w:color w:val="EEECE1" w:themeColor="background2"/>
              </w:rPr>
            </w:pPr>
            <w:r w:rsidRPr="00951711">
              <w:rPr>
                <w:b w:val="0"/>
                <w:color w:val="EEECE1" w:themeColor="background2"/>
              </w:rPr>
              <w:t>Water</w:t>
            </w:r>
          </w:p>
        </w:tc>
        <w:tc>
          <w:tcPr>
            <w:tcW w:w="4464" w:type="dxa"/>
            <w:shd w:val="clear" w:color="auto" w:fill="008998"/>
            <w:vAlign w:val="center"/>
          </w:tcPr>
          <w:p w14:paraId="5ADB158F" w14:textId="1AA4C654" w:rsidR="00457952" w:rsidRPr="00951711" w:rsidRDefault="00457952" w:rsidP="00C113EE">
            <w:pPr>
              <w:cnfStyle w:val="100000000000" w:firstRow="1" w:lastRow="0" w:firstColumn="0" w:lastColumn="0" w:oddVBand="0" w:evenVBand="0" w:oddHBand="0" w:evenHBand="0" w:firstRowFirstColumn="0" w:firstRowLastColumn="0" w:lastRowFirstColumn="0" w:lastRowLastColumn="0"/>
              <w:rPr>
                <w:b w:val="0"/>
                <w:color w:val="EEECE1" w:themeColor="background2"/>
              </w:rPr>
            </w:pPr>
            <w:r w:rsidRPr="00951711">
              <w:rPr>
                <w:b w:val="0"/>
                <w:color w:val="EEECE1" w:themeColor="background2"/>
              </w:rPr>
              <w:t>Comment</w:t>
            </w:r>
          </w:p>
        </w:tc>
      </w:tr>
      <w:tr w:rsidR="00457952" w:rsidRPr="00457952" w14:paraId="0AC8FCCD" w14:textId="77777777" w:rsidTr="0095171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14:paraId="72F8CA66" w14:textId="1B75E548" w:rsidR="00457952" w:rsidRPr="00457952" w:rsidRDefault="00457952" w:rsidP="00C113EE">
            <w:r w:rsidRPr="00457952">
              <w:t>Years 11-20</w:t>
            </w:r>
          </w:p>
        </w:tc>
        <w:tc>
          <w:tcPr>
            <w:tcW w:w="1562" w:type="dxa"/>
            <w:tcBorders>
              <w:top w:val="none" w:sz="0" w:space="0" w:color="auto"/>
              <w:bottom w:val="none" w:sz="0" w:space="0" w:color="auto"/>
            </w:tcBorders>
            <w:vAlign w:val="center"/>
          </w:tcPr>
          <w:p w14:paraId="4D799860" w14:textId="51479D24" w:rsidR="00457952" w:rsidRPr="00457952" w:rsidRDefault="00457952" w:rsidP="00C113EE">
            <w:pPr>
              <w:cnfStyle w:val="000000100000" w:firstRow="0" w:lastRow="0" w:firstColumn="0" w:lastColumn="0" w:oddVBand="0" w:evenVBand="0" w:oddHBand="1" w:evenHBand="0" w:firstRowFirstColumn="0" w:firstRowLastColumn="0" w:lastRowFirstColumn="0" w:lastRowLastColumn="0"/>
            </w:pPr>
            <w:r w:rsidRPr="00457952">
              <w:t>$15.57M/year</w:t>
            </w:r>
          </w:p>
        </w:tc>
        <w:tc>
          <w:tcPr>
            <w:tcW w:w="1556" w:type="dxa"/>
            <w:tcBorders>
              <w:top w:val="none" w:sz="0" w:space="0" w:color="auto"/>
              <w:bottom w:val="none" w:sz="0" w:space="0" w:color="auto"/>
            </w:tcBorders>
            <w:vAlign w:val="center"/>
          </w:tcPr>
          <w:p w14:paraId="4CD77550" w14:textId="64CB1880" w:rsidR="00457952" w:rsidRPr="00457952" w:rsidRDefault="00457952" w:rsidP="00C113EE">
            <w:pPr>
              <w:cnfStyle w:val="000000100000" w:firstRow="0" w:lastRow="0" w:firstColumn="0" w:lastColumn="0" w:oddVBand="0" w:evenVBand="0" w:oddHBand="1" w:evenHBand="0" w:firstRowFirstColumn="0" w:firstRowLastColumn="0" w:lastRowFirstColumn="0" w:lastRowLastColumn="0"/>
            </w:pPr>
            <w:r w:rsidRPr="00457952">
              <w:t>$7.12M/year</w:t>
            </w:r>
          </w:p>
        </w:tc>
        <w:tc>
          <w:tcPr>
            <w:tcW w:w="4464" w:type="dxa"/>
            <w:tcBorders>
              <w:top w:val="none" w:sz="0" w:space="0" w:color="auto"/>
              <w:bottom w:val="none" w:sz="0" w:space="0" w:color="auto"/>
            </w:tcBorders>
            <w:vAlign w:val="center"/>
          </w:tcPr>
          <w:p w14:paraId="00BC611F" w14:textId="777B8239" w:rsidR="00457952" w:rsidRPr="00457952" w:rsidRDefault="00457952" w:rsidP="00C113EE">
            <w:pPr>
              <w:cnfStyle w:val="000000100000" w:firstRow="0" w:lastRow="0" w:firstColumn="0" w:lastColumn="0" w:oddVBand="0" w:evenVBand="0" w:oddHBand="1" w:evenHBand="0" w:firstRowFirstColumn="0" w:firstRowLastColumn="0" w:lastRowFirstColumn="0" w:lastRowLastColumn="0"/>
            </w:pPr>
            <w:r w:rsidRPr="00457952">
              <w:t xml:space="preserve">Median </w:t>
            </w:r>
            <w:r w:rsidR="009A0849">
              <w:t>actual</w:t>
            </w:r>
            <w:r w:rsidRPr="00457952">
              <w:t xml:space="preserve"> spend for 2018-23</w:t>
            </w:r>
          </w:p>
        </w:tc>
      </w:tr>
      <w:tr w:rsidR="00457952" w:rsidRPr="00457952" w14:paraId="50BB3A64" w14:textId="77777777" w:rsidTr="00951711">
        <w:trPr>
          <w:trHeight w:val="418"/>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14:paraId="5B96FF84" w14:textId="39449C59" w:rsidR="00457952" w:rsidRPr="00457952" w:rsidRDefault="00457952" w:rsidP="00C113EE">
            <w:r w:rsidRPr="00457952">
              <w:t>Years 21-30</w:t>
            </w:r>
          </w:p>
        </w:tc>
        <w:tc>
          <w:tcPr>
            <w:tcW w:w="1562" w:type="dxa"/>
            <w:vAlign w:val="center"/>
          </w:tcPr>
          <w:p w14:paraId="4AD549E3" w14:textId="0213C9B7" w:rsidR="00457952" w:rsidRPr="00457952" w:rsidRDefault="00457952" w:rsidP="00C113EE">
            <w:pPr>
              <w:cnfStyle w:val="000000000000" w:firstRow="0" w:lastRow="0" w:firstColumn="0" w:lastColumn="0" w:oddVBand="0" w:evenVBand="0" w:oddHBand="0" w:evenHBand="0" w:firstRowFirstColumn="0" w:firstRowLastColumn="0" w:lastRowFirstColumn="0" w:lastRowLastColumn="0"/>
            </w:pPr>
            <w:r w:rsidRPr="00457952">
              <w:t>$8.69M/year</w:t>
            </w:r>
          </w:p>
        </w:tc>
        <w:tc>
          <w:tcPr>
            <w:tcW w:w="1556" w:type="dxa"/>
            <w:vAlign w:val="center"/>
          </w:tcPr>
          <w:p w14:paraId="7380689F" w14:textId="520F3A32" w:rsidR="00457952" w:rsidRPr="00457952" w:rsidRDefault="00457952" w:rsidP="00C113EE">
            <w:pPr>
              <w:cnfStyle w:val="000000000000" w:firstRow="0" w:lastRow="0" w:firstColumn="0" w:lastColumn="0" w:oddVBand="0" w:evenVBand="0" w:oddHBand="0" w:evenHBand="0" w:firstRowFirstColumn="0" w:firstRowLastColumn="0" w:lastRowFirstColumn="0" w:lastRowLastColumn="0"/>
            </w:pPr>
            <w:r w:rsidRPr="00457952">
              <w:t>$4.81M/year</w:t>
            </w:r>
          </w:p>
        </w:tc>
        <w:tc>
          <w:tcPr>
            <w:tcW w:w="4464" w:type="dxa"/>
            <w:vAlign w:val="center"/>
          </w:tcPr>
          <w:p w14:paraId="203A8FD4" w14:textId="583FBFE3" w:rsidR="00457952" w:rsidRPr="00457952" w:rsidRDefault="00457952" w:rsidP="00C113EE">
            <w:pPr>
              <w:cnfStyle w:val="000000000000" w:firstRow="0" w:lastRow="0" w:firstColumn="0" w:lastColumn="0" w:oddVBand="0" w:evenVBand="0" w:oddHBand="0" w:evenHBand="0" w:firstRowFirstColumn="0" w:firstRowLastColumn="0" w:lastRowFirstColumn="0" w:lastRowLastColumn="0"/>
            </w:pPr>
            <w:r w:rsidRPr="00457952">
              <w:t xml:space="preserve">Median </w:t>
            </w:r>
            <w:r w:rsidR="009A0849">
              <w:t>actual</w:t>
            </w:r>
            <w:r w:rsidRPr="00457952">
              <w:t xml:space="preserve"> spend for 2013-18</w:t>
            </w:r>
          </w:p>
        </w:tc>
      </w:tr>
    </w:tbl>
    <w:p w14:paraId="628D894F" w14:textId="29F87B38" w:rsidR="00F57C3B" w:rsidRPr="00F57C3B" w:rsidRDefault="00F57C3B" w:rsidP="00C113EE"/>
    <w:p w14:paraId="000450EA" w14:textId="3A132EFC" w:rsidR="00177D06" w:rsidRPr="00A43B04" w:rsidRDefault="00177D06" w:rsidP="00A43B04">
      <w:pPr>
        <w:pStyle w:val="Heading2"/>
        <w:rPr>
          <w:szCs w:val="24"/>
        </w:rPr>
      </w:pPr>
      <w:bookmarkStart w:id="52" w:name="_Toc115768759"/>
      <w:r w:rsidRPr="00A43B04">
        <w:rPr>
          <w:szCs w:val="24"/>
        </w:rPr>
        <w:t>Other Inputs</w:t>
      </w:r>
      <w:bookmarkEnd w:id="52"/>
    </w:p>
    <w:p w14:paraId="7AF73584" w14:textId="77777777" w:rsidR="00177D06" w:rsidRDefault="00177D06" w:rsidP="00A43B04">
      <w:pPr>
        <w:pStyle w:val="Heading3"/>
      </w:pPr>
      <w:r>
        <w:t>Gifted Assets</w:t>
      </w:r>
    </w:p>
    <w:p w14:paraId="78CD0E9F" w14:textId="7C406FA9" w:rsidR="00177D06" w:rsidRDefault="00177D06" w:rsidP="00C113EE">
      <w:r>
        <w:t>The value of gifted assets has been assumed to be $</w:t>
      </w:r>
      <w:r w:rsidR="00194408">
        <w:t>4,903</w:t>
      </w:r>
      <w:r>
        <w:t xml:space="preserve"> for sewer </w:t>
      </w:r>
      <w:r w:rsidR="00876B68">
        <w:t>and $</w:t>
      </w:r>
      <w:r w:rsidR="00194408">
        <w:t>2,973</w:t>
      </w:r>
      <w:r w:rsidR="00876B68">
        <w:t xml:space="preserve"> for water and recycled water</w:t>
      </w:r>
      <w:r w:rsidR="009A0849">
        <w:t>,</w:t>
      </w:r>
      <w:r w:rsidR="00876B68">
        <w:t xml:space="preserve"> </w:t>
      </w:r>
      <w:r>
        <w:t xml:space="preserve">per connection. </w:t>
      </w:r>
      <w:r w:rsidR="00194408">
        <w:t xml:space="preserve">This is </w:t>
      </w:r>
      <w:r w:rsidR="00731586">
        <w:t xml:space="preserve">based on analysis of historical data and is </w:t>
      </w:r>
      <w:r w:rsidR="00194408">
        <w:t>consistent with the value adopted in our financial model.</w:t>
      </w:r>
    </w:p>
    <w:p w14:paraId="6DB6EBC3" w14:textId="721FB4EA" w:rsidR="00177D06" w:rsidRDefault="00177D06" w:rsidP="00C113EE">
      <w:r>
        <w:t>The</w:t>
      </w:r>
      <w:r w:rsidR="009A0849">
        <w:t xml:space="preserve"> total value of gifted assets is calculated as the</w:t>
      </w:r>
      <w:r>
        <w:t xml:space="preserve"> number of new connections </w:t>
      </w:r>
      <w:r w:rsidR="009A0849">
        <w:t>multiplied by the value per connection</w:t>
      </w:r>
      <w:r>
        <w:t xml:space="preserve">. </w:t>
      </w:r>
    </w:p>
    <w:p w14:paraId="1D7F7760" w14:textId="6F502968" w:rsidR="00177D06" w:rsidRDefault="00177D06" w:rsidP="00C113EE">
      <w:r>
        <w:t>Depreciation on gifted</w:t>
      </w:r>
      <w:r w:rsidR="00970A67">
        <w:t xml:space="preserve"> assets is based on 70</w:t>
      </w:r>
      <w:r>
        <w:t xml:space="preserve"> year asset class life. </w:t>
      </w:r>
    </w:p>
    <w:p w14:paraId="23BFEFEF" w14:textId="77777777" w:rsidR="00177D06" w:rsidRPr="00177D06" w:rsidRDefault="00177D06" w:rsidP="00C113EE"/>
    <w:p w14:paraId="3662AF13" w14:textId="77777777" w:rsidR="00177D06" w:rsidRDefault="00177D06" w:rsidP="00A43B04">
      <w:pPr>
        <w:pStyle w:val="Heading3"/>
      </w:pPr>
      <w:r>
        <w:t>WACC</w:t>
      </w:r>
    </w:p>
    <w:p w14:paraId="02E34658" w14:textId="512A72D6" w:rsidR="00177D06" w:rsidRDefault="009A0849" w:rsidP="00C113EE">
      <w:r>
        <w:t>The w</w:t>
      </w:r>
      <w:r w:rsidR="00177D06">
        <w:t xml:space="preserve">eighted average cost of capital (WACC) </w:t>
      </w:r>
      <w:r>
        <w:t xml:space="preserve">adopted in the model </w:t>
      </w:r>
      <w:r w:rsidR="00177D06">
        <w:t xml:space="preserve">is </w:t>
      </w:r>
      <w:r w:rsidR="00A82AF4">
        <w:t>2.7</w:t>
      </w:r>
      <w:r w:rsidR="00177D06">
        <w:t>%</w:t>
      </w:r>
      <w:r w:rsidR="00FE1DBD">
        <w:t>, this is based on the rate in the financial model</w:t>
      </w:r>
      <w:r w:rsidR="00177D06">
        <w:t>.</w:t>
      </w:r>
    </w:p>
    <w:p w14:paraId="01A06EF5" w14:textId="77777777" w:rsidR="00602B73" w:rsidRDefault="00602B73" w:rsidP="00A43B04">
      <w:pPr>
        <w:pStyle w:val="Heading3"/>
      </w:pPr>
    </w:p>
    <w:p w14:paraId="44279A67" w14:textId="59E6ADA5" w:rsidR="00602B73" w:rsidRPr="00A36708" w:rsidRDefault="00602B73" w:rsidP="00A43B04">
      <w:pPr>
        <w:pStyle w:val="Heading3"/>
      </w:pPr>
      <w:r>
        <w:t>Tariffs &amp; Revenue</w:t>
      </w:r>
    </w:p>
    <w:p w14:paraId="4A84C11A" w14:textId="674F00B1" w:rsidR="00602B73" w:rsidRDefault="00790421" w:rsidP="00C113EE">
      <w:r>
        <w:t>We are not proposing any change to our</w:t>
      </w:r>
      <w:r w:rsidR="00602B73">
        <w:t xml:space="preserve"> existing tariff structure,</w:t>
      </w:r>
      <w:r>
        <w:t xml:space="preserve"> which includes</w:t>
      </w:r>
      <w:r w:rsidR="00602B73">
        <w:t xml:space="preserve"> a fixed water</w:t>
      </w:r>
      <w:r>
        <w:t xml:space="preserve"> charge</w:t>
      </w:r>
      <w:r w:rsidR="00602B73">
        <w:t>, a variable water</w:t>
      </w:r>
      <w:r>
        <w:t xml:space="preserve"> charge</w:t>
      </w:r>
      <w:r w:rsidR="00602B73">
        <w:t xml:space="preserve">, a fixed sewer </w:t>
      </w:r>
      <w:r>
        <w:t xml:space="preserve">charge, </w:t>
      </w:r>
      <w:r w:rsidR="00602B73">
        <w:t>a variable sewer</w:t>
      </w:r>
      <w:r>
        <w:t xml:space="preserve"> charge</w:t>
      </w:r>
      <w:r w:rsidR="00602B73">
        <w:t>, and a variable recycled water</w:t>
      </w:r>
      <w:r>
        <w:t xml:space="preserve"> charge</w:t>
      </w:r>
      <w:r w:rsidR="00602B73">
        <w:t xml:space="preserve">. </w:t>
      </w:r>
      <w:r>
        <w:t>This structure applies to both</w:t>
      </w:r>
      <w:r w:rsidR="00602B73">
        <w:t xml:space="preserve"> res</w:t>
      </w:r>
      <w:r>
        <w:t>idential</w:t>
      </w:r>
      <w:r w:rsidR="00602B73">
        <w:t xml:space="preserve"> and non-res</w:t>
      </w:r>
      <w:r>
        <w:t>idential customers, except that residential customers do not pay a volumetric sewer charge</w:t>
      </w:r>
      <w:r w:rsidR="00602B73">
        <w:t>.</w:t>
      </w:r>
    </w:p>
    <w:p w14:paraId="0D7B6BD6" w14:textId="5E89E160" w:rsidR="00790421" w:rsidRDefault="00790421" w:rsidP="00C113EE">
      <w:r>
        <w:lastRenderedPageBreak/>
        <w:t>The NCC model assumes:</w:t>
      </w:r>
    </w:p>
    <w:p w14:paraId="61F0CDBF" w14:textId="625E888F" w:rsidR="00602B73" w:rsidRDefault="00602B73" w:rsidP="00C113EE">
      <w:pPr>
        <w:pStyle w:val="ListParagraph"/>
        <w:numPr>
          <w:ilvl w:val="0"/>
          <w:numId w:val="11"/>
        </w:numPr>
      </w:pPr>
      <w:r>
        <w:t xml:space="preserve">Residential </w:t>
      </w:r>
      <w:r w:rsidR="00790421">
        <w:t>water consumption of</w:t>
      </w:r>
      <w:r>
        <w:t xml:space="preserve"> 160 kL/connection</w:t>
      </w:r>
      <w:r w:rsidR="00790421">
        <w:t xml:space="preserve"> per year</w:t>
      </w:r>
      <w:r>
        <w:t xml:space="preserve">, </w:t>
      </w:r>
      <w:r w:rsidR="00790421">
        <w:t xml:space="preserve">and recycled water consumption of </w:t>
      </w:r>
      <w:r>
        <w:t xml:space="preserve">56 kL/connection </w:t>
      </w:r>
      <w:r w:rsidR="00790421">
        <w:t>per year</w:t>
      </w:r>
      <w:r>
        <w:t xml:space="preserve">. </w:t>
      </w:r>
      <w:r w:rsidR="00790421">
        <w:t>There is n</w:t>
      </w:r>
      <w:r>
        <w:t xml:space="preserve">o </w:t>
      </w:r>
      <w:r w:rsidR="00790421">
        <w:t xml:space="preserve">residential </w:t>
      </w:r>
      <w:r>
        <w:t>volume</w:t>
      </w:r>
      <w:r w:rsidR="00790421">
        <w:t>tric</w:t>
      </w:r>
      <w:r>
        <w:t xml:space="preserve"> </w:t>
      </w:r>
      <w:r w:rsidR="00790421">
        <w:t xml:space="preserve">sewer </w:t>
      </w:r>
      <w:r>
        <w:t>charge</w:t>
      </w:r>
      <w:r w:rsidR="00790421">
        <w:t xml:space="preserve"> (hence no assumptions about residential sewage discharge)</w:t>
      </w:r>
      <w:r>
        <w:t>.</w:t>
      </w:r>
    </w:p>
    <w:p w14:paraId="6E120747" w14:textId="10A4493A" w:rsidR="00602B73" w:rsidRDefault="00602B73" w:rsidP="00C113EE">
      <w:pPr>
        <w:pStyle w:val="ListParagraph"/>
        <w:numPr>
          <w:ilvl w:val="0"/>
          <w:numId w:val="11"/>
        </w:numPr>
      </w:pPr>
      <w:r>
        <w:t xml:space="preserve">Non-residential </w:t>
      </w:r>
      <w:r w:rsidR="00790421">
        <w:t>water consumption of</w:t>
      </w:r>
      <w:r>
        <w:t xml:space="preserve"> 756 kL/connection</w:t>
      </w:r>
      <w:r w:rsidR="00790421">
        <w:t xml:space="preserve"> per year</w:t>
      </w:r>
      <w:r>
        <w:t>,</w:t>
      </w:r>
      <w:r w:rsidR="00790421">
        <w:t xml:space="preserve"> recycled water consumption of</w:t>
      </w:r>
      <w:r>
        <w:t xml:space="preserve"> 168 kL/connection </w:t>
      </w:r>
      <w:r w:rsidR="00790421">
        <w:t>per year</w:t>
      </w:r>
      <w:r>
        <w:t xml:space="preserve">, </w:t>
      </w:r>
      <w:r w:rsidR="00790421">
        <w:t xml:space="preserve">and sewage discharges of </w:t>
      </w:r>
      <w:r>
        <w:t>7</w:t>
      </w:r>
      <w:r w:rsidR="008938F5">
        <w:t>18</w:t>
      </w:r>
      <w:r>
        <w:t xml:space="preserve"> kL/connection </w:t>
      </w:r>
      <w:r w:rsidR="00790421">
        <w:t xml:space="preserve">per year </w:t>
      </w:r>
      <w:r>
        <w:t>(95%</w:t>
      </w:r>
      <w:r w:rsidR="00790421">
        <w:t xml:space="preserve"> of water consumption</w:t>
      </w:r>
      <w:r>
        <w:t xml:space="preserve">). </w:t>
      </w:r>
    </w:p>
    <w:p w14:paraId="0B154049" w14:textId="351A220D" w:rsidR="005F38C7" w:rsidRDefault="00890B6F" w:rsidP="00C113EE">
      <w:pPr>
        <w:pStyle w:val="ListParagraph"/>
        <w:numPr>
          <w:ilvl w:val="0"/>
          <w:numId w:val="11"/>
        </w:numPr>
      </w:pPr>
      <w:r>
        <w:t>No change in</w:t>
      </w:r>
      <w:r w:rsidR="005F38C7">
        <w:t xml:space="preserve"> tariffs in 2023-28 and</w:t>
      </w:r>
      <w:r>
        <w:t xml:space="preserve"> an</w:t>
      </w:r>
      <w:r w:rsidR="005F38C7">
        <w:t xml:space="preserve"> increase of 0.</w:t>
      </w:r>
      <w:r w:rsidR="00A82AF4">
        <w:t xml:space="preserve">16 </w:t>
      </w:r>
      <w:r w:rsidR="005F38C7">
        <w:t>per cent</w:t>
      </w:r>
      <w:r w:rsidR="008938F5">
        <w:t xml:space="preserve"> per year</w:t>
      </w:r>
      <w:r w:rsidR="005F38C7">
        <w:t xml:space="preserve"> in 2028-2038.</w:t>
      </w:r>
    </w:p>
    <w:p w14:paraId="2C69BBD2" w14:textId="0EAA3BFE" w:rsidR="00504C53" w:rsidRDefault="00504C53" w:rsidP="00C113EE">
      <w:pPr>
        <w:pStyle w:val="ListParagraph"/>
        <w:numPr>
          <w:ilvl w:val="0"/>
          <w:numId w:val="11"/>
        </w:numPr>
      </w:pPr>
      <w:r>
        <w:t xml:space="preserve">Water connections factor in meter sizes based on historical lots in </w:t>
      </w:r>
      <w:r>
        <w:fldChar w:fldCharType="begin"/>
      </w:r>
      <w:r>
        <w:instrText xml:space="preserve"> REF _Ref114227380 \h </w:instrText>
      </w:r>
      <w:r>
        <w:fldChar w:fldCharType="separate"/>
      </w:r>
      <w:r>
        <w:t xml:space="preserve">Table </w:t>
      </w:r>
      <w:r>
        <w:rPr>
          <w:noProof/>
        </w:rPr>
        <w:t>3</w:t>
      </w:r>
      <w:r>
        <w:fldChar w:fldCharType="end"/>
      </w:r>
      <w:r>
        <w:t>.</w:t>
      </w:r>
    </w:p>
    <w:p w14:paraId="44AE2867" w14:textId="064A73FC" w:rsidR="00602B73" w:rsidRDefault="00790421" w:rsidP="00C113EE">
      <w:r>
        <w:t>Revenue from NCCs</w:t>
      </w:r>
      <w:r w:rsidR="00602B73">
        <w:t xml:space="preserve"> is the number of new connections multiplied by the NPV per lot NCC charge in the model. </w:t>
      </w:r>
    </w:p>
    <w:p w14:paraId="6850C9C3" w14:textId="77777777" w:rsidR="00602B73" w:rsidRDefault="00602B73" w:rsidP="00C113EE"/>
    <w:p w14:paraId="7E592F94" w14:textId="77777777" w:rsidR="00602B73" w:rsidRDefault="00602B73" w:rsidP="00A43B04">
      <w:pPr>
        <w:pStyle w:val="Heading3"/>
      </w:pPr>
      <w:r>
        <w:t>Tax</w:t>
      </w:r>
    </w:p>
    <w:p w14:paraId="3E8336A1" w14:textId="6E0A2B56" w:rsidR="00602B73" w:rsidRDefault="00602B73" w:rsidP="00C113EE">
      <w:r>
        <w:t xml:space="preserve">Tax is based on the corporate tax rate of 30%. </w:t>
      </w:r>
      <w:r w:rsidR="00FE1DBD" w:rsidRPr="00FE1DBD">
        <w:t>For periods when it is forecast that BW will be in a tax paying position, tax is calculated as the net taxable income multiplied by the tax rate.</w:t>
      </w:r>
    </w:p>
    <w:p w14:paraId="4AD38DB0" w14:textId="77777777" w:rsidR="00602B73" w:rsidRDefault="00602B73" w:rsidP="00C113EE"/>
    <w:p w14:paraId="30EF728E" w14:textId="77777777" w:rsidR="00602B73" w:rsidRDefault="00602B73" w:rsidP="00A43B04">
      <w:pPr>
        <w:pStyle w:val="Heading3"/>
      </w:pPr>
      <w:r>
        <w:t>Value of Franking Credits (as a Proportion of Face Value)</w:t>
      </w:r>
    </w:p>
    <w:p w14:paraId="6D0A6E5A" w14:textId="77777777" w:rsidR="00602B73" w:rsidRDefault="00602B73" w:rsidP="00C113EE">
      <w:r>
        <w:t xml:space="preserve">The value of franking credits remains the default 50%. </w:t>
      </w:r>
    </w:p>
    <w:p w14:paraId="44385873" w14:textId="77777777" w:rsidR="00602B73" w:rsidRDefault="00602B73" w:rsidP="00C113EE"/>
    <w:p w14:paraId="40A60107" w14:textId="77777777" w:rsidR="00602B73" w:rsidRPr="00A36708" w:rsidRDefault="00602B73" w:rsidP="00A43B04">
      <w:pPr>
        <w:pStyle w:val="Heading3"/>
      </w:pPr>
      <w:r>
        <w:t>Greenfield Infill Split</w:t>
      </w:r>
    </w:p>
    <w:p w14:paraId="6EF0559E" w14:textId="39D52BB4" w:rsidR="00F3308D" w:rsidRDefault="00F3308D" w:rsidP="00C113EE">
      <w:r>
        <w:t>Growth in new customer connections is divided between Greenfield and Infill development, where these are described as follows:</w:t>
      </w:r>
    </w:p>
    <w:p w14:paraId="3B824DCC" w14:textId="44B3669C" w:rsidR="00602B73" w:rsidRDefault="00FB2B83" w:rsidP="00C113EE">
      <w:pPr>
        <w:pStyle w:val="ListParagraph"/>
        <w:numPr>
          <w:ilvl w:val="0"/>
          <w:numId w:val="18"/>
        </w:numPr>
      </w:pPr>
      <w:r>
        <w:t>Greenfield</w:t>
      </w:r>
      <w:r w:rsidR="00F3308D">
        <w:t>: s</w:t>
      </w:r>
      <w:r w:rsidR="00602B73">
        <w:t>ubdivision of a large parcel of previously undeveloped land that may be developed in many stages</w:t>
      </w:r>
      <w:r w:rsidR="00F3308D">
        <w:t>,</w:t>
      </w:r>
      <w:r w:rsidR="00602B73">
        <w:t xml:space="preserve"> or a development remote from existing infrastructure. Greenfield developments require the construction of new assets</w:t>
      </w:r>
      <w:r>
        <w:t>,</w:t>
      </w:r>
      <w:r w:rsidR="00602B73">
        <w:t xml:space="preserve"> excluding small mains extensions.</w:t>
      </w:r>
    </w:p>
    <w:p w14:paraId="10EF664D" w14:textId="57562102" w:rsidR="00602B73" w:rsidRDefault="00602B73" w:rsidP="00C113EE">
      <w:pPr>
        <w:pStyle w:val="ListParagraph"/>
        <w:numPr>
          <w:ilvl w:val="0"/>
          <w:numId w:val="18"/>
        </w:numPr>
      </w:pPr>
      <w:r>
        <w:t>Infill</w:t>
      </w:r>
      <w:r w:rsidR="00F3308D">
        <w:t>:</w:t>
      </w:r>
      <w:r>
        <w:t xml:space="preserve"> </w:t>
      </w:r>
      <w:r w:rsidR="00F3308D">
        <w:t>i</w:t>
      </w:r>
      <w:r>
        <w:t xml:space="preserve">nvolves the development of a property surrounded by existing infrastructure. Infill developments are already serviced by all services required for further development, and can be further subdivided. </w:t>
      </w:r>
    </w:p>
    <w:p w14:paraId="5315A273" w14:textId="0B6BB77A" w:rsidR="006D64E6" w:rsidRPr="00602B73" w:rsidRDefault="006D64E6" w:rsidP="00C113EE">
      <w:r w:rsidRPr="00602B73">
        <w:t xml:space="preserve">The logic supporting the separate greenfield and infill NCCs </w:t>
      </w:r>
      <w:r w:rsidR="00F3308D">
        <w:t xml:space="preserve">proposed </w:t>
      </w:r>
      <w:r w:rsidRPr="00602B73">
        <w:t>is summarised below:</w:t>
      </w:r>
    </w:p>
    <w:p w14:paraId="0005FE28" w14:textId="18313096" w:rsidR="006D64E6" w:rsidRPr="00602B73" w:rsidRDefault="006D64E6" w:rsidP="00C113EE">
      <w:pPr>
        <w:pStyle w:val="ListParagraph"/>
        <w:numPr>
          <w:ilvl w:val="0"/>
          <w:numId w:val="4"/>
        </w:numPr>
      </w:pPr>
      <w:r w:rsidRPr="00602B73">
        <w:lastRenderedPageBreak/>
        <w:t xml:space="preserve">Analysis of the capital expenditure program indicated that only 25% of </w:t>
      </w:r>
      <w:r w:rsidR="001E2E21">
        <w:t>new customers</w:t>
      </w:r>
      <w:r w:rsidRPr="00602B73">
        <w:t xml:space="preserve"> </w:t>
      </w:r>
      <w:r w:rsidR="008938F5">
        <w:t>are</w:t>
      </w:r>
      <w:r w:rsidR="008938F5" w:rsidRPr="00602B73">
        <w:t xml:space="preserve"> </w:t>
      </w:r>
      <w:r w:rsidRPr="00602B73">
        <w:t>associated with infill developments</w:t>
      </w:r>
    </w:p>
    <w:p w14:paraId="00F3F8FC" w14:textId="24DAFE8E" w:rsidR="006D64E6" w:rsidRPr="00602B73" w:rsidRDefault="006D64E6" w:rsidP="00C113EE">
      <w:pPr>
        <w:pStyle w:val="ListParagraph"/>
        <w:numPr>
          <w:ilvl w:val="0"/>
          <w:numId w:val="4"/>
        </w:numPr>
      </w:pPr>
      <w:r w:rsidRPr="00602B73">
        <w:t>It is more cost effective for Barwon Water to service infill than greenfield developments, and so it is appropriate for different NCCs to apply to</w:t>
      </w:r>
      <w:r w:rsidR="00FB2B83">
        <w:t xml:space="preserve"> these two types of development</w:t>
      </w:r>
    </w:p>
    <w:p w14:paraId="2AA394B8" w14:textId="249BEC65" w:rsidR="006D64E6" w:rsidRPr="00602B73" w:rsidRDefault="006D64E6" w:rsidP="00C113EE">
      <w:pPr>
        <w:pStyle w:val="ListParagraph"/>
        <w:numPr>
          <w:ilvl w:val="0"/>
          <w:numId w:val="4"/>
        </w:numPr>
      </w:pPr>
      <w:r w:rsidRPr="00602B73">
        <w:t xml:space="preserve">The new NCCs provide more efficient signals to developers </w:t>
      </w:r>
      <w:r w:rsidR="00F3308D">
        <w:t>about</w:t>
      </w:r>
      <w:r w:rsidR="00F3308D" w:rsidRPr="00602B73">
        <w:t xml:space="preserve"> </w:t>
      </w:r>
      <w:r w:rsidRPr="00602B73">
        <w:t xml:space="preserve">the relative costs of installing water and sewerage infrastructure </w:t>
      </w:r>
      <w:r w:rsidR="00F3308D">
        <w:t>in</w:t>
      </w:r>
      <w:r w:rsidR="00F3308D" w:rsidRPr="00602B73">
        <w:t xml:space="preserve"> </w:t>
      </w:r>
      <w:r w:rsidRPr="00602B73">
        <w:t>greenfield and infill developments</w:t>
      </w:r>
    </w:p>
    <w:p w14:paraId="608D2EAD" w14:textId="20AD92EB" w:rsidR="006D64E6" w:rsidRPr="00602B73" w:rsidRDefault="006D64E6" w:rsidP="00C113EE">
      <w:pPr>
        <w:pStyle w:val="ListParagraph"/>
        <w:numPr>
          <w:ilvl w:val="0"/>
          <w:numId w:val="4"/>
        </w:numPr>
      </w:pPr>
      <w:r w:rsidRPr="00602B73">
        <w:t xml:space="preserve">The approach of having separate NCCs for greenfield and infill developments is consistent with the Melbourne metro water authorities’ current practices. </w:t>
      </w:r>
    </w:p>
    <w:p w14:paraId="4B344D9F" w14:textId="34E2A714" w:rsidR="00602B73" w:rsidRDefault="00602B73" w:rsidP="00C113EE">
      <w:r>
        <w:t xml:space="preserve">The </w:t>
      </w:r>
      <w:r w:rsidR="00F3308D">
        <w:t xml:space="preserve">forecast split of development across </w:t>
      </w:r>
      <w:r>
        <w:t>greenfield</w:t>
      </w:r>
      <w:r w:rsidR="00F3308D">
        <w:t xml:space="preserve"> and </w:t>
      </w:r>
      <w:r>
        <w:t xml:space="preserve">infill </w:t>
      </w:r>
      <w:r w:rsidR="00F3308D">
        <w:t>is based on</w:t>
      </w:r>
      <w:r>
        <w:t xml:space="preserve"> the</w:t>
      </w:r>
      <w:r w:rsidR="00FB2B83">
        <w:t xml:space="preserve"> average of the</w:t>
      </w:r>
      <w:r>
        <w:t xml:space="preserve"> last 1</w:t>
      </w:r>
      <w:r w:rsidR="00FB2B83">
        <w:t>1</w:t>
      </w:r>
      <w:r>
        <w:t xml:space="preserve"> years of actual data. The split </w:t>
      </w:r>
      <w:r w:rsidR="00F3308D">
        <w:t xml:space="preserve">adopted </w:t>
      </w:r>
      <w:r>
        <w:t xml:space="preserve">is 75% </w:t>
      </w:r>
      <w:r w:rsidR="00F3308D">
        <w:t xml:space="preserve">Greenfield and </w:t>
      </w:r>
      <w:r>
        <w:t xml:space="preserve">25% </w:t>
      </w:r>
      <w:r w:rsidR="00F3308D">
        <w:t xml:space="preserve">Infill, </w:t>
      </w:r>
      <w:r>
        <w:t xml:space="preserve">based on </w:t>
      </w:r>
      <w:r w:rsidR="00824B16">
        <w:t xml:space="preserve">an annual average of </w:t>
      </w:r>
      <w:r w:rsidR="00F3308D">
        <w:t>2,652 Greenfield</w:t>
      </w:r>
      <w:r w:rsidR="00824B16">
        <w:t xml:space="preserve"> connections</w:t>
      </w:r>
      <w:r w:rsidR="00F3308D">
        <w:t xml:space="preserve"> and 907 Infill connections respectively</w:t>
      </w:r>
      <w:r w:rsidR="00824B16">
        <w:t xml:space="preserve"> (</w:t>
      </w:r>
      <w:r w:rsidR="00824B16">
        <w:fldChar w:fldCharType="begin"/>
      </w:r>
      <w:r w:rsidR="00824B16">
        <w:instrText xml:space="preserve"> REF _Ref112149368 \h </w:instrText>
      </w:r>
      <w:r w:rsidR="00824B16">
        <w:fldChar w:fldCharType="separate"/>
      </w:r>
      <w:r w:rsidR="00824B16">
        <w:t xml:space="preserve">Table </w:t>
      </w:r>
      <w:r w:rsidR="00824B16">
        <w:rPr>
          <w:noProof/>
        </w:rPr>
        <w:t>4</w:t>
      </w:r>
      <w:r w:rsidR="00824B16">
        <w:fldChar w:fldCharType="end"/>
      </w:r>
      <w:r w:rsidR="00824B16">
        <w:t>)</w:t>
      </w:r>
      <w:r>
        <w:t xml:space="preserve">. </w:t>
      </w:r>
    </w:p>
    <w:p w14:paraId="60F2497B" w14:textId="469925F6" w:rsidR="00FB2B83" w:rsidRPr="00951711" w:rsidRDefault="00FB2B83" w:rsidP="00951711">
      <w:pPr>
        <w:pStyle w:val="Caption"/>
        <w:keepNext/>
        <w:spacing w:before="120" w:after="120"/>
        <w:rPr>
          <w:color w:val="414042"/>
        </w:rPr>
      </w:pPr>
      <w:bookmarkStart w:id="53" w:name="_Ref112149368"/>
      <w:r w:rsidRPr="00951711">
        <w:rPr>
          <w:color w:val="414042"/>
        </w:rPr>
        <w:t xml:space="preserve">Table </w:t>
      </w:r>
      <w:r w:rsidR="001E509C" w:rsidRPr="00951711">
        <w:rPr>
          <w:color w:val="414042"/>
        </w:rPr>
        <w:fldChar w:fldCharType="begin"/>
      </w:r>
      <w:r w:rsidR="001E509C" w:rsidRPr="00951711">
        <w:rPr>
          <w:color w:val="414042"/>
        </w:rPr>
        <w:instrText xml:space="preserve"> SEQ Table \* ARABIC </w:instrText>
      </w:r>
      <w:r w:rsidR="001E509C" w:rsidRPr="00951711">
        <w:rPr>
          <w:color w:val="414042"/>
        </w:rPr>
        <w:fldChar w:fldCharType="separate"/>
      </w:r>
      <w:r w:rsidR="00504C53" w:rsidRPr="00951711">
        <w:rPr>
          <w:color w:val="414042"/>
        </w:rPr>
        <w:t>5</w:t>
      </w:r>
      <w:r w:rsidR="001E509C" w:rsidRPr="00951711">
        <w:rPr>
          <w:color w:val="414042"/>
        </w:rPr>
        <w:fldChar w:fldCharType="end"/>
      </w:r>
      <w:bookmarkEnd w:id="53"/>
      <w:r w:rsidRPr="00951711">
        <w:rPr>
          <w:color w:val="414042"/>
        </w:rPr>
        <w:t xml:space="preserve"> </w:t>
      </w:r>
      <w:r w:rsidR="00824B16" w:rsidRPr="00951711">
        <w:rPr>
          <w:color w:val="414042"/>
        </w:rPr>
        <w:t>Historical</w:t>
      </w:r>
      <w:r w:rsidRPr="00951711">
        <w:rPr>
          <w:color w:val="414042"/>
        </w:rPr>
        <w:t xml:space="preserve"> </w:t>
      </w:r>
      <w:r w:rsidR="00824B16" w:rsidRPr="00951711">
        <w:rPr>
          <w:color w:val="414042"/>
        </w:rPr>
        <w:t>distribution of actual annual greenfield (first row) and infill connections second row)</w:t>
      </w:r>
    </w:p>
    <w:tbl>
      <w:tblPr>
        <w:tblStyle w:val="TableGrid"/>
        <w:tblW w:w="8998"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756"/>
        <w:gridCol w:w="755"/>
        <w:gridCol w:w="755"/>
        <w:gridCol w:w="755"/>
        <w:gridCol w:w="755"/>
        <w:gridCol w:w="672"/>
        <w:gridCol w:w="755"/>
        <w:gridCol w:w="755"/>
        <w:gridCol w:w="755"/>
        <w:gridCol w:w="755"/>
        <w:gridCol w:w="755"/>
        <w:gridCol w:w="793"/>
      </w:tblGrid>
      <w:tr w:rsidR="00951711" w:rsidRPr="00810F8A" w14:paraId="60F07F98" w14:textId="73A97F95" w:rsidTr="00951711">
        <w:trPr>
          <w:trHeight w:val="300"/>
        </w:trPr>
        <w:tc>
          <w:tcPr>
            <w:tcW w:w="724" w:type="dxa"/>
            <w:shd w:val="clear" w:color="auto" w:fill="008998"/>
            <w:noWrap/>
            <w:hideMark/>
          </w:tcPr>
          <w:p w14:paraId="3092A8B3" w14:textId="77777777" w:rsidR="008938F5" w:rsidRPr="00951711" w:rsidRDefault="008938F5" w:rsidP="00C113EE">
            <w:pPr>
              <w:rPr>
                <w:color w:val="EEECE1" w:themeColor="background2"/>
                <w:sz w:val="18"/>
                <w:szCs w:val="18"/>
              </w:rPr>
            </w:pPr>
            <w:r w:rsidRPr="00951711">
              <w:rPr>
                <w:color w:val="EEECE1" w:themeColor="background2"/>
                <w:sz w:val="18"/>
                <w:szCs w:val="18"/>
              </w:rPr>
              <w:t>2011/12</w:t>
            </w:r>
          </w:p>
        </w:tc>
        <w:tc>
          <w:tcPr>
            <w:tcW w:w="725" w:type="dxa"/>
            <w:shd w:val="clear" w:color="auto" w:fill="008998"/>
            <w:noWrap/>
            <w:hideMark/>
          </w:tcPr>
          <w:p w14:paraId="055EB000" w14:textId="77777777" w:rsidR="008938F5" w:rsidRPr="00951711" w:rsidRDefault="008938F5" w:rsidP="00C113EE">
            <w:pPr>
              <w:rPr>
                <w:color w:val="EEECE1" w:themeColor="background2"/>
                <w:sz w:val="18"/>
                <w:szCs w:val="18"/>
              </w:rPr>
            </w:pPr>
            <w:r w:rsidRPr="00951711">
              <w:rPr>
                <w:color w:val="EEECE1" w:themeColor="background2"/>
                <w:sz w:val="18"/>
                <w:szCs w:val="18"/>
              </w:rPr>
              <w:t>2012/13</w:t>
            </w:r>
          </w:p>
        </w:tc>
        <w:tc>
          <w:tcPr>
            <w:tcW w:w="724" w:type="dxa"/>
            <w:shd w:val="clear" w:color="auto" w:fill="008998"/>
            <w:noWrap/>
            <w:hideMark/>
          </w:tcPr>
          <w:p w14:paraId="1C92A2BB" w14:textId="77777777" w:rsidR="008938F5" w:rsidRPr="00951711" w:rsidRDefault="008938F5" w:rsidP="00C113EE">
            <w:pPr>
              <w:rPr>
                <w:color w:val="EEECE1" w:themeColor="background2"/>
                <w:sz w:val="18"/>
                <w:szCs w:val="18"/>
              </w:rPr>
            </w:pPr>
            <w:r w:rsidRPr="00951711">
              <w:rPr>
                <w:color w:val="EEECE1" w:themeColor="background2"/>
                <w:sz w:val="18"/>
                <w:szCs w:val="18"/>
              </w:rPr>
              <w:t>2013/14</w:t>
            </w:r>
          </w:p>
        </w:tc>
        <w:tc>
          <w:tcPr>
            <w:tcW w:w="724" w:type="dxa"/>
            <w:shd w:val="clear" w:color="auto" w:fill="008998"/>
            <w:noWrap/>
            <w:hideMark/>
          </w:tcPr>
          <w:p w14:paraId="40799249" w14:textId="77777777" w:rsidR="008938F5" w:rsidRPr="00951711" w:rsidRDefault="008938F5" w:rsidP="00C113EE">
            <w:pPr>
              <w:rPr>
                <w:color w:val="EEECE1" w:themeColor="background2"/>
                <w:sz w:val="18"/>
                <w:szCs w:val="18"/>
              </w:rPr>
            </w:pPr>
            <w:r w:rsidRPr="00951711">
              <w:rPr>
                <w:color w:val="EEECE1" w:themeColor="background2"/>
                <w:sz w:val="18"/>
                <w:szCs w:val="18"/>
              </w:rPr>
              <w:t>2014/15</w:t>
            </w:r>
          </w:p>
        </w:tc>
        <w:tc>
          <w:tcPr>
            <w:tcW w:w="724" w:type="dxa"/>
            <w:shd w:val="clear" w:color="auto" w:fill="008998"/>
            <w:noWrap/>
            <w:hideMark/>
          </w:tcPr>
          <w:p w14:paraId="12EDD6C2" w14:textId="77777777" w:rsidR="008938F5" w:rsidRPr="00951711" w:rsidRDefault="008938F5" w:rsidP="00C113EE">
            <w:pPr>
              <w:rPr>
                <w:color w:val="EEECE1" w:themeColor="background2"/>
                <w:sz w:val="18"/>
                <w:szCs w:val="18"/>
              </w:rPr>
            </w:pPr>
            <w:r w:rsidRPr="00951711">
              <w:rPr>
                <w:color w:val="EEECE1" w:themeColor="background2"/>
                <w:sz w:val="18"/>
                <w:szCs w:val="18"/>
              </w:rPr>
              <w:t>2015/16</w:t>
            </w:r>
          </w:p>
        </w:tc>
        <w:tc>
          <w:tcPr>
            <w:tcW w:w="769" w:type="dxa"/>
            <w:shd w:val="clear" w:color="auto" w:fill="008998"/>
            <w:noWrap/>
            <w:hideMark/>
          </w:tcPr>
          <w:p w14:paraId="49549AF4" w14:textId="77777777" w:rsidR="008938F5" w:rsidRPr="00951711" w:rsidRDefault="008938F5" w:rsidP="00C113EE">
            <w:pPr>
              <w:rPr>
                <w:color w:val="EEECE1" w:themeColor="background2"/>
                <w:sz w:val="18"/>
                <w:szCs w:val="18"/>
              </w:rPr>
            </w:pPr>
            <w:r w:rsidRPr="00951711">
              <w:rPr>
                <w:color w:val="EEECE1" w:themeColor="background2"/>
                <w:sz w:val="18"/>
                <w:szCs w:val="18"/>
              </w:rPr>
              <w:t>2016-17</w:t>
            </w:r>
          </w:p>
        </w:tc>
        <w:tc>
          <w:tcPr>
            <w:tcW w:w="864" w:type="dxa"/>
            <w:shd w:val="clear" w:color="auto" w:fill="008998"/>
            <w:noWrap/>
            <w:hideMark/>
          </w:tcPr>
          <w:p w14:paraId="4DC9719C" w14:textId="77777777" w:rsidR="008938F5" w:rsidRPr="00951711" w:rsidRDefault="008938F5" w:rsidP="00C113EE">
            <w:pPr>
              <w:rPr>
                <w:color w:val="EEECE1" w:themeColor="background2"/>
                <w:sz w:val="18"/>
                <w:szCs w:val="18"/>
              </w:rPr>
            </w:pPr>
            <w:r w:rsidRPr="00951711">
              <w:rPr>
                <w:color w:val="EEECE1" w:themeColor="background2"/>
                <w:sz w:val="18"/>
                <w:szCs w:val="18"/>
              </w:rPr>
              <w:t>2017/18</w:t>
            </w:r>
          </w:p>
        </w:tc>
        <w:tc>
          <w:tcPr>
            <w:tcW w:w="724" w:type="dxa"/>
            <w:shd w:val="clear" w:color="auto" w:fill="008998"/>
            <w:noWrap/>
            <w:hideMark/>
          </w:tcPr>
          <w:p w14:paraId="441847E3" w14:textId="77777777" w:rsidR="008938F5" w:rsidRPr="00951711" w:rsidRDefault="008938F5" w:rsidP="00C113EE">
            <w:pPr>
              <w:rPr>
                <w:color w:val="EEECE1" w:themeColor="background2"/>
                <w:sz w:val="18"/>
                <w:szCs w:val="18"/>
              </w:rPr>
            </w:pPr>
            <w:r w:rsidRPr="00951711">
              <w:rPr>
                <w:color w:val="EEECE1" w:themeColor="background2"/>
                <w:sz w:val="18"/>
                <w:szCs w:val="18"/>
              </w:rPr>
              <w:t>2018/19</w:t>
            </w:r>
          </w:p>
        </w:tc>
        <w:tc>
          <w:tcPr>
            <w:tcW w:w="724" w:type="dxa"/>
            <w:shd w:val="clear" w:color="auto" w:fill="008998"/>
            <w:noWrap/>
            <w:hideMark/>
          </w:tcPr>
          <w:p w14:paraId="728A9D9D" w14:textId="77777777" w:rsidR="008938F5" w:rsidRPr="00951711" w:rsidRDefault="008938F5" w:rsidP="00C113EE">
            <w:pPr>
              <w:rPr>
                <w:color w:val="EEECE1" w:themeColor="background2"/>
                <w:sz w:val="18"/>
                <w:szCs w:val="18"/>
              </w:rPr>
            </w:pPr>
            <w:r w:rsidRPr="00951711">
              <w:rPr>
                <w:color w:val="EEECE1" w:themeColor="background2"/>
                <w:sz w:val="18"/>
                <w:szCs w:val="18"/>
              </w:rPr>
              <w:t>2019/20</w:t>
            </w:r>
          </w:p>
        </w:tc>
        <w:tc>
          <w:tcPr>
            <w:tcW w:w="724" w:type="dxa"/>
            <w:shd w:val="clear" w:color="auto" w:fill="008998"/>
            <w:noWrap/>
            <w:hideMark/>
          </w:tcPr>
          <w:p w14:paraId="4ACD7B2F" w14:textId="77777777" w:rsidR="008938F5" w:rsidRPr="00951711" w:rsidRDefault="008938F5" w:rsidP="00C113EE">
            <w:pPr>
              <w:rPr>
                <w:color w:val="EEECE1" w:themeColor="background2"/>
                <w:sz w:val="18"/>
                <w:szCs w:val="18"/>
              </w:rPr>
            </w:pPr>
            <w:r w:rsidRPr="00951711">
              <w:rPr>
                <w:color w:val="EEECE1" w:themeColor="background2"/>
                <w:sz w:val="18"/>
                <w:szCs w:val="18"/>
              </w:rPr>
              <w:t>2020/21</w:t>
            </w:r>
          </w:p>
        </w:tc>
        <w:tc>
          <w:tcPr>
            <w:tcW w:w="724" w:type="dxa"/>
            <w:shd w:val="clear" w:color="auto" w:fill="008998"/>
            <w:noWrap/>
            <w:hideMark/>
          </w:tcPr>
          <w:p w14:paraId="47FB8A52" w14:textId="77777777" w:rsidR="008938F5" w:rsidRPr="00951711" w:rsidRDefault="008938F5" w:rsidP="00C113EE">
            <w:pPr>
              <w:rPr>
                <w:color w:val="EEECE1" w:themeColor="background2"/>
                <w:sz w:val="18"/>
                <w:szCs w:val="18"/>
              </w:rPr>
            </w:pPr>
            <w:r w:rsidRPr="00951711">
              <w:rPr>
                <w:color w:val="EEECE1" w:themeColor="background2"/>
                <w:sz w:val="18"/>
                <w:szCs w:val="18"/>
              </w:rPr>
              <w:t>2021/22</w:t>
            </w:r>
          </w:p>
        </w:tc>
        <w:tc>
          <w:tcPr>
            <w:tcW w:w="848" w:type="dxa"/>
            <w:shd w:val="clear" w:color="auto" w:fill="008998"/>
            <w:noWrap/>
            <w:hideMark/>
          </w:tcPr>
          <w:p w14:paraId="17F65A3C" w14:textId="77777777" w:rsidR="008938F5" w:rsidRPr="00951711" w:rsidRDefault="008938F5" w:rsidP="00C113EE">
            <w:pPr>
              <w:rPr>
                <w:b/>
                <w:color w:val="EEECE1" w:themeColor="background2"/>
                <w:sz w:val="18"/>
                <w:szCs w:val="18"/>
              </w:rPr>
            </w:pPr>
            <w:r w:rsidRPr="00951711">
              <w:rPr>
                <w:b/>
                <w:color w:val="EEECE1" w:themeColor="background2"/>
                <w:sz w:val="18"/>
                <w:szCs w:val="18"/>
              </w:rPr>
              <w:t xml:space="preserve">Average </w:t>
            </w:r>
          </w:p>
        </w:tc>
      </w:tr>
      <w:tr w:rsidR="008938F5" w:rsidRPr="00810F8A" w14:paraId="38281B60" w14:textId="697E06C7" w:rsidTr="00951711">
        <w:trPr>
          <w:trHeight w:val="300"/>
        </w:trPr>
        <w:tc>
          <w:tcPr>
            <w:tcW w:w="724" w:type="dxa"/>
            <w:noWrap/>
            <w:hideMark/>
          </w:tcPr>
          <w:p w14:paraId="055BD538" w14:textId="77777777" w:rsidR="008938F5" w:rsidRPr="00951711" w:rsidRDefault="008938F5" w:rsidP="00C113EE">
            <w:pPr>
              <w:rPr>
                <w:sz w:val="18"/>
                <w:szCs w:val="18"/>
              </w:rPr>
            </w:pPr>
            <w:r w:rsidRPr="00951711">
              <w:rPr>
                <w:sz w:val="18"/>
                <w:szCs w:val="18"/>
              </w:rPr>
              <w:t xml:space="preserve">        2,064 </w:t>
            </w:r>
          </w:p>
        </w:tc>
        <w:tc>
          <w:tcPr>
            <w:tcW w:w="725" w:type="dxa"/>
            <w:noWrap/>
            <w:hideMark/>
          </w:tcPr>
          <w:p w14:paraId="2F0F8782" w14:textId="77777777" w:rsidR="008938F5" w:rsidRPr="00951711" w:rsidRDefault="008938F5" w:rsidP="00C113EE">
            <w:pPr>
              <w:rPr>
                <w:sz w:val="18"/>
                <w:szCs w:val="18"/>
              </w:rPr>
            </w:pPr>
            <w:r w:rsidRPr="00951711">
              <w:rPr>
                <w:sz w:val="18"/>
                <w:szCs w:val="18"/>
              </w:rPr>
              <w:t xml:space="preserve">        2,072 </w:t>
            </w:r>
          </w:p>
        </w:tc>
        <w:tc>
          <w:tcPr>
            <w:tcW w:w="724" w:type="dxa"/>
            <w:noWrap/>
            <w:hideMark/>
          </w:tcPr>
          <w:p w14:paraId="01CE489E" w14:textId="77777777" w:rsidR="008938F5" w:rsidRPr="00951711" w:rsidRDefault="008938F5" w:rsidP="00C113EE">
            <w:pPr>
              <w:rPr>
                <w:sz w:val="18"/>
                <w:szCs w:val="18"/>
              </w:rPr>
            </w:pPr>
            <w:r w:rsidRPr="00951711">
              <w:rPr>
                <w:sz w:val="18"/>
                <w:szCs w:val="18"/>
              </w:rPr>
              <w:t xml:space="preserve">        1,989 </w:t>
            </w:r>
          </w:p>
        </w:tc>
        <w:tc>
          <w:tcPr>
            <w:tcW w:w="724" w:type="dxa"/>
            <w:noWrap/>
            <w:hideMark/>
          </w:tcPr>
          <w:p w14:paraId="61C48653" w14:textId="77777777" w:rsidR="008938F5" w:rsidRPr="00951711" w:rsidRDefault="008938F5" w:rsidP="00C113EE">
            <w:pPr>
              <w:rPr>
                <w:sz w:val="18"/>
                <w:szCs w:val="18"/>
              </w:rPr>
            </w:pPr>
            <w:r w:rsidRPr="00951711">
              <w:rPr>
                <w:sz w:val="18"/>
                <w:szCs w:val="18"/>
              </w:rPr>
              <w:t xml:space="preserve">        1,499 </w:t>
            </w:r>
          </w:p>
        </w:tc>
        <w:tc>
          <w:tcPr>
            <w:tcW w:w="724" w:type="dxa"/>
            <w:noWrap/>
            <w:hideMark/>
          </w:tcPr>
          <w:p w14:paraId="4B620F72" w14:textId="77777777" w:rsidR="008938F5" w:rsidRPr="00951711" w:rsidRDefault="008938F5" w:rsidP="00C113EE">
            <w:pPr>
              <w:rPr>
                <w:sz w:val="18"/>
                <w:szCs w:val="18"/>
              </w:rPr>
            </w:pPr>
            <w:r w:rsidRPr="00951711">
              <w:rPr>
                <w:sz w:val="18"/>
                <w:szCs w:val="18"/>
              </w:rPr>
              <w:t xml:space="preserve">        2,298 </w:t>
            </w:r>
          </w:p>
        </w:tc>
        <w:tc>
          <w:tcPr>
            <w:tcW w:w="769" w:type="dxa"/>
            <w:noWrap/>
            <w:hideMark/>
          </w:tcPr>
          <w:p w14:paraId="0BF76B79" w14:textId="77777777" w:rsidR="008938F5" w:rsidRPr="00951711" w:rsidRDefault="008938F5" w:rsidP="00C113EE">
            <w:pPr>
              <w:rPr>
                <w:sz w:val="18"/>
                <w:szCs w:val="18"/>
              </w:rPr>
            </w:pPr>
            <w:r w:rsidRPr="00951711">
              <w:rPr>
                <w:sz w:val="18"/>
                <w:szCs w:val="18"/>
              </w:rPr>
              <w:t xml:space="preserve">        1,872 </w:t>
            </w:r>
          </w:p>
        </w:tc>
        <w:tc>
          <w:tcPr>
            <w:tcW w:w="864" w:type="dxa"/>
            <w:noWrap/>
            <w:hideMark/>
          </w:tcPr>
          <w:p w14:paraId="2DE2B961" w14:textId="77777777" w:rsidR="008938F5" w:rsidRPr="00951711" w:rsidRDefault="008938F5" w:rsidP="00C113EE">
            <w:pPr>
              <w:rPr>
                <w:sz w:val="18"/>
                <w:szCs w:val="18"/>
              </w:rPr>
            </w:pPr>
            <w:r w:rsidRPr="00951711">
              <w:rPr>
                <w:sz w:val="18"/>
                <w:szCs w:val="18"/>
              </w:rPr>
              <w:t xml:space="preserve">        3,289 </w:t>
            </w:r>
          </w:p>
        </w:tc>
        <w:tc>
          <w:tcPr>
            <w:tcW w:w="724" w:type="dxa"/>
            <w:noWrap/>
            <w:hideMark/>
          </w:tcPr>
          <w:p w14:paraId="6DEE8F75" w14:textId="77777777" w:rsidR="008938F5" w:rsidRPr="00951711" w:rsidRDefault="008938F5" w:rsidP="00C113EE">
            <w:pPr>
              <w:rPr>
                <w:sz w:val="18"/>
                <w:szCs w:val="18"/>
              </w:rPr>
            </w:pPr>
            <w:r w:rsidRPr="00951711">
              <w:rPr>
                <w:sz w:val="18"/>
                <w:szCs w:val="18"/>
              </w:rPr>
              <w:t xml:space="preserve">        3,919 </w:t>
            </w:r>
          </w:p>
        </w:tc>
        <w:tc>
          <w:tcPr>
            <w:tcW w:w="724" w:type="dxa"/>
            <w:noWrap/>
            <w:hideMark/>
          </w:tcPr>
          <w:p w14:paraId="740277CF" w14:textId="77777777" w:rsidR="008938F5" w:rsidRPr="00951711" w:rsidRDefault="008938F5" w:rsidP="00C113EE">
            <w:pPr>
              <w:rPr>
                <w:sz w:val="18"/>
                <w:szCs w:val="18"/>
              </w:rPr>
            </w:pPr>
            <w:r w:rsidRPr="00951711">
              <w:rPr>
                <w:sz w:val="18"/>
                <w:szCs w:val="18"/>
              </w:rPr>
              <w:t xml:space="preserve">        3,407 </w:t>
            </w:r>
          </w:p>
        </w:tc>
        <w:tc>
          <w:tcPr>
            <w:tcW w:w="724" w:type="dxa"/>
            <w:noWrap/>
            <w:hideMark/>
          </w:tcPr>
          <w:p w14:paraId="1DBB273A" w14:textId="77777777" w:rsidR="008938F5" w:rsidRPr="00951711" w:rsidRDefault="008938F5" w:rsidP="00C113EE">
            <w:pPr>
              <w:rPr>
                <w:sz w:val="18"/>
                <w:szCs w:val="18"/>
              </w:rPr>
            </w:pPr>
            <w:r w:rsidRPr="00951711">
              <w:rPr>
                <w:sz w:val="18"/>
                <w:szCs w:val="18"/>
              </w:rPr>
              <w:t xml:space="preserve">        3,265 </w:t>
            </w:r>
          </w:p>
        </w:tc>
        <w:tc>
          <w:tcPr>
            <w:tcW w:w="724" w:type="dxa"/>
            <w:noWrap/>
            <w:hideMark/>
          </w:tcPr>
          <w:p w14:paraId="2FDCAC9F" w14:textId="77777777" w:rsidR="008938F5" w:rsidRPr="00951711" w:rsidRDefault="008938F5" w:rsidP="00C113EE">
            <w:pPr>
              <w:rPr>
                <w:sz w:val="18"/>
                <w:szCs w:val="18"/>
              </w:rPr>
            </w:pPr>
            <w:r w:rsidRPr="00951711">
              <w:rPr>
                <w:sz w:val="18"/>
                <w:szCs w:val="18"/>
              </w:rPr>
              <w:t xml:space="preserve">        3,500 </w:t>
            </w:r>
          </w:p>
        </w:tc>
        <w:tc>
          <w:tcPr>
            <w:tcW w:w="848" w:type="dxa"/>
            <w:noWrap/>
            <w:hideMark/>
          </w:tcPr>
          <w:p w14:paraId="3FD70D5A" w14:textId="77777777" w:rsidR="008938F5" w:rsidRPr="00951711" w:rsidRDefault="008938F5" w:rsidP="00C113EE">
            <w:pPr>
              <w:rPr>
                <w:b/>
                <w:sz w:val="18"/>
                <w:szCs w:val="18"/>
              </w:rPr>
            </w:pPr>
            <w:r w:rsidRPr="00951711">
              <w:rPr>
                <w:b/>
                <w:sz w:val="18"/>
                <w:szCs w:val="18"/>
              </w:rPr>
              <w:t xml:space="preserve">                            2,652 </w:t>
            </w:r>
          </w:p>
        </w:tc>
      </w:tr>
      <w:tr w:rsidR="008938F5" w:rsidRPr="00810F8A" w14:paraId="4912835B" w14:textId="2C1E469D" w:rsidTr="00951711">
        <w:trPr>
          <w:trHeight w:val="300"/>
        </w:trPr>
        <w:tc>
          <w:tcPr>
            <w:tcW w:w="724" w:type="dxa"/>
            <w:noWrap/>
            <w:hideMark/>
          </w:tcPr>
          <w:p w14:paraId="75AEF801" w14:textId="77777777" w:rsidR="008938F5" w:rsidRPr="00951711" w:rsidRDefault="008938F5" w:rsidP="00C113EE">
            <w:pPr>
              <w:rPr>
                <w:sz w:val="18"/>
                <w:szCs w:val="18"/>
              </w:rPr>
            </w:pPr>
            <w:r w:rsidRPr="00951711">
              <w:rPr>
                <w:sz w:val="18"/>
                <w:szCs w:val="18"/>
              </w:rPr>
              <w:t xml:space="preserve">           745 </w:t>
            </w:r>
          </w:p>
        </w:tc>
        <w:tc>
          <w:tcPr>
            <w:tcW w:w="725" w:type="dxa"/>
            <w:noWrap/>
            <w:hideMark/>
          </w:tcPr>
          <w:p w14:paraId="546D3F2A" w14:textId="77777777" w:rsidR="008938F5" w:rsidRPr="00951711" w:rsidRDefault="008938F5" w:rsidP="00C113EE">
            <w:pPr>
              <w:rPr>
                <w:sz w:val="18"/>
                <w:szCs w:val="18"/>
              </w:rPr>
            </w:pPr>
            <w:r w:rsidRPr="00951711">
              <w:rPr>
                <w:sz w:val="18"/>
                <w:szCs w:val="18"/>
              </w:rPr>
              <w:t xml:space="preserve">           793 </w:t>
            </w:r>
          </w:p>
        </w:tc>
        <w:tc>
          <w:tcPr>
            <w:tcW w:w="724" w:type="dxa"/>
            <w:noWrap/>
            <w:hideMark/>
          </w:tcPr>
          <w:p w14:paraId="7E1D1162" w14:textId="77777777" w:rsidR="008938F5" w:rsidRPr="00951711" w:rsidRDefault="008938F5" w:rsidP="00C113EE">
            <w:pPr>
              <w:rPr>
                <w:sz w:val="18"/>
                <w:szCs w:val="18"/>
              </w:rPr>
            </w:pPr>
            <w:r w:rsidRPr="00951711">
              <w:rPr>
                <w:sz w:val="18"/>
                <w:szCs w:val="18"/>
              </w:rPr>
              <w:t xml:space="preserve">           833 </w:t>
            </w:r>
          </w:p>
        </w:tc>
        <w:tc>
          <w:tcPr>
            <w:tcW w:w="724" w:type="dxa"/>
            <w:noWrap/>
            <w:hideMark/>
          </w:tcPr>
          <w:p w14:paraId="3C30E8B8" w14:textId="77777777" w:rsidR="008938F5" w:rsidRPr="00951711" w:rsidRDefault="008938F5" w:rsidP="00C113EE">
            <w:pPr>
              <w:rPr>
                <w:sz w:val="18"/>
                <w:szCs w:val="18"/>
              </w:rPr>
            </w:pPr>
            <w:r w:rsidRPr="00951711">
              <w:rPr>
                <w:sz w:val="18"/>
                <w:szCs w:val="18"/>
              </w:rPr>
              <w:t xml:space="preserve">           791 </w:t>
            </w:r>
          </w:p>
        </w:tc>
        <w:tc>
          <w:tcPr>
            <w:tcW w:w="724" w:type="dxa"/>
            <w:noWrap/>
            <w:hideMark/>
          </w:tcPr>
          <w:p w14:paraId="3B5CA818" w14:textId="77777777" w:rsidR="008938F5" w:rsidRPr="00951711" w:rsidRDefault="008938F5" w:rsidP="00C113EE">
            <w:pPr>
              <w:rPr>
                <w:sz w:val="18"/>
                <w:szCs w:val="18"/>
              </w:rPr>
            </w:pPr>
            <w:r w:rsidRPr="00951711">
              <w:rPr>
                <w:sz w:val="18"/>
                <w:szCs w:val="18"/>
              </w:rPr>
              <w:t xml:space="preserve">           761 </w:t>
            </w:r>
          </w:p>
        </w:tc>
        <w:tc>
          <w:tcPr>
            <w:tcW w:w="769" w:type="dxa"/>
            <w:noWrap/>
            <w:hideMark/>
          </w:tcPr>
          <w:p w14:paraId="6CA984F8" w14:textId="77777777" w:rsidR="008938F5" w:rsidRPr="00951711" w:rsidRDefault="008938F5" w:rsidP="00C113EE">
            <w:pPr>
              <w:rPr>
                <w:sz w:val="18"/>
                <w:szCs w:val="18"/>
              </w:rPr>
            </w:pPr>
            <w:r w:rsidRPr="00951711">
              <w:rPr>
                <w:sz w:val="18"/>
                <w:szCs w:val="18"/>
              </w:rPr>
              <w:t xml:space="preserve">           763 </w:t>
            </w:r>
          </w:p>
        </w:tc>
        <w:tc>
          <w:tcPr>
            <w:tcW w:w="864" w:type="dxa"/>
            <w:noWrap/>
            <w:hideMark/>
          </w:tcPr>
          <w:p w14:paraId="3E5F1FA5" w14:textId="77777777" w:rsidR="008938F5" w:rsidRPr="00951711" w:rsidRDefault="008938F5" w:rsidP="00C113EE">
            <w:pPr>
              <w:rPr>
                <w:sz w:val="18"/>
                <w:szCs w:val="18"/>
              </w:rPr>
            </w:pPr>
            <w:r w:rsidRPr="00951711">
              <w:rPr>
                <w:sz w:val="18"/>
                <w:szCs w:val="18"/>
              </w:rPr>
              <w:t xml:space="preserve">           806 </w:t>
            </w:r>
          </w:p>
        </w:tc>
        <w:tc>
          <w:tcPr>
            <w:tcW w:w="724" w:type="dxa"/>
            <w:noWrap/>
            <w:hideMark/>
          </w:tcPr>
          <w:p w14:paraId="624DD907" w14:textId="77777777" w:rsidR="008938F5" w:rsidRPr="00951711" w:rsidRDefault="008938F5" w:rsidP="00C113EE">
            <w:pPr>
              <w:rPr>
                <w:sz w:val="18"/>
                <w:szCs w:val="18"/>
              </w:rPr>
            </w:pPr>
            <w:r w:rsidRPr="00951711">
              <w:rPr>
                <w:sz w:val="18"/>
                <w:szCs w:val="18"/>
              </w:rPr>
              <w:t xml:space="preserve">           882 </w:t>
            </w:r>
          </w:p>
        </w:tc>
        <w:tc>
          <w:tcPr>
            <w:tcW w:w="724" w:type="dxa"/>
            <w:noWrap/>
            <w:hideMark/>
          </w:tcPr>
          <w:p w14:paraId="5F8BC472" w14:textId="77777777" w:rsidR="008938F5" w:rsidRPr="00951711" w:rsidRDefault="008938F5" w:rsidP="00C113EE">
            <w:pPr>
              <w:rPr>
                <w:sz w:val="18"/>
                <w:szCs w:val="18"/>
              </w:rPr>
            </w:pPr>
            <w:r w:rsidRPr="00951711">
              <w:rPr>
                <w:sz w:val="18"/>
                <w:szCs w:val="18"/>
              </w:rPr>
              <w:t xml:space="preserve">        1,094 </w:t>
            </w:r>
          </w:p>
        </w:tc>
        <w:tc>
          <w:tcPr>
            <w:tcW w:w="724" w:type="dxa"/>
            <w:noWrap/>
            <w:hideMark/>
          </w:tcPr>
          <w:p w14:paraId="0FFC40A1" w14:textId="77777777" w:rsidR="008938F5" w:rsidRPr="00951711" w:rsidRDefault="008938F5" w:rsidP="00C113EE">
            <w:pPr>
              <w:rPr>
                <w:sz w:val="18"/>
                <w:szCs w:val="18"/>
              </w:rPr>
            </w:pPr>
            <w:r w:rsidRPr="00951711">
              <w:rPr>
                <w:sz w:val="18"/>
                <w:szCs w:val="18"/>
              </w:rPr>
              <w:t xml:space="preserve">        1,512 </w:t>
            </w:r>
          </w:p>
        </w:tc>
        <w:tc>
          <w:tcPr>
            <w:tcW w:w="724" w:type="dxa"/>
            <w:noWrap/>
            <w:hideMark/>
          </w:tcPr>
          <w:p w14:paraId="5B481397" w14:textId="77777777" w:rsidR="008938F5" w:rsidRPr="00951711" w:rsidRDefault="008938F5" w:rsidP="00C113EE">
            <w:pPr>
              <w:rPr>
                <w:sz w:val="18"/>
                <w:szCs w:val="18"/>
              </w:rPr>
            </w:pPr>
            <w:r w:rsidRPr="00951711">
              <w:rPr>
                <w:sz w:val="18"/>
                <w:szCs w:val="18"/>
              </w:rPr>
              <w:t xml:space="preserve">        1,000 </w:t>
            </w:r>
          </w:p>
        </w:tc>
        <w:tc>
          <w:tcPr>
            <w:tcW w:w="848" w:type="dxa"/>
            <w:noWrap/>
            <w:hideMark/>
          </w:tcPr>
          <w:p w14:paraId="77245D0C" w14:textId="77777777" w:rsidR="008938F5" w:rsidRPr="00951711" w:rsidRDefault="008938F5" w:rsidP="00C113EE">
            <w:pPr>
              <w:rPr>
                <w:b/>
                <w:sz w:val="18"/>
                <w:szCs w:val="18"/>
              </w:rPr>
            </w:pPr>
            <w:r w:rsidRPr="00951711">
              <w:rPr>
                <w:b/>
                <w:sz w:val="18"/>
                <w:szCs w:val="18"/>
              </w:rPr>
              <w:t xml:space="preserve">                               907 </w:t>
            </w:r>
          </w:p>
        </w:tc>
      </w:tr>
      <w:tr w:rsidR="008938F5" w:rsidRPr="00810F8A" w14:paraId="0A08759C" w14:textId="12ED7203" w:rsidTr="00951711">
        <w:trPr>
          <w:trHeight w:val="300"/>
        </w:trPr>
        <w:tc>
          <w:tcPr>
            <w:tcW w:w="724" w:type="dxa"/>
            <w:noWrap/>
            <w:hideMark/>
          </w:tcPr>
          <w:p w14:paraId="66460669" w14:textId="77777777" w:rsidR="008938F5" w:rsidRPr="00951711" w:rsidRDefault="008938F5" w:rsidP="00C113EE">
            <w:pPr>
              <w:rPr>
                <w:sz w:val="18"/>
                <w:szCs w:val="18"/>
              </w:rPr>
            </w:pPr>
            <w:r w:rsidRPr="00951711">
              <w:rPr>
                <w:sz w:val="18"/>
                <w:szCs w:val="18"/>
              </w:rPr>
              <w:t xml:space="preserve">        2,809 </w:t>
            </w:r>
          </w:p>
        </w:tc>
        <w:tc>
          <w:tcPr>
            <w:tcW w:w="725" w:type="dxa"/>
            <w:noWrap/>
            <w:hideMark/>
          </w:tcPr>
          <w:p w14:paraId="2770C782" w14:textId="77777777" w:rsidR="008938F5" w:rsidRPr="00951711" w:rsidRDefault="008938F5" w:rsidP="00C113EE">
            <w:pPr>
              <w:rPr>
                <w:sz w:val="18"/>
                <w:szCs w:val="18"/>
              </w:rPr>
            </w:pPr>
            <w:r w:rsidRPr="00951711">
              <w:rPr>
                <w:sz w:val="18"/>
                <w:szCs w:val="18"/>
              </w:rPr>
              <w:t xml:space="preserve">        2,865 </w:t>
            </w:r>
          </w:p>
        </w:tc>
        <w:tc>
          <w:tcPr>
            <w:tcW w:w="724" w:type="dxa"/>
            <w:noWrap/>
            <w:hideMark/>
          </w:tcPr>
          <w:p w14:paraId="2CA28624" w14:textId="77777777" w:rsidR="008938F5" w:rsidRPr="00951711" w:rsidRDefault="008938F5" w:rsidP="00C113EE">
            <w:pPr>
              <w:rPr>
                <w:sz w:val="18"/>
                <w:szCs w:val="18"/>
              </w:rPr>
            </w:pPr>
            <w:r w:rsidRPr="00951711">
              <w:rPr>
                <w:sz w:val="18"/>
                <w:szCs w:val="18"/>
              </w:rPr>
              <w:t xml:space="preserve">        2,822 </w:t>
            </w:r>
          </w:p>
        </w:tc>
        <w:tc>
          <w:tcPr>
            <w:tcW w:w="724" w:type="dxa"/>
            <w:noWrap/>
            <w:hideMark/>
          </w:tcPr>
          <w:p w14:paraId="7200EA97" w14:textId="77777777" w:rsidR="008938F5" w:rsidRPr="00951711" w:rsidRDefault="008938F5" w:rsidP="00C113EE">
            <w:pPr>
              <w:rPr>
                <w:sz w:val="18"/>
                <w:szCs w:val="18"/>
              </w:rPr>
            </w:pPr>
            <w:r w:rsidRPr="00951711">
              <w:rPr>
                <w:sz w:val="18"/>
                <w:szCs w:val="18"/>
              </w:rPr>
              <w:t xml:space="preserve">        2,290 </w:t>
            </w:r>
          </w:p>
        </w:tc>
        <w:tc>
          <w:tcPr>
            <w:tcW w:w="724" w:type="dxa"/>
            <w:noWrap/>
            <w:hideMark/>
          </w:tcPr>
          <w:p w14:paraId="2834A90E" w14:textId="77777777" w:rsidR="008938F5" w:rsidRPr="00951711" w:rsidRDefault="008938F5" w:rsidP="00C113EE">
            <w:pPr>
              <w:rPr>
                <w:sz w:val="18"/>
                <w:szCs w:val="18"/>
              </w:rPr>
            </w:pPr>
            <w:r w:rsidRPr="00951711">
              <w:rPr>
                <w:sz w:val="18"/>
                <w:szCs w:val="18"/>
              </w:rPr>
              <w:t xml:space="preserve">        3,059 </w:t>
            </w:r>
          </w:p>
        </w:tc>
        <w:tc>
          <w:tcPr>
            <w:tcW w:w="769" w:type="dxa"/>
            <w:noWrap/>
            <w:hideMark/>
          </w:tcPr>
          <w:p w14:paraId="07463DDB" w14:textId="77777777" w:rsidR="008938F5" w:rsidRPr="00951711" w:rsidRDefault="008938F5" w:rsidP="00C113EE">
            <w:pPr>
              <w:rPr>
                <w:sz w:val="18"/>
                <w:szCs w:val="18"/>
              </w:rPr>
            </w:pPr>
            <w:r w:rsidRPr="00951711">
              <w:rPr>
                <w:sz w:val="18"/>
                <w:szCs w:val="18"/>
              </w:rPr>
              <w:t xml:space="preserve">        2,635 </w:t>
            </w:r>
          </w:p>
        </w:tc>
        <w:tc>
          <w:tcPr>
            <w:tcW w:w="864" w:type="dxa"/>
            <w:noWrap/>
            <w:hideMark/>
          </w:tcPr>
          <w:p w14:paraId="2CBF9DC7" w14:textId="77777777" w:rsidR="008938F5" w:rsidRPr="00951711" w:rsidRDefault="008938F5" w:rsidP="00C113EE">
            <w:pPr>
              <w:rPr>
                <w:sz w:val="18"/>
                <w:szCs w:val="18"/>
              </w:rPr>
            </w:pPr>
            <w:r w:rsidRPr="00951711">
              <w:rPr>
                <w:sz w:val="18"/>
                <w:szCs w:val="18"/>
              </w:rPr>
              <w:t xml:space="preserve">        4,095 </w:t>
            </w:r>
          </w:p>
        </w:tc>
        <w:tc>
          <w:tcPr>
            <w:tcW w:w="724" w:type="dxa"/>
            <w:noWrap/>
            <w:hideMark/>
          </w:tcPr>
          <w:p w14:paraId="4E149D01" w14:textId="77777777" w:rsidR="008938F5" w:rsidRPr="00951711" w:rsidRDefault="008938F5" w:rsidP="00C113EE">
            <w:pPr>
              <w:rPr>
                <w:sz w:val="18"/>
                <w:szCs w:val="18"/>
              </w:rPr>
            </w:pPr>
            <w:r w:rsidRPr="00951711">
              <w:rPr>
                <w:sz w:val="18"/>
                <w:szCs w:val="18"/>
              </w:rPr>
              <w:t xml:space="preserve">        4,801 </w:t>
            </w:r>
          </w:p>
        </w:tc>
        <w:tc>
          <w:tcPr>
            <w:tcW w:w="724" w:type="dxa"/>
            <w:noWrap/>
            <w:hideMark/>
          </w:tcPr>
          <w:p w14:paraId="07D814AC" w14:textId="77777777" w:rsidR="008938F5" w:rsidRPr="00951711" w:rsidRDefault="008938F5" w:rsidP="00C113EE">
            <w:pPr>
              <w:rPr>
                <w:sz w:val="18"/>
                <w:szCs w:val="18"/>
              </w:rPr>
            </w:pPr>
            <w:r w:rsidRPr="00951711">
              <w:rPr>
                <w:sz w:val="18"/>
                <w:szCs w:val="18"/>
              </w:rPr>
              <w:t xml:space="preserve">        4,501 </w:t>
            </w:r>
          </w:p>
        </w:tc>
        <w:tc>
          <w:tcPr>
            <w:tcW w:w="724" w:type="dxa"/>
            <w:noWrap/>
            <w:hideMark/>
          </w:tcPr>
          <w:p w14:paraId="079DADC8" w14:textId="77777777" w:rsidR="008938F5" w:rsidRPr="00951711" w:rsidRDefault="008938F5" w:rsidP="00C113EE">
            <w:pPr>
              <w:rPr>
                <w:sz w:val="18"/>
                <w:szCs w:val="18"/>
              </w:rPr>
            </w:pPr>
            <w:r w:rsidRPr="00951711">
              <w:rPr>
                <w:sz w:val="18"/>
                <w:szCs w:val="18"/>
              </w:rPr>
              <w:t xml:space="preserve">        4,777 </w:t>
            </w:r>
          </w:p>
        </w:tc>
        <w:tc>
          <w:tcPr>
            <w:tcW w:w="724" w:type="dxa"/>
            <w:noWrap/>
            <w:hideMark/>
          </w:tcPr>
          <w:p w14:paraId="472073F9" w14:textId="77777777" w:rsidR="008938F5" w:rsidRPr="00951711" w:rsidRDefault="008938F5" w:rsidP="00C113EE">
            <w:pPr>
              <w:rPr>
                <w:sz w:val="18"/>
                <w:szCs w:val="18"/>
              </w:rPr>
            </w:pPr>
            <w:r w:rsidRPr="00951711">
              <w:rPr>
                <w:sz w:val="18"/>
                <w:szCs w:val="18"/>
              </w:rPr>
              <w:t xml:space="preserve">        4,500 </w:t>
            </w:r>
          </w:p>
        </w:tc>
        <w:tc>
          <w:tcPr>
            <w:tcW w:w="848" w:type="dxa"/>
            <w:noWrap/>
            <w:hideMark/>
          </w:tcPr>
          <w:p w14:paraId="430DF8A4" w14:textId="77777777" w:rsidR="008938F5" w:rsidRPr="00951711" w:rsidRDefault="008938F5" w:rsidP="00C113EE">
            <w:pPr>
              <w:rPr>
                <w:b/>
                <w:sz w:val="18"/>
                <w:szCs w:val="18"/>
              </w:rPr>
            </w:pPr>
            <w:r w:rsidRPr="00951711">
              <w:rPr>
                <w:b/>
                <w:sz w:val="18"/>
                <w:szCs w:val="18"/>
              </w:rPr>
              <w:t xml:space="preserve">                            3,559 </w:t>
            </w:r>
          </w:p>
        </w:tc>
      </w:tr>
    </w:tbl>
    <w:p w14:paraId="4926AFEA" w14:textId="77777777" w:rsidR="00824B16" w:rsidRDefault="00824B16" w:rsidP="00C113EE"/>
    <w:p w14:paraId="082EB96C" w14:textId="045C5A7B" w:rsidR="00824B16" w:rsidRDefault="00824B16" w:rsidP="00C113EE">
      <w:r>
        <w:t>The model uses a goal</w:t>
      </w:r>
      <w:r w:rsidR="00CC7692">
        <w:t xml:space="preserve"> </w:t>
      </w:r>
      <w:r>
        <w:t xml:space="preserve">seek to calculate the greenfield and infill charges, </w:t>
      </w:r>
      <w:r w:rsidR="004F719E">
        <w:t xml:space="preserve">that will provide the </w:t>
      </w:r>
      <w:r>
        <w:t xml:space="preserve"> total revenue required for the period</w:t>
      </w:r>
      <w:r w:rsidR="004F719E">
        <w:t xml:space="preserve"> based on 25% of lots being infill and 75% of lots being greenfield.</w:t>
      </w:r>
      <w:r w:rsidR="004F719E" w:rsidDel="004F719E">
        <w:t xml:space="preserve"> </w:t>
      </w:r>
    </w:p>
    <w:p w14:paraId="0194A6D6" w14:textId="77777777" w:rsidR="00602B73" w:rsidRDefault="00602B73" w:rsidP="00C113EE"/>
    <w:p w14:paraId="73DE53E8" w14:textId="77777777" w:rsidR="00602B73" w:rsidRDefault="00602B73" w:rsidP="00C113EE"/>
    <w:p w14:paraId="3A806038" w14:textId="77777777" w:rsidR="00177D06" w:rsidRPr="00177D06" w:rsidRDefault="00177D06" w:rsidP="00C113EE"/>
    <w:p w14:paraId="364B0656" w14:textId="25CD5E88" w:rsidR="00A4275E" w:rsidRDefault="00411504" w:rsidP="008A4EE2">
      <w:pPr>
        <w:pStyle w:val="Title"/>
      </w:pPr>
      <w:bookmarkStart w:id="54" w:name="_Toc115768760"/>
      <w:r>
        <w:lastRenderedPageBreak/>
        <w:t>Proposed NCC charges and how they will be applied</w:t>
      </w:r>
      <w:bookmarkEnd w:id="54"/>
    </w:p>
    <w:p w14:paraId="27451F78" w14:textId="58D09BFD" w:rsidR="00602B73" w:rsidRPr="00602B73" w:rsidRDefault="00602B73" w:rsidP="00C113EE">
      <w:r w:rsidRPr="00602B73">
        <w:t>For the next regulatory period, Barwon Water proposes to continue a standard charge for the whole region, excluding Fyansford</w:t>
      </w:r>
      <w:r w:rsidR="00824B16">
        <w:t xml:space="preserve"> (which has an established </w:t>
      </w:r>
      <w:r w:rsidR="004F719E">
        <w:t xml:space="preserve">negotiated </w:t>
      </w:r>
      <w:r w:rsidR="00824B16">
        <w:t>NCC)</w:t>
      </w:r>
      <w:r w:rsidRPr="00602B73">
        <w:t>. The details are set out below.</w:t>
      </w:r>
    </w:p>
    <w:p w14:paraId="21D50361" w14:textId="77777777" w:rsidR="00602B73" w:rsidRPr="00A43B04" w:rsidRDefault="00602B73" w:rsidP="00A43B04">
      <w:pPr>
        <w:pStyle w:val="Heading2"/>
        <w:rPr>
          <w:szCs w:val="24"/>
        </w:rPr>
      </w:pPr>
      <w:bookmarkStart w:id="55" w:name="_Toc115768761"/>
      <w:r w:rsidRPr="00A43B04">
        <w:rPr>
          <w:szCs w:val="24"/>
        </w:rPr>
        <w:t>Standard NCC</w:t>
      </w:r>
      <w:bookmarkEnd w:id="55"/>
    </w:p>
    <w:p w14:paraId="03EF7057" w14:textId="3842AD2B" w:rsidR="00602B73" w:rsidRPr="00602B73" w:rsidRDefault="00602B73" w:rsidP="00C113EE">
      <w:r w:rsidRPr="00602B73">
        <w:t>For the next regulatory period, Barwon Water proposes to continue the Standard NCC for ‘Infill’ developments and ‘Greenfield’ developments</w:t>
      </w:r>
      <w:r w:rsidR="00431B4E" w:rsidRPr="00602B73">
        <w:t>.</w:t>
      </w:r>
      <w:r w:rsidRPr="00602B73">
        <w:t xml:space="preserve"> As already </w:t>
      </w:r>
      <w:r w:rsidR="00431B4E" w:rsidRPr="00602B73">
        <w:t>noted</w:t>
      </w:r>
      <w:r w:rsidRPr="00602B73">
        <w:t xml:space="preserve"> the Standard NCC is applicable to all of Barwon Water’s existing serviced areas and planned growth areas</w:t>
      </w:r>
      <w:r w:rsidR="00001CB5">
        <w:t xml:space="preserve"> (except Fyansford, as detailed further below)</w:t>
      </w:r>
      <w:r w:rsidRPr="00602B73">
        <w:t>.</w:t>
      </w:r>
    </w:p>
    <w:p w14:paraId="13B573C1" w14:textId="77777777" w:rsidR="00602B73" w:rsidRPr="00602B73" w:rsidRDefault="00602B73" w:rsidP="00C113EE">
      <w:r w:rsidRPr="00602B73">
        <w:t xml:space="preserve">The table below sets out the proposed NCCs for the next regulatory period, alongside the NCC applying in 2022-23. </w:t>
      </w:r>
    </w:p>
    <w:p w14:paraId="332664CB" w14:textId="65E7C26E" w:rsidR="00602B73" w:rsidRPr="00951711" w:rsidRDefault="00602B73" w:rsidP="00951711">
      <w:pPr>
        <w:pStyle w:val="Caption"/>
        <w:keepNext/>
        <w:spacing w:before="120" w:after="120"/>
        <w:rPr>
          <w:color w:val="414042"/>
        </w:rPr>
      </w:pPr>
      <w:r w:rsidRPr="00951711">
        <w:rPr>
          <w:color w:val="414042"/>
        </w:rPr>
        <w:t xml:space="preserve">Table </w:t>
      </w:r>
      <w:r w:rsidRPr="00951711">
        <w:rPr>
          <w:color w:val="414042"/>
        </w:rPr>
        <w:fldChar w:fldCharType="begin"/>
      </w:r>
      <w:r w:rsidRPr="00951711">
        <w:rPr>
          <w:color w:val="414042"/>
        </w:rPr>
        <w:instrText xml:space="preserve"> SEQ Table \* ARABIC </w:instrText>
      </w:r>
      <w:r w:rsidRPr="00951711">
        <w:rPr>
          <w:color w:val="414042"/>
        </w:rPr>
        <w:fldChar w:fldCharType="separate"/>
      </w:r>
      <w:r w:rsidR="00504C53" w:rsidRPr="00951711">
        <w:rPr>
          <w:color w:val="414042"/>
        </w:rPr>
        <w:t>6</w:t>
      </w:r>
      <w:r w:rsidRPr="00951711">
        <w:rPr>
          <w:color w:val="414042"/>
        </w:rPr>
        <w:fldChar w:fldCharType="end"/>
      </w:r>
      <w:r w:rsidRPr="00951711">
        <w:rPr>
          <w:color w:val="414042"/>
        </w:rPr>
        <w:t>: Current and proposed Standard NCCs (in $real 2022-23)</w:t>
      </w:r>
    </w:p>
    <w:tbl>
      <w:tblPr>
        <w:tblW w:w="8949" w:type="dxa"/>
        <w:tblInd w:w="108"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A0" w:firstRow="1" w:lastRow="0" w:firstColumn="1" w:lastColumn="0" w:noHBand="0" w:noVBand="1"/>
      </w:tblPr>
      <w:tblGrid>
        <w:gridCol w:w="2694"/>
        <w:gridCol w:w="1719"/>
        <w:gridCol w:w="1560"/>
        <w:gridCol w:w="1417"/>
        <w:gridCol w:w="1559"/>
      </w:tblGrid>
      <w:tr w:rsidR="00602B73" w:rsidRPr="00602B73" w14:paraId="7D40A01E" w14:textId="77777777" w:rsidTr="00951711">
        <w:trPr>
          <w:cantSplit/>
          <w:trHeight w:val="427"/>
          <w:tblHeader/>
        </w:trPr>
        <w:tc>
          <w:tcPr>
            <w:tcW w:w="2694" w:type="dxa"/>
            <w:vMerge w:val="restart"/>
            <w:shd w:val="clear" w:color="auto" w:fill="008998"/>
            <w:hideMark/>
          </w:tcPr>
          <w:p w14:paraId="62F583A1" w14:textId="77777777" w:rsidR="00602B73" w:rsidRPr="00951711" w:rsidRDefault="00602B73" w:rsidP="00C113EE">
            <w:pPr>
              <w:rPr>
                <w:b/>
                <w:color w:val="EEECE1" w:themeColor="background2"/>
                <w:lang w:eastAsia="en-AU"/>
              </w:rPr>
            </w:pPr>
            <w:r w:rsidRPr="00951711">
              <w:rPr>
                <w:b/>
                <w:color w:val="EEECE1" w:themeColor="background2"/>
                <w:lang w:eastAsia="en-AU"/>
              </w:rPr>
              <w:t>Service</w:t>
            </w:r>
          </w:p>
        </w:tc>
        <w:tc>
          <w:tcPr>
            <w:tcW w:w="3279" w:type="dxa"/>
            <w:gridSpan w:val="2"/>
            <w:shd w:val="clear" w:color="auto" w:fill="008998"/>
          </w:tcPr>
          <w:p w14:paraId="7FC7A70E" w14:textId="77777777" w:rsidR="00602B73" w:rsidRPr="00951711" w:rsidRDefault="00602B73" w:rsidP="00C113EE">
            <w:pPr>
              <w:rPr>
                <w:b/>
                <w:color w:val="EEECE1" w:themeColor="background2"/>
                <w:lang w:eastAsia="en-AU"/>
              </w:rPr>
            </w:pPr>
            <w:r w:rsidRPr="00951711">
              <w:rPr>
                <w:b/>
                <w:color w:val="EEECE1" w:themeColor="background2"/>
                <w:lang w:eastAsia="en-AU"/>
              </w:rPr>
              <w:t xml:space="preserve">Current Standard NCC for the 2018-2023 regulatory period </w:t>
            </w:r>
          </w:p>
        </w:tc>
        <w:tc>
          <w:tcPr>
            <w:tcW w:w="2976" w:type="dxa"/>
            <w:gridSpan w:val="2"/>
            <w:shd w:val="clear" w:color="auto" w:fill="008998"/>
          </w:tcPr>
          <w:p w14:paraId="2960AFAF" w14:textId="77777777" w:rsidR="00602B73" w:rsidRPr="00951711" w:rsidRDefault="00602B73" w:rsidP="00C113EE">
            <w:pPr>
              <w:rPr>
                <w:b/>
                <w:color w:val="EEECE1" w:themeColor="background2"/>
                <w:lang w:eastAsia="en-AU"/>
              </w:rPr>
            </w:pPr>
            <w:r w:rsidRPr="00951711">
              <w:rPr>
                <w:b/>
                <w:color w:val="EEECE1" w:themeColor="background2"/>
                <w:lang w:eastAsia="en-AU"/>
              </w:rPr>
              <w:t xml:space="preserve">Proposed Standard NCC for the next regulatory period </w:t>
            </w:r>
          </w:p>
        </w:tc>
      </w:tr>
      <w:tr w:rsidR="00602B73" w:rsidRPr="00602B73" w14:paraId="626ADE24" w14:textId="77777777" w:rsidTr="00951711">
        <w:trPr>
          <w:cantSplit/>
          <w:trHeight w:val="243"/>
          <w:tblHeader/>
        </w:trPr>
        <w:tc>
          <w:tcPr>
            <w:tcW w:w="2694" w:type="dxa"/>
            <w:vMerge/>
            <w:shd w:val="clear" w:color="auto" w:fill="008998"/>
            <w:hideMark/>
          </w:tcPr>
          <w:p w14:paraId="334B8D0B" w14:textId="77777777" w:rsidR="00602B73" w:rsidRPr="00951711" w:rsidRDefault="00602B73" w:rsidP="00C113EE">
            <w:pPr>
              <w:rPr>
                <w:b/>
                <w:color w:val="EEECE1" w:themeColor="background2"/>
                <w:lang w:eastAsia="en-AU"/>
              </w:rPr>
            </w:pPr>
          </w:p>
        </w:tc>
        <w:tc>
          <w:tcPr>
            <w:tcW w:w="1719" w:type="dxa"/>
            <w:shd w:val="clear" w:color="auto" w:fill="008998"/>
          </w:tcPr>
          <w:p w14:paraId="746EB96F" w14:textId="77777777" w:rsidR="00602B73" w:rsidRPr="00951711" w:rsidRDefault="00602B73" w:rsidP="00C113EE">
            <w:pPr>
              <w:rPr>
                <w:b/>
                <w:color w:val="EEECE1" w:themeColor="background2"/>
                <w:lang w:eastAsia="en-AU"/>
              </w:rPr>
            </w:pPr>
            <w:r w:rsidRPr="00951711">
              <w:rPr>
                <w:b/>
                <w:color w:val="EEECE1" w:themeColor="background2"/>
                <w:lang w:eastAsia="en-AU"/>
              </w:rPr>
              <w:t>Greenfield</w:t>
            </w:r>
          </w:p>
        </w:tc>
        <w:tc>
          <w:tcPr>
            <w:tcW w:w="1560" w:type="dxa"/>
            <w:shd w:val="clear" w:color="auto" w:fill="008998"/>
          </w:tcPr>
          <w:p w14:paraId="56CCBA61" w14:textId="77777777" w:rsidR="00602B73" w:rsidRPr="00951711" w:rsidRDefault="00602B73" w:rsidP="00C113EE">
            <w:pPr>
              <w:rPr>
                <w:b/>
                <w:color w:val="EEECE1" w:themeColor="background2"/>
                <w:lang w:eastAsia="en-AU"/>
              </w:rPr>
            </w:pPr>
            <w:r w:rsidRPr="00951711">
              <w:rPr>
                <w:b/>
                <w:color w:val="EEECE1" w:themeColor="background2"/>
                <w:lang w:eastAsia="en-AU"/>
              </w:rPr>
              <w:t>Infill</w:t>
            </w:r>
          </w:p>
        </w:tc>
        <w:tc>
          <w:tcPr>
            <w:tcW w:w="1417" w:type="dxa"/>
            <w:shd w:val="clear" w:color="auto" w:fill="008998"/>
          </w:tcPr>
          <w:p w14:paraId="0716FA2D" w14:textId="77777777" w:rsidR="00602B73" w:rsidRPr="00951711" w:rsidRDefault="00602B73" w:rsidP="00C113EE">
            <w:pPr>
              <w:rPr>
                <w:b/>
                <w:color w:val="EEECE1" w:themeColor="background2"/>
                <w:lang w:eastAsia="en-AU"/>
              </w:rPr>
            </w:pPr>
            <w:r w:rsidRPr="00951711">
              <w:rPr>
                <w:b/>
                <w:color w:val="EEECE1" w:themeColor="background2"/>
                <w:lang w:eastAsia="en-AU"/>
              </w:rPr>
              <w:t>Greenfield</w:t>
            </w:r>
          </w:p>
        </w:tc>
        <w:tc>
          <w:tcPr>
            <w:tcW w:w="1559" w:type="dxa"/>
            <w:shd w:val="clear" w:color="auto" w:fill="008998"/>
          </w:tcPr>
          <w:p w14:paraId="17884925" w14:textId="77777777" w:rsidR="00602B73" w:rsidRPr="00951711" w:rsidRDefault="00602B73" w:rsidP="00C113EE">
            <w:pPr>
              <w:rPr>
                <w:b/>
                <w:color w:val="EEECE1" w:themeColor="background2"/>
                <w:lang w:eastAsia="en-AU"/>
              </w:rPr>
            </w:pPr>
            <w:r w:rsidRPr="00951711">
              <w:rPr>
                <w:b/>
                <w:color w:val="EEECE1" w:themeColor="background2"/>
                <w:lang w:eastAsia="en-AU"/>
              </w:rPr>
              <w:t>Infill</w:t>
            </w:r>
          </w:p>
        </w:tc>
      </w:tr>
      <w:tr w:rsidR="00602B73" w:rsidRPr="00602B73" w14:paraId="3771A430" w14:textId="77777777" w:rsidTr="00951711">
        <w:trPr>
          <w:cantSplit/>
          <w:trHeight w:val="315"/>
        </w:trPr>
        <w:tc>
          <w:tcPr>
            <w:tcW w:w="2694" w:type="dxa"/>
            <w:shd w:val="clear" w:color="auto" w:fill="auto"/>
            <w:vAlign w:val="center"/>
          </w:tcPr>
          <w:p w14:paraId="38D8F2C8" w14:textId="77777777" w:rsidR="00602B73" w:rsidRPr="00602B73" w:rsidRDefault="00602B73" w:rsidP="00C113EE">
            <w:r w:rsidRPr="00602B73">
              <w:t>Water (inc. Recycled)</w:t>
            </w:r>
          </w:p>
        </w:tc>
        <w:tc>
          <w:tcPr>
            <w:tcW w:w="1719" w:type="dxa"/>
          </w:tcPr>
          <w:p w14:paraId="75E6A51D" w14:textId="0F04D842" w:rsidR="00602B73" w:rsidRPr="00602B73" w:rsidRDefault="00602B73" w:rsidP="00C113EE">
            <w:r w:rsidRPr="00602B73">
              <w:t>$3</w:t>
            </w:r>
            <w:r w:rsidR="003F6C02">
              <w:t>,</w:t>
            </w:r>
            <w:r w:rsidRPr="00602B73">
              <w:t>348</w:t>
            </w:r>
          </w:p>
        </w:tc>
        <w:tc>
          <w:tcPr>
            <w:tcW w:w="1560" w:type="dxa"/>
          </w:tcPr>
          <w:p w14:paraId="2C594E29" w14:textId="77777777" w:rsidR="00602B73" w:rsidRPr="00602B73" w:rsidRDefault="00602B73" w:rsidP="00C113EE">
            <w:r w:rsidRPr="00602B73">
              <w:t>$675</w:t>
            </w:r>
          </w:p>
        </w:tc>
        <w:tc>
          <w:tcPr>
            <w:tcW w:w="1417" w:type="dxa"/>
          </w:tcPr>
          <w:p w14:paraId="791841D9" w14:textId="226D9AD4" w:rsidR="00602B73" w:rsidRPr="00602B73" w:rsidRDefault="00602B73" w:rsidP="00C113EE">
            <w:r w:rsidRPr="00602B73">
              <w:t>$3</w:t>
            </w:r>
            <w:r w:rsidR="003F6C02">
              <w:t>,</w:t>
            </w:r>
            <w:r w:rsidR="00A82AF4">
              <w:t>680</w:t>
            </w:r>
          </w:p>
        </w:tc>
        <w:tc>
          <w:tcPr>
            <w:tcW w:w="1559" w:type="dxa"/>
          </w:tcPr>
          <w:p w14:paraId="32A3228F" w14:textId="70D68767" w:rsidR="00602B73" w:rsidRPr="00602B73" w:rsidRDefault="00602B73" w:rsidP="00C113EE">
            <w:r w:rsidRPr="00602B73">
              <w:t>$</w:t>
            </w:r>
            <w:r w:rsidR="00A82AF4" w:rsidRPr="00602B73">
              <w:t>7</w:t>
            </w:r>
            <w:r w:rsidR="00A82AF4">
              <w:t>36</w:t>
            </w:r>
          </w:p>
        </w:tc>
      </w:tr>
      <w:tr w:rsidR="00602B73" w:rsidRPr="00602B73" w14:paraId="51ECD9DC" w14:textId="77777777" w:rsidTr="00951711">
        <w:trPr>
          <w:cantSplit/>
          <w:trHeight w:val="315"/>
        </w:trPr>
        <w:tc>
          <w:tcPr>
            <w:tcW w:w="2694" w:type="dxa"/>
            <w:shd w:val="clear" w:color="auto" w:fill="auto"/>
            <w:vAlign w:val="center"/>
          </w:tcPr>
          <w:p w14:paraId="1DB48FEB" w14:textId="77777777" w:rsidR="00602B73" w:rsidRPr="00602B73" w:rsidRDefault="00602B73" w:rsidP="00C113EE">
            <w:pPr>
              <w:rPr>
                <w:b/>
              </w:rPr>
            </w:pPr>
            <w:r w:rsidRPr="00602B73">
              <w:t>Sewerage</w:t>
            </w:r>
          </w:p>
        </w:tc>
        <w:tc>
          <w:tcPr>
            <w:tcW w:w="1719" w:type="dxa"/>
          </w:tcPr>
          <w:p w14:paraId="3301F2FA" w14:textId="77777777" w:rsidR="00602B73" w:rsidRPr="00602B73" w:rsidRDefault="00602B73" w:rsidP="00C113EE">
            <w:r w:rsidRPr="00602B73">
              <w:t>$0</w:t>
            </w:r>
          </w:p>
        </w:tc>
        <w:tc>
          <w:tcPr>
            <w:tcW w:w="1560" w:type="dxa"/>
          </w:tcPr>
          <w:p w14:paraId="6CD33B08" w14:textId="77777777" w:rsidR="00602B73" w:rsidRPr="00602B73" w:rsidRDefault="00602B73" w:rsidP="00C113EE">
            <w:r w:rsidRPr="00602B73">
              <w:t>$0</w:t>
            </w:r>
          </w:p>
        </w:tc>
        <w:tc>
          <w:tcPr>
            <w:tcW w:w="1417" w:type="dxa"/>
          </w:tcPr>
          <w:p w14:paraId="7E8C966B" w14:textId="711570E0" w:rsidR="00602B73" w:rsidRPr="00602B73" w:rsidRDefault="00602B73" w:rsidP="00C113EE">
            <w:r w:rsidRPr="00602B73">
              <w:t>$</w:t>
            </w:r>
            <w:r w:rsidR="00A82AF4">
              <w:t>539</w:t>
            </w:r>
          </w:p>
        </w:tc>
        <w:tc>
          <w:tcPr>
            <w:tcW w:w="1559" w:type="dxa"/>
          </w:tcPr>
          <w:p w14:paraId="72737217" w14:textId="5E984852" w:rsidR="00602B73" w:rsidRPr="00602B73" w:rsidRDefault="00602B73" w:rsidP="00C113EE">
            <w:r w:rsidRPr="00602B73">
              <w:t>$</w:t>
            </w:r>
            <w:r w:rsidR="00A82AF4">
              <w:t>108</w:t>
            </w:r>
          </w:p>
        </w:tc>
      </w:tr>
      <w:tr w:rsidR="00602B73" w:rsidRPr="00602B73" w14:paraId="22EEFF8F" w14:textId="77777777" w:rsidTr="00951711">
        <w:trPr>
          <w:cantSplit/>
          <w:trHeight w:val="315"/>
        </w:trPr>
        <w:tc>
          <w:tcPr>
            <w:tcW w:w="2694" w:type="dxa"/>
            <w:shd w:val="clear" w:color="auto" w:fill="auto"/>
            <w:vAlign w:val="center"/>
          </w:tcPr>
          <w:p w14:paraId="066EB05B" w14:textId="77777777" w:rsidR="00602B73" w:rsidRPr="00602B73" w:rsidRDefault="00602B73" w:rsidP="00C113EE">
            <w:r w:rsidRPr="00602B73">
              <w:t>Total per residential lot</w:t>
            </w:r>
          </w:p>
        </w:tc>
        <w:tc>
          <w:tcPr>
            <w:tcW w:w="1719" w:type="dxa"/>
          </w:tcPr>
          <w:p w14:paraId="5F7047F5" w14:textId="222BCDD4" w:rsidR="00602B73" w:rsidRPr="00602B73" w:rsidRDefault="00602B73" w:rsidP="00C113EE">
            <w:r w:rsidRPr="00602B73">
              <w:t>$3</w:t>
            </w:r>
            <w:r w:rsidR="003F6C02">
              <w:t>,</w:t>
            </w:r>
            <w:r w:rsidRPr="00602B73">
              <w:t>348</w:t>
            </w:r>
          </w:p>
        </w:tc>
        <w:tc>
          <w:tcPr>
            <w:tcW w:w="1560" w:type="dxa"/>
          </w:tcPr>
          <w:p w14:paraId="718564FB" w14:textId="77777777" w:rsidR="00602B73" w:rsidRPr="00602B73" w:rsidRDefault="00602B73" w:rsidP="00C113EE">
            <w:r w:rsidRPr="00602B73">
              <w:t>$675</w:t>
            </w:r>
          </w:p>
        </w:tc>
        <w:tc>
          <w:tcPr>
            <w:tcW w:w="1417" w:type="dxa"/>
          </w:tcPr>
          <w:p w14:paraId="257FEF5D" w14:textId="7362537E" w:rsidR="00602B73" w:rsidRPr="00602B73" w:rsidRDefault="00602B73" w:rsidP="00C113EE">
            <w:r w:rsidRPr="00602B73">
              <w:t>$4</w:t>
            </w:r>
            <w:r w:rsidR="003F6C02">
              <w:t>,</w:t>
            </w:r>
            <w:r w:rsidRPr="00602B73">
              <w:t>219</w:t>
            </w:r>
          </w:p>
        </w:tc>
        <w:tc>
          <w:tcPr>
            <w:tcW w:w="1559" w:type="dxa"/>
          </w:tcPr>
          <w:p w14:paraId="380E9821" w14:textId="77777777" w:rsidR="00602B73" w:rsidRPr="00602B73" w:rsidRDefault="00602B73" w:rsidP="00C113EE">
            <w:r w:rsidRPr="00602B73">
              <w:t>$844</w:t>
            </w:r>
          </w:p>
        </w:tc>
      </w:tr>
    </w:tbl>
    <w:p w14:paraId="45CED50F" w14:textId="77777777" w:rsidR="00602B73" w:rsidRPr="00602B73" w:rsidRDefault="00602B73" w:rsidP="00C113EE"/>
    <w:p w14:paraId="2AD07E90" w14:textId="77777777" w:rsidR="00602B73" w:rsidRPr="00602B73" w:rsidRDefault="00602B73" w:rsidP="00C113EE">
      <w:r w:rsidRPr="00602B73">
        <w:t>The following points are noted in relation to the proposed Standard NCCs:</w:t>
      </w:r>
    </w:p>
    <w:p w14:paraId="1B941330" w14:textId="0BAD07AB" w:rsidR="00602B73" w:rsidRDefault="00001CB5" w:rsidP="00C113EE">
      <w:pPr>
        <w:pStyle w:val="ListParagraph"/>
        <w:numPr>
          <w:ilvl w:val="0"/>
          <w:numId w:val="2"/>
        </w:numPr>
      </w:pPr>
      <w:r>
        <w:t>The w</w:t>
      </w:r>
      <w:r w:rsidR="00431B4E">
        <w:t>ater (inc</w:t>
      </w:r>
      <w:r>
        <w:t>luding</w:t>
      </w:r>
      <w:r w:rsidR="00431B4E">
        <w:t xml:space="preserve"> </w:t>
      </w:r>
      <w:r>
        <w:t>r</w:t>
      </w:r>
      <w:r w:rsidR="00431B4E">
        <w:t>ecycled</w:t>
      </w:r>
      <w:r>
        <w:t xml:space="preserve"> water</w:t>
      </w:r>
      <w:r w:rsidR="00431B4E">
        <w:t>) G</w:t>
      </w:r>
      <w:r w:rsidR="00602B73" w:rsidRPr="00602B73">
        <w:t xml:space="preserve">reenfield NCC for the next regulatory period is </w:t>
      </w:r>
      <w:r>
        <w:t>a mar</w:t>
      </w:r>
      <w:r w:rsidR="00545721">
        <w:t>ginal increase on the charge in</w:t>
      </w:r>
      <w:r w:rsidR="00602B73" w:rsidRPr="00602B73">
        <w:t xml:space="preserve"> the current period. </w:t>
      </w:r>
    </w:p>
    <w:p w14:paraId="4837AB3E" w14:textId="0AAB4632" w:rsidR="00431B4E" w:rsidRDefault="00001CB5" w:rsidP="00C113EE">
      <w:pPr>
        <w:pStyle w:val="ListParagraph"/>
        <w:numPr>
          <w:ilvl w:val="0"/>
          <w:numId w:val="2"/>
        </w:numPr>
      </w:pPr>
      <w:r>
        <w:t>We are proposing to introduce a s</w:t>
      </w:r>
      <w:r w:rsidR="00431B4E">
        <w:t>ewer NCC in the next period.</w:t>
      </w:r>
    </w:p>
    <w:p w14:paraId="64128101" w14:textId="67B09599" w:rsidR="00431B4E" w:rsidRDefault="0042107B" w:rsidP="00C113EE">
      <w:pPr>
        <w:pStyle w:val="ListParagraph"/>
        <w:numPr>
          <w:ilvl w:val="0"/>
          <w:numId w:val="2"/>
        </w:numPr>
      </w:pPr>
      <w:r>
        <w:t>Proposed c</w:t>
      </w:r>
      <w:r w:rsidR="00431B4E">
        <w:t xml:space="preserve">harges are </w:t>
      </w:r>
      <w:r w:rsidR="00001CB5">
        <w:t>increasing</w:t>
      </w:r>
      <w:r w:rsidR="00431B4E">
        <w:t xml:space="preserve"> due to several factors: forecast capex increasing, WACC decreasing, opex increasing and growth rate decreasing over time. </w:t>
      </w:r>
    </w:p>
    <w:p w14:paraId="465D87C8" w14:textId="72E13968" w:rsidR="0042107B" w:rsidRPr="00084AF9" w:rsidRDefault="0042107B" w:rsidP="00C113EE">
      <w:pPr>
        <w:pStyle w:val="ListParagraph"/>
        <w:numPr>
          <w:ilvl w:val="0"/>
          <w:numId w:val="2"/>
        </w:numPr>
      </w:pPr>
      <w:r w:rsidRPr="00084AF9">
        <w:t xml:space="preserve">Proposed charges are </w:t>
      </w:r>
      <w:r w:rsidR="00084AF9" w:rsidRPr="00084AF9">
        <w:t>based on pricing flat for the period, consistent with the engagement undertaken with stakeholders and developers.</w:t>
      </w:r>
    </w:p>
    <w:p w14:paraId="7A9CDBE8" w14:textId="77777777" w:rsidR="00B21B08" w:rsidRPr="00602B73" w:rsidRDefault="00B21B08" w:rsidP="00C113EE"/>
    <w:p w14:paraId="60466868" w14:textId="77777777" w:rsidR="00B21B08" w:rsidRPr="00A43B04" w:rsidRDefault="00B21B08" w:rsidP="00A43B04">
      <w:pPr>
        <w:pStyle w:val="Heading2"/>
        <w:rPr>
          <w:szCs w:val="24"/>
        </w:rPr>
      </w:pPr>
      <w:bookmarkStart w:id="56" w:name="_Toc115768762"/>
      <w:r w:rsidRPr="00A43B04">
        <w:rPr>
          <w:szCs w:val="24"/>
        </w:rPr>
        <w:lastRenderedPageBreak/>
        <w:t>Fyansford</w:t>
      </w:r>
      <w:bookmarkEnd w:id="56"/>
    </w:p>
    <w:p w14:paraId="08203860" w14:textId="77777777" w:rsidR="00B21B08" w:rsidRDefault="00B21B08" w:rsidP="00C113EE">
      <w:r>
        <w:t>A negotiated charge was developed for the Fyansford area in previous pricing submissions. The negotiated charge was developed because the developer of Fyansford was unable to construct (and fund) some reticulation assets that under normal circumstances they would have been responsible for.</w:t>
      </w:r>
    </w:p>
    <w:p w14:paraId="571F5F24" w14:textId="13A81235" w:rsidR="00B21B08" w:rsidRDefault="00B21B08" w:rsidP="00C113EE">
      <w:r>
        <w:t>The Fyansford area is geographically separate from other areas of Geelong and as such was more straightforward to ring fence. As at the start of the 2023 pricing period, the development is approx</w:t>
      </w:r>
      <w:r w:rsidR="008938F5">
        <w:t>imately</w:t>
      </w:r>
      <w:r>
        <w:t xml:space="preserve"> 70% complete and as such Barwon Water proposes to maintain the same negotiated NCC. </w:t>
      </w:r>
    </w:p>
    <w:p w14:paraId="6991BE9E" w14:textId="131B50E0" w:rsidR="00B21B08" w:rsidRPr="00951711" w:rsidRDefault="00B21B08" w:rsidP="00951711">
      <w:pPr>
        <w:pStyle w:val="Caption"/>
        <w:keepNext/>
        <w:spacing w:before="120" w:after="120"/>
        <w:rPr>
          <w:color w:val="414042"/>
        </w:rPr>
      </w:pPr>
      <w:r w:rsidRPr="00951711">
        <w:rPr>
          <w:color w:val="414042"/>
        </w:rPr>
        <w:t xml:space="preserve">Table </w:t>
      </w:r>
      <w:r w:rsidRPr="00951711">
        <w:rPr>
          <w:color w:val="414042"/>
        </w:rPr>
        <w:fldChar w:fldCharType="begin"/>
      </w:r>
      <w:r w:rsidRPr="00951711">
        <w:rPr>
          <w:color w:val="414042"/>
        </w:rPr>
        <w:instrText xml:space="preserve"> SEQ Table \* ARABIC </w:instrText>
      </w:r>
      <w:r w:rsidRPr="00951711">
        <w:rPr>
          <w:color w:val="414042"/>
        </w:rPr>
        <w:fldChar w:fldCharType="separate"/>
      </w:r>
      <w:r w:rsidR="00504C53" w:rsidRPr="00951711">
        <w:rPr>
          <w:color w:val="414042"/>
        </w:rPr>
        <w:t>7</w:t>
      </w:r>
      <w:r w:rsidRPr="00951711">
        <w:rPr>
          <w:color w:val="414042"/>
        </w:rPr>
        <w:fldChar w:fldCharType="end"/>
      </w:r>
      <w:r w:rsidRPr="00951711">
        <w:rPr>
          <w:color w:val="414042"/>
        </w:rPr>
        <w:t>: Fyansford Negotiated New Customer Contributions (in $real 2022/23)</w:t>
      </w:r>
    </w:p>
    <w:tbl>
      <w:tblPr>
        <w:tblStyle w:val="TableGrid1"/>
        <w:tblW w:w="8249" w:type="dxa"/>
        <w:tblInd w:w="108"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3288"/>
        <w:gridCol w:w="2480"/>
        <w:gridCol w:w="2481"/>
      </w:tblGrid>
      <w:tr w:rsidR="00B21B08" w:rsidRPr="00602B73" w14:paraId="0C942852" w14:textId="77777777" w:rsidTr="00951711">
        <w:trPr>
          <w:trHeight w:val="283"/>
        </w:trPr>
        <w:tc>
          <w:tcPr>
            <w:tcW w:w="3288" w:type="dxa"/>
            <w:shd w:val="clear" w:color="auto" w:fill="008998"/>
            <w:vAlign w:val="center"/>
          </w:tcPr>
          <w:p w14:paraId="174AABBC" w14:textId="77777777" w:rsidR="00B21B08" w:rsidRPr="00951711" w:rsidRDefault="00B21B08" w:rsidP="00951711">
            <w:pPr>
              <w:spacing w:before="60" w:after="40"/>
              <w:rPr>
                <w:b/>
                <w:color w:val="EEECE1" w:themeColor="background2"/>
              </w:rPr>
            </w:pPr>
            <w:r w:rsidRPr="00951711">
              <w:rPr>
                <w:b/>
                <w:color w:val="EEECE1" w:themeColor="background2"/>
              </w:rPr>
              <w:t>Service</w:t>
            </w:r>
          </w:p>
        </w:tc>
        <w:tc>
          <w:tcPr>
            <w:tcW w:w="2480" w:type="dxa"/>
            <w:shd w:val="clear" w:color="auto" w:fill="008998"/>
            <w:vAlign w:val="center"/>
          </w:tcPr>
          <w:p w14:paraId="26AB1A33" w14:textId="59F87F3F" w:rsidR="00B21B08" w:rsidRPr="00951711" w:rsidRDefault="00B21B08" w:rsidP="00951711">
            <w:pPr>
              <w:spacing w:before="60" w:after="40"/>
              <w:rPr>
                <w:b/>
                <w:color w:val="EEECE1" w:themeColor="background2"/>
              </w:rPr>
            </w:pPr>
            <w:r w:rsidRPr="00951711">
              <w:rPr>
                <w:b/>
                <w:color w:val="EEECE1" w:themeColor="background2"/>
              </w:rPr>
              <w:t>Current NCCs applying in 2022-23</w:t>
            </w:r>
          </w:p>
        </w:tc>
        <w:tc>
          <w:tcPr>
            <w:tcW w:w="2481" w:type="dxa"/>
            <w:shd w:val="clear" w:color="auto" w:fill="008998"/>
            <w:vAlign w:val="center"/>
          </w:tcPr>
          <w:p w14:paraId="0D18D446" w14:textId="77777777" w:rsidR="00B21B08" w:rsidRPr="00951711" w:rsidRDefault="00B21B08" w:rsidP="00951711">
            <w:pPr>
              <w:spacing w:before="60" w:after="40"/>
              <w:rPr>
                <w:b/>
                <w:color w:val="EEECE1" w:themeColor="background2"/>
              </w:rPr>
            </w:pPr>
            <w:r w:rsidRPr="00951711">
              <w:rPr>
                <w:b/>
                <w:color w:val="EEECE1" w:themeColor="background2"/>
              </w:rPr>
              <w:t>Proposed NCCs for the next regulatory period</w:t>
            </w:r>
          </w:p>
        </w:tc>
      </w:tr>
      <w:tr w:rsidR="00B21B08" w:rsidRPr="00602B73" w14:paraId="7E0F821C" w14:textId="77777777" w:rsidTr="00951711">
        <w:trPr>
          <w:trHeight w:val="498"/>
        </w:trPr>
        <w:tc>
          <w:tcPr>
            <w:tcW w:w="3288" w:type="dxa"/>
            <w:shd w:val="clear" w:color="auto" w:fill="auto"/>
            <w:vAlign w:val="center"/>
          </w:tcPr>
          <w:p w14:paraId="2ADB8FAE" w14:textId="77777777" w:rsidR="00B21B08" w:rsidRPr="00602B73" w:rsidRDefault="00B21B08" w:rsidP="00951711">
            <w:pPr>
              <w:spacing w:before="60" w:after="40"/>
            </w:pPr>
            <w:r w:rsidRPr="00602B73">
              <w:t>Water</w:t>
            </w:r>
          </w:p>
        </w:tc>
        <w:tc>
          <w:tcPr>
            <w:tcW w:w="2480" w:type="dxa"/>
            <w:shd w:val="clear" w:color="auto" w:fill="auto"/>
            <w:vAlign w:val="center"/>
          </w:tcPr>
          <w:p w14:paraId="4423E166" w14:textId="77777777" w:rsidR="00B21B08" w:rsidRPr="00602B73" w:rsidRDefault="00B21B08" w:rsidP="00951711">
            <w:pPr>
              <w:spacing w:before="60" w:after="40"/>
            </w:pPr>
            <w:r w:rsidRPr="00602B73">
              <w:t>$2,396</w:t>
            </w:r>
          </w:p>
        </w:tc>
        <w:tc>
          <w:tcPr>
            <w:tcW w:w="2481" w:type="dxa"/>
            <w:shd w:val="clear" w:color="auto" w:fill="auto"/>
            <w:vAlign w:val="center"/>
          </w:tcPr>
          <w:p w14:paraId="2F8AE211" w14:textId="77777777" w:rsidR="00B21B08" w:rsidRPr="00602B73" w:rsidRDefault="00B21B08" w:rsidP="00951711">
            <w:pPr>
              <w:spacing w:before="60" w:after="40"/>
              <w:rPr>
                <w:b/>
              </w:rPr>
            </w:pPr>
            <w:r w:rsidRPr="00602B73">
              <w:t>$2,396</w:t>
            </w:r>
          </w:p>
        </w:tc>
      </w:tr>
      <w:tr w:rsidR="00B21B08" w:rsidRPr="00602B73" w14:paraId="4021D014" w14:textId="77777777" w:rsidTr="00951711">
        <w:trPr>
          <w:trHeight w:val="602"/>
        </w:trPr>
        <w:tc>
          <w:tcPr>
            <w:tcW w:w="3288" w:type="dxa"/>
            <w:shd w:val="clear" w:color="auto" w:fill="auto"/>
          </w:tcPr>
          <w:p w14:paraId="33FF6781" w14:textId="77777777" w:rsidR="00B21B08" w:rsidRPr="008938F5" w:rsidRDefault="00B21B08" w:rsidP="00951711">
            <w:pPr>
              <w:spacing w:before="60" w:after="40"/>
              <w:rPr>
                <w:b/>
              </w:rPr>
            </w:pPr>
            <w:r w:rsidRPr="00997541">
              <w:t>Sewerage</w:t>
            </w:r>
          </w:p>
        </w:tc>
        <w:tc>
          <w:tcPr>
            <w:tcW w:w="2480" w:type="dxa"/>
            <w:shd w:val="clear" w:color="auto" w:fill="auto"/>
          </w:tcPr>
          <w:p w14:paraId="6832991A" w14:textId="77777777" w:rsidR="00B21B08" w:rsidRPr="008938F5" w:rsidRDefault="00B21B08" w:rsidP="00951711">
            <w:pPr>
              <w:spacing w:before="60" w:after="40"/>
              <w:rPr>
                <w:b/>
              </w:rPr>
            </w:pPr>
            <w:r w:rsidRPr="00997541">
              <w:t>$1,007</w:t>
            </w:r>
          </w:p>
        </w:tc>
        <w:tc>
          <w:tcPr>
            <w:tcW w:w="2481" w:type="dxa"/>
            <w:shd w:val="clear" w:color="auto" w:fill="auto"/>
          </w:tcPr>
          <w:p w14:paraId="78286118" w14:textId="77777777" w:rsidR="00B21B08" w:rsidRPr="008938F5" w:rsidRDefault="00B21B08" w:rsidP="00951711">
            <w:pPr>
              <w:spacing w:before="60" w:after="40"/>
              <w:rPr>
                <w:b/>
              </w:rPr>
            </w:pPr>
            <w:r w:rsidRPr="00997541">
              <w:t>$1,007</w:t>
            </w:r>
          </w:p>
        </w:tc>
      </w:tr>
      <w:tr w:rsidR="00B21B08" w:rsidRPr="00602B73" w14:paraId="6AD099CA" w14:textId="77777777" w:rsidTr="00951711">
        <w:trPr>
          <w:trHeight w:val="602"/>
        </w:trPr>
        <w:tc>
          <w:tcPr>
            <w:tcW w:w="3288" w:type="dxa"/>
            <w:shd w:val="clear" w:color="auto" w:fill="auto"/>
            <w:vAlign w:val="center"/>
          </w:tcPr>
          <w:p w14:paraId="6C385A91" w14:textId="77777777" w:rsidR="00B21B08" w:rsidRPr="00602B73" w:rsidRDefault="00B21B08" w:rsidP="00951711">
            <w:pPr>
              <w:spacing w:before="60" w:after="40"/>
            </w:pPr>
            <w:r w:rsidRPr="00602B73">
              <w:t>Total per equivalent residential lot</w:t>
            </w:r>
          </w:p>
        </w:tc>
        <w:tc>
          <w:tcPr>
            <w:tcW w:w="2480" w:type="dxa"/>
            <w:shd w:val="clear" w:color="auto" w:fill="auto"/>
            <w:vAlign w:val="center"/>
          </w:tcPr>
          <w:p w14:paraId="48F75B92" w14:textId="77777777" w:rsidR="00B21B08" w:rsidRPr="00602B73" w:rsidRDefault="00B21B08" w:rsidP="00951711">
            <w:pPr>
              <w:spacing w:before="60" w:after="40"/>
            </w:pPr>
            <w:r w:rsidRPr="00602B73">
              <w:t>$3,403</w:t>
            </w:r>
          </w:p>
        </w:tc>
        <w:tc>
          <w:tcPr>
            <w:tcW w:w="2481" w:type="dxa"/>
            <w:shd w:val="clear" w:color="auto" w:fill="auto"/>
            <w:vAlign w:val="center"/>
          </w:tcPr>
          <w:p w14:paraId="5480C349" w14:textId="77777777" w:rsidR="00B21B08" w:rsidRPr="00602B73" w:rsidRDefault="00B21B08" w:rsidP="00951711">
            <w:pPr>
              <w:spacing w:before="60" w:after="40"/>
            </w:pPr>
            <w:r w:rsidRPr="00602B73">
              <w:t>$3,403</w:t>
            </w:r>
          </w:p>
        </w:tc>
      </w:tr>
    </w:tbl>
    <w:p w14:paraId="5FA8C527" w14:textId="77777777" w:rsidR="00B21B08" w:rsidRDefault="00B21B08" w:rsidP="00C113EE"/>
    <w:p w14:paraId="60A54EA8" w14:textId="77777777" w:rsidR="00602B73" w:rsidRPr="00602B73" w:rsidRDefault="00602B73" w:rsidP="00C113EE"/>
    <w:p w14:paraId="52B04479" w14:textId="50DCA017" w:rsidR="00602B73" w:rsidRDefault="00602B73" w:rsidP="00C113EE"/>
    <w:p w14:paraId="3AF67CC1" w14:textId="6AEFBFC6" w:rsidR="00602B73" w:rsidRDefault="00602B73" w:rsidP="00C113EE"/>
    <w:p w14:paraId="0A9CFCA1" w14:textId="77777777" w:rsidR="00602B73" w:rsidRDefault="00602B73" w:rsidP="00C113EE"/>
    <w:p w14:paraId="383FCB10" w14:textId="77777777" w:rsidR="00602B73" w:rsidRPr="00602B73" w:rsidRDefault="00602B73" w:rsidP="00C113EE"/>
    <w:p w14:paraId="4AA2DEF4" w14:textId="77777777" w:rsidR="00951711" w:rsidRDefault="00951711" w:rsidP="00A43B04">
      <w:pPr>
        <w:pStyle w:val="Heading1"/>
        <w:sectPr w:rsidR="00951711" w:rsidSect="00710521">
          <w:pgSz w:w="11906" w:h="16838"/>
          <w:pgMar w:top="1440" w:right="1440" w:bottom="1440" w:left="1440" w:header="708" w:footer="708" w:gutter="0"/>
          <w:cols w:space="708"/>
          <w:docGrid w:linePitch="360"/>
        </w:sectPr>
      </w:pPr>
    </w:p>
    <w:p w14:paraId="366F7D79" w14:textId="6B3E2874" w:rsidR="00411504" w:rsidRDefault="00411504" w:rsidP="008A4EE2">
      <w:pPr>
        <w:pStyle w:val="Title"/>
      </w:pPr>
      <w:bookmarkStart w:id="57" w:name="_Toc115768763"/>
      <w:r>
        <w:lastRenderedPageBreak/>
        <w:t>How consultation with developers has informed proposed charges</w:t>
      </w:r>
      <w:bookmarkEnd w:id="57"/>
    </w:p>
    <w:p w14:paraId="69A9FD89" w14:textId="3F539443" w:rsidR="00602B73" w:rsidRPr="00602B73" w:rsidRDefault="00602B73" w:rsidP="00C113EE">
      <w:r w:rsidRPr="00602B73">
        <w:t xml:space="preserve">Barwon Water </w:t>
      </w:r>
      <w:r w:rsidR="00047F89">
        <w:t>undertook engagement with</w:t>
      </w:r>
      <w:r w:rsidRPr="00602B73">
        <w:t xml:space="preserve"> the land development industry and customers (including consultants) </w:t>
      </w:r>
      <w:r w:rsidR="00047F89">
        <w:t xml:space="preserve">to </w:t>
      </w:r>
      <w:r w:rsidRPr="00602B73">
        <w:t>inform</w:t>
      </w:r>
      <w:r w:rsidR="00047F89">
        <w:t xml:space="preserve"> them</w:t>
      </w:r>
      <w:r w:rsidRPr="00602B73">
        <w:t xml:space="preserve"> about the proposed NCC to apply from 2023 to 2028, as well as any proposed changes to the NCC framework</w:t>
      </w:r>
      <w:r w:rsidR="00047F89">
        <w:t>, and provided opportunity for feedback.</w:t>
      </w:r>
    </w:p>
    <w:p w14:paraId="39706B47" w14:textId="2F1D3589" w:rsidR="00602B73" w:rsidRPr="00602B73" w:rsidRDefault="00047F89" w:rsidP="00C113EE">
      <w:r>
        <w:t>Engagement</w:t>
      </w:r>
      <w:r w:rsidR="00602B73" w:rsidRPr="00602B73">
        <w:t xml:space="preserve"> involve</w:t>
      </w:r>
      <w:r w:rsidR="00001CB5">
        <w:t>d</w:t>
      </w:r>
      <w:r w:rsidR="00602B73" w:rsidRPr="00602B73">
        <w:t xml:space="preserve"> the following key steps:</w:t>
      </w:r>
    </w:p>
    <w:p w14:paraId="28D05BF6" w14:textId="0080162E" w:rsidR="00602B73" w:rsidRDefault="00602B73" w:rsidP="00C113EE">
      <w:pPr>
        <w:pStyle w:val="ListParagraph"/>
        <w:numPr>
          <w:ilvl w:val="0"/>
          <w:numId w:val="3"/>
        </w:numPr>
      </w:pPr>
      <w:r w:rsidRPr="00602B73">
        <w:t xml:space="preserve">Initial mail out in </w:t>
      </w:r>
      <w:r w:rsidR="000B5C41">
        <w:t>late April / early May 2022</w:t>
      </w:r>
      <w:r w:rsidR="000B5C41" w:rsidRPr="00602B73">
        <w:t xml:space="preserve"> </w:t>
      </w:r>
      <w:r w:rsidRPr="00602B73">
        <w:t>advising of upcoming NCC consultation and opportunities to register interest.</w:t>
      </w:r>
    </w:p>
    <w:p w14:paraId="12143364" w14:textId="3AC58EEB" w:rsidR="00181C54" w:rsidRDefault="000B5C41" w:rsidP="00C113EE">
      <w:pPr>
        <w:pStyle w:val="ListParagraph"/>
        <w:numPr>
          <w:ilvl w:val="0"/>
          <w:numId w:val="3"/>
        </w:numPr>
      </w:pPr>
      <w:r>
        <w:t>An</w:t>
      </w:r>
      <w:r w:rsidR="002D197C" w:rsidRPr="000B5C41">
        <w:t xml:space="preserve"> online forum on the draft prices with 24 developers attending live and seven views of the recording. </w:t>
      </w:r>
      <w:r>
        <w:t xml:space="preserve">A follow up email with the draft NCC framework, recording and slides (with the draft prices) </w:t>
      </w:r>
      <w:r w:rsidR="00001CB5">
        <w:t xml:space="preserve">was </w:t>
      </w:r>
      <w:r>
        <w:t xml:space="preserve">sent 19 May 2022. </w:t>
      </w:r>
    </w:p>
    <w:p w14:paraId="2C0436F5" w14:textId="572C8734" w:rsidR="00181C54" w:rsidRPr="000B5C41" w:rsidRDefault="00001CB5" w:rsidP="00C113EE">
      <w:pPr>
        <w:pStyle w:val="ListParagraph"/>
        <w:numPr>
          <w:ilvl w:val="0"/>
          <w:numId w:val="3"/>
        </w:numPr>
      </w:pPr>
      <w:r>
        <w:t>T</w:t>
      </w:r>
      <w:r w:rsidR="002D197C" w:rsidRPr="000B5C41">
        <w:t xml:space="preserve">he </w:t>
      </w:r>
      <w:r w:rsidR="000B5C41">
        <w:t xml:space="preserve">draft documents </w:t>
      </w:r>
      <w:r>
        <w:t xml:space="preserve">made available </w:t>
      </w:r>
      <w:r w:rsidR="000B5C41">
        <w:t xml:space="preserve">for comment </w:t>
      </w:r>
      <w:r w:rsidR="002D197C" w:rsidRPr="000B5C41">
        <w:t xml:space="preserve">have </w:t>
      </w:r>
      <w:r>
        <w:t>been downloaded more than 190 times since the online forum</w:t>
      </w:r>
    </w:p>
    <w:p w14:paraId="38BD0E40" w14:textId="77777777" w:rsidR="00181C54" w:rsidRPr="000B5C41" w:rsidRDefault="002D197C" w:rsidP="00C113EE">
      <w:pPr>
        <w:pStyle w:val="ListParagraph"/>
        <w:numPr>
          <w:ilvl w:val="1"/>
          <w:numId w:val="3"/>
        </w:numPr>
      </w:pPr>
      <w:r w:rsidRPr="000B5C41">
        <w:t xml:space="preserve">105 downloads of the draft NCC framework </w:t>
      </w:r>
    </w:p>
    <w:p w14:paraId="47D87E66" w14:textId="77777777" w:rsidR="00181C54" w:rsidRPr="000B5C41" w:rsidRDefault="002D197C" w:rsidP="00C113EE">
      <w:pPr>
        <w:pStyle w:val="ListParagraph"/>
        <w:numPr>
          <w:ilvl w:val="1"/>
          <w:numId w:val="3"/>
        </w:numPr>
      </w:pPr>
      <w:r w:rsidRPr="000B5C41">
        <w:t xml:space="preserve">58 downloads of the NCC slides from the webinar </w:t>
      </w:r>
    </w:p>
    <w:p w14:paraId="5775DE07" w14:textId="02FAF368" w:rsidR="00181C54" w:rsidRDefault="002D197C" w:rsidP="00C113EE">
      <w:pPr>
        <w:pStyle w:val="ListParagraph"/>
        <w:numPr>
          <w:ilvl w:val="1"/>
          <w:numId w:val="3"/>
        </w:numPr>
      </w:pPr>
      <w:r w:rsidRPr="000B5C41">
        <w:t xml:space="preserve">34 downloads of the NCC webinar Q&amp;As </w:t>
      </w:r>
    </w:p>
    <w:p w14:paraId="705885D7" w14:textId="1C130BCC" w:rsidR="000B5C41" w:rsidRPr="000B5C41" w:rsidRDefault="000B5C41" w:rsidP="00C113EE">
      <w:pPr>
        <w:pStyle w:val="ListParagraph"/>
        <w:numPr>
          <w:ilvl w:val="1"/>
          <w:numId w:val="3"/>
        </w:numPr>
      </w:pPr>
      <w:r>
        <w:t xml:space="preserve">3 formal submissions from consultants or developers </w:t>
      </w:r>
    </w:p>
    <w:p w14:paraId="3E74C8F1" w14:textId="624BA756" w:rsidR="00602B73" w:rsidRPr="00602B73" w:rsidRDefault="00001CB5" w:rsidP="00C113EE">
      <w:pPr>
        <w:pStyle w:val="ListParagraph"/>
        <w:numPr>
          <w:ilvl w:val="0"/>
          <w:numId w:val="3"/>
        </w:numPr>
      </w:pPr>
      <w:r>
        <w:t xml:space="preserve">The draft </w:t>
      </w:r>
      <w:r w:rsidR="00602B73" w:rsidRPr="00602B73">
        <w:t xml:space="preserve">updated NCC Framework document </w:t>
      </w:r>
      <w:r>
        <w:t xml:space="preserve">is hosted </w:t>
      </w:r>
      <w:r w:rsidR="00602B73" w:rsidRPr="00602B73">
        <w:t>on Barwon Water</w:t>
      </w:r>
      <w:r>
        <w:t>’s</w:t>
      </w:r>
      <w:r w:rsidR="00602B73" w:rsidRPr="00602B73">
        <w:t xml:space="preserve"> web page.</w:t>
      </w:r>
    </w:p>
    <w:p w14:paraId="214D8AA3" w14:textId="12913D02" w:rsidR="00602B73" w:rsidRPr="00602B73" w:rsidRDefault="00602B73" w:rsidP="00C113EE">
      <w:pPr>
        <w:pStyle w:val="ListParagraph"/>
        <w:numPr>
          <w:ilvl w:val="0"/>
          <w:numId w:val="3"/>
        </w:numPr>
      </w:pPr>
      <w:r w:rsidRPr="00602B73">
        <w:t xml:space="preserve">Phone calls and one-on-one briefings </w:t>
      </w:r>
      <w:r w:rsidR="00001CB5">
        <w:t xml:space="preserve">have been conducted </w:t>
      </w:r>
      <w:r w:rsidRPr="00602B73">
        <w:t>as requested.</w:t>
      </w:r>
      <w:bookmarkStart w:id="58" w:name="_Toc485637259"/>
      <w:bookmarkStart w:id="59" w:name="_Toc485637261"/>
      <w:bookmarkStart w:id="60" w:name="_Toc485637262"/>
      <w:bookmarkStart w:id="61" w:name="_Toc485637263"/>
      <w:bookmarkStart w:id="62" w:name="_Toc485637264"/>
      <w:bookmarkEnd w:id="58"/>
      <w:bookmarkEnd w:id="59"/>
      <w:bookmarkEnd w:id="60"/>
      <w:bookmarkEnd w:id="61"/>
      <w:bookmarkEnd w:id="62"/>
    </w:p>
    <w:p w14:paraId="772F3B5C" w14:textId="41394824" w:rsidR="007B6B51" w:rsidRDefault="00001CB5" w:rsidP="00C113EE">
      <w:r>
        <w:t xml:space="preserve">While there have been high rates of engagement with the material that has been made available, very limited feedback has been received directly from developers about the proposed changes to NCCs. While NCCs have increased on the previous period, developers are generally understanding </w:t>
      </w:r>
      <w:r w:rsidR="00125D55">
        <w:t>about the drivers for this increase, which is relatively marginal and not as material as other factors influencing costs for developers.</w:t>
      </w:r>
      <w:r w:rsidR="00745A71">
        <w:t xml:space="preserve"> Additional informal feedback has highlighted the importance to developers that growth related</w:t>
      </w:r>
      <w:r w:rsidR="00CC7584">
        <w:t xml:space="preserve"> infrastructure</w:t>
      </w:r>
      <w:r w:rsidR="00745A71">
        <w:t xml:space="preserve"> is implemented</w:t>
      </w:r>
      <w:r w:rsidR="00CC7584">
        <w:t xml:space="preserve"> in a timely manner to ensure that that this does not constrain growth</w:t>
      </w:r>
      <w:r w:rsidR="00A70328">
        <w:t xml:space="preserve">.  </w:t>
      </w:r>
    </w:p>
    <w:p w14:paraId="226562E9" w14:textId="09A76DE2" w:rsidR="00A4275E" w:rsidRPr="00602B73" w:rsidRDefault="00125D55" w:rsidP="00C113EE">
      <w:r>
        <w:t xml:space="preserve">Given the opportunity provided for engagement on our proposed charges, the limited direct feedback can be reasonably interpreted as acceptance of the NCCs proposed. </w:t>
      </w:r>
    </w:p>
    <w:p w14:paraId="11BF3A6A" w14:textId="77777777" w:rsidR="00E56BC4" w:rsidRDefault="00E56BC4" w:rsidP="00C113EE"/>
    <w:p w14:paraId="6A5CDC78" w14:textId="77777777" w:rsidR="00DC77D1" w:rsidRPr="00273ADA" w:rsidRDefault="00DC77D1" w:rsidP="00C113EE"/>
    <w:p w14:paraId="08FD364D" w14:textId="0AAC9B07" w:rsidR="009702B2" w:rsidRPr="0067252D" w:rsidRDefault="009702B2" w:rsidP="00C113EE">
      <w:bookmarkStart w:id="63" w:name="_Toc53401055"/>
      <w:bookmarkStart w:id="64" w:name="_Toc53401056"/>
      <w:bookmarkStart w:id="65" w:name="_Toc53401069"/>
      <w:bookmarkStart w:id="66" w:name="_Toc53401070"/>
      <w:bookmarkStart w:id="67" w:name="_Toc53401071"/>
      <w:bookmarkStart w:id="68" w:name="_Toc53401072"/>
      <w:bookmarkStart w:id="69" w:name="_Toc53401073"/>
      <w:bookmarkStart w:id="70" w:name="_Toc53401074"/>
      <w:bookmarkStart w:id="71" w:name="_Toc53401075"/>
      <w:bookmarkStart w:id="72" w:name="_Toc53401076"/>
      <w:bookmarkStart w:id="73" w:name="_Toc53401077"/>
      <w:bookmarkStart w:id="74" w:name="_Toc53401078"/>
      <w:bookmarkStart w:id="75" w:name="_Toc53401079"/>
      <w:bookmarkStart w:id="76" w:name="_Toc53401080"/>
      <w:bookmarkStart w:id="77" w:name="_Toc53401081"/>
      <w:bookmarkStart w:id="78" w:name="_Toc53401082"/>
      <w:bookmarkStart w:id="79" w:name="_Toc53401083"/>
      <w:bookmarkStart w:id="80" w:name="_Toc53401084"/>
      <w:bookmarkStart w:id="81" w:name="_Toc53401085"/>
      <w:bookmarkStart w:id="82" w:name="_Toc53401086"/>
      <w:bookmarkStart w:id="83" w:name="_Toc53401087"/>
      <w:bookmarkStart w:id="84" w:name="_Toc53401088"/>
      <w:bookmarkStart w:id="85" w:name="_Toc53401089"/>
      <w:bookmarkStart w:id="86" w:name="_Toc53401090"/>
      <w:bookmarkStart w:id="87" w:name="_Toc53401091"/>
      <w:bookmarkStart w:id="88" w:name="_Toc53401092"/>
      <w:bookmarkStart w:id="89" w:name="_Toc53401093"/>
      <w:bookmarkStart w:id="90" w:name="_Toc53401094"/>
      <w:bookmarkStart w:id="91" w:name="_Toc53401095"/>
      <w:bookmarkStart w:id="92" w:name="_Toc53401096"/>
      <w:bookmarkStart w:id="93" w:name="_Toc53401097"/>
      <w:bookmarkStart w:id="94" w:name="_Toc53401098"/>
      <w:bookmarkStart w:id="95" w:name="_Toc53401099"/>
      <w:bookmarkStart w:id="96" w:name="_Toc53401100"/>
      <w:bookmarkStart w:id="97" w:name="_Toc53401101"/>
      <w:bookmarkStart w:id="98" w:name="_Toc53401102"/>
      <w:bookmarkStart w:id="99" w:name="_Toc53401103"/>
      <w:bookmarkStart w:id="100" w:name="_Toc53401104"/>
      <w:bookmarkStart w:id="101" w:name="_Toc53401105"/>
      <w:bookmarkStart w:id="102" w:name="_Toc53401106"/>
      <w:bookmarkStart w:id="103" w:name="_Toc53401107"/>
      <w:bookmarkStart w:id="104" w:name="_Toc53401108"/>
      <w:bookmarkStart w:id="105" w:name="_Toc53401109"/>
      <w:bookmarkStart w:id="106" w:name="_Toc53401110"/>
      <w:bookmarkStart w:id="107" w:name="_Toc53401111"/>
      <w:bookmarkStart w:id="108" w:name="_Toc53401112"/>
      <w:bookmarkStart w:id="109" w:name="_Toc53401113"/>
      <w:bookmarkStart w:id="110" w:name="_Toc53401114"/>
      <w:bookmarkStart w:id="111" w:name="_Toc53401115"/>
      <w:bookmarkStart w:id="112" w:name="_Toc53401116"/>
      <w:bookmarkStart w:id="113" w:name="_Toc53401117"/>
      <w:bookmarkStart w:id="114" w:name="_Toc53401137"/>
      <w:bookmarkStart w:id="115" w:name="_Toc53401138"/>
      <w:bookmarkStart w:id="116" w:name="_Toc53401139"/>
      <w:bookmarkStart w:id="117" w:name="_Toc53401140"/>
      <w:bookmarkStart w:id="118" w:name="_Toc53401141"/>
      <w:bookmarkStart w:id="119" w:name="_Toc53401142"/>
      <w:bookmarkStart w:id="120" w:name="_Toc53401214"/>
      <w:bookmarkStart w:id="121" w:name="_Toc53401215"/>
      <w:bookmarkStart w:id="122" w:name="_Toc53401216"/>
      <w:bookmarkStart w:id="123" w:name="_Toc53401217"/>
      <w:bookmarkStart w:id="124" w:name="_Toc53401218"/>
      <w:bookmarkStart w:id="125" w:name="_Toc53401219"/>
      <w:bookmarkStart w:id="126" w:name="_Toc53401220"/>
      <w:bookmarkStart w:id="127" w:name="_Toc53401221"/>
      <w:bookmarkStart w:id="128" w:name="_Toc53401222"/>
      <w:bookmarkStart w:id="129" w:name="_Toc53401223"/>
      <w:bookmarkStart w:id="130" w:name="_Toc53401224"/>
      <w:bookmarkStart w:id="131" w:name="_Toc53401225"/>
      <w:bookmarkStart w:id="132" w:name="_Toc53401226"/>
      <w:bookmarkStart w:id="133" w:name="_Toc53401227"/>
      <w:bookmarkStart w:id="134" w:name="_Toc53401228"/>
      <w:bookmarkStart w:id="135" w:name="_Toc53401229"/>
      <w:bookmarkStart w:id="136" w:name="_Toc53401230"/>
      <w:bookmarkStart w:id="137" w:name="_Toc53401231"/>
      <w:bookmarkStart w:id="138" w:name="_Toc53401248"/>
      <w:bookmarkStart w:id="139" w:name="_Toc53401249"/>
      <w:bookmarkStart w:id="140" w:name="_Toc53401250"/>
      <w:bookmarkStart w:id="141" w:name="_Toc53401251"/>
      <w:bookmarkStart w:id="142" w:name="_Toc53401252"/>
      <w:bookmarkStart w:id="143" w:name="_Toc53401253"/>
      <w:bookmarkStart w:id="144" w:name="_Toc53401254"/>
      <w:bookmarkStart w:id="145" w:name="_Toc53401255"/>
      <w:bookmarkStart w:id="146" w:name="_Toc53401256"/>
      <w:bookmarkStart w:id="147" w:name="_Toc53401257"/>
      <w:bookmarkStart w:id="148" w:name="_Toc53401258"/>
      <w:bookmarkStart w:id="149" w:name="_Toc53401259"/>
      <w:bookmarkStart w:id="150" w:name="_Toc53401260"/>
      <w:bookmarkStart w:id="151" w:name="_Toc53401261"/>
      <w:bookmarkStart w:id="152" w:name="_Toc53401262"/>
      <w:bookmarkStart w:id="153" w:name="_Toc53401263"/>
      <w:bookmarkStart w:id="154" w:name="_Toc53401351"/>
      <w:bookmarkStart w:id="155" w:name="_Toc53401352"/>
      <w:bookmarkStart w:id="156" w:name="_Toc53401353"/>
      <w:bookmarkStart w:id="157" w:name="_Toc53401354"/>
      <w:bookmarkStart w:id="158" w:name="_Toc53401390"/>
      <w:bookmarkStart w:id="159" w:name="_Toc53401391"/>
      <w:bookmarkStart w:id="160" w:name="_Toc53401392"/>
      <w:bookmarkStart w:id="161" w:name="_Toc53401393"/>
      <w:bookmarkStart w:id="162" w:name="_Toc53401394"/>
      <w:bookmarkStart w:id="163" w:name="_Toc53401395"/>
      <w:bookmarkStart w:id="164" w:name="_Toc53401396"/>
      <w:bookmarkStart w:id="165" w:name="_Toc5340139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sectPr w:rsidR="009702B2" w:rsidRPr="0067252D" w:rsidSect="007105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C6C8" w14:textId="77777777" w:rsidR="000D1377" w:rsidRDefault="000D1377" w:rsidP="00C113EE">
      <w:r>
        <w:separator/>
      </w:r>
    </w:p>
  </w:endnote>
  <w:endnote w:type="continuationSeparator" w:id="0">
    <w:p w14:paraId="2BBC0DBE" w14:textId="77777777" w:rsidR="000D1377" w:rsidRDefault="000D1377" w:rsidP="00C1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36D9" w14:textId="77777777" w:rsidR="00072BDD" w:rsidRDefault="00072BDD" w:rsidP="00C11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76622"/>
      <w:docPartObj>
        <w:docPartGallery w:val="Page Numbers (Bottom of Page)"/>
        <w:docPartUnique/>
      </w:docPartObj>
    </w:sdtPr>
    <w:sdtContent>
      <w:p w14:paraId="0E7BE46D" w14:textId="136920C8" w:rsidR="00072BDD" w:rsidRPr="00350335" w:rsidRDefault="00072BDD" w:rsidP="00C113EE">
        <w:pPr>
          <w:pStyle w:val="Footer"/>
        </w:pPr>
        <w:r w:rsidRPr="00350335">
          <w:fldChar w:fldCharType="begin"/>
        </w:r>
        <w:r w:rsidRPr="00350335">
          <w:instrText xml:space="preserve"> PAGE   \* MERGEFORMAT </w:instrText>
        </w:r>
        <w:r w:rsidRPr="00350335">
          <w:fldChar w:fldCharType="separate"/>
        </w:r>
        <w:r w:rsidR="002B72FD">
          <w:rPr>
            <w:noProof/>
          </w:rPr>
          <w:t>18</w:t>
        </w:r>
        <w:r w:rsidRPr="00350335">
          <w:fldChar w:fldCharType="end"/>
        </w:r>
      </w:p>
    </w:sdtContent>
  </w:sdt>
  <w:p w14:paraId="41F6DD60" w14:textId="77777777" w:rsidR="00072BDD" w:rsidRDefault="00072BDD" w:rsidP="00C1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AE81" w14:textId="77777777" w:rsidR="000D1377" w:rsidRDefault="000D1377" w:rsidP="00C113EE">
      <w:r>
        <w:separator/>
      </w:r>
    </w:p>
  </w:footnote>
  <w:footnote w:type="continuationSeparator" w:id="0">
    <w:p w14:paraId="3380447F" w14:textId="77777777" w:rsidR="000D1377" w:rsidRDefault="000D1377" w:rsidP="00C1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4D9B" w14:textId="77777777" w:rsidR="00072BDD" w:rsidRDefault="00072BDD" w:rsidP="00C1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446"/>
    <w:multiLevelType w:val="hybridMultilevel"/>
    <w:tmpl w:val="4A80785A"/>
    <w:lvl w:ilvl="0" w:tplc="BA98E288">
      <w:start w:val="1"/>
      <w:numFmt w:val="bullet"/>
      <w:lvlText w:val="•"/>
      <w:lvlJc w:val="left"/>
      <w:pPr>
        <w:tabs>
          <w:tab w:val="num" w:pos="720"/>
        </w:tabs>
        <w:ind w:left="720" w:hanging="360"/>
      </w:pPr>
      <w:rPr>
        <w:rFonts w:ascii="Arial" w:hAnsi="Arial" w:hint="default"/>
      </w:rPr>
    </w:lvl>
    <w:lvl w:ilvl="1" w:tplc="FE103D2C">
      <w:start w:val="279"/>
      <w:numFmt w:val="bullet"/>
      <w:lvlText w:val="•"/>
      <w:lvlJc w:val="left"/>
      <w:pPr>
        <w:tabs>
          <w:tab w:val="num" w:pos="1440"/>
        </w:tabs>
        <w:ind w:left="1440" w:hanging="360"/>
      </w:pPr>
      <w:rPr>
        <w:rFonts w:ascii="Arial" w:hAnsi="Arial" w:hint="default"/>
      </w:rPr>
    </w:lvl>
    <w:lvl w:ilvl="2" w:tplc="1FE87E18" w:tentative="1">
      <w:start w:val="1"/>
      <w:numFmt w:val="bullet"/>
      <w:lvlText w:val="•"/>
      <w:lvlJc w:val="left"/>
      <w:pPr>
        <w:tabs>
          <w:tab w:val="num" w:pos="2160"/>
        </w:tabs>
        <w:ind w:left="2160" w:hanging="360"/>
      </w:pPr>
      <w:rPr>
        <w:rFonts w:ascii="Arial" w:hAnsi="Arial" w:hint="default"/>
      </w:rPr>
    </w:lvl>
    <w:lvl w:ilvl="3" w:tplc="D49C04EC" w:tentative="1">
      <w:start w:val="1"/>
      <w:numFmt w:val="bullet"/>
      <w:lvlText w:val="•"/>
      <w:lvlJc w:val="left"/>
      <w:pPr>
        <w:tabs>
          <w:tab w:val="num" w:pos="2880"/>
        </w:tabs>
        <w:ind w:left="2880" w:hanging="360"/>
      </w:pPr>
      <w:rPr>
        <w:rFonts w:ascii="Arial" w:hAnsi="Arial" w:hint="default"/>
      </w:rPr>
    </w:lvl>
    <w:lvl w:ilvl="4" w:tplc="18F6F224" w:tentative="1">
      <w:start w:val="1"/>
      <w:numFmt w:val="bullet"/>
      <w:lvlText w:val="•"/>
      <w:lvlJc w:val="left"/>
      <w:pPr>
        <w:tabs>
          <w:tab w:val="num" w:pos="3600"/>
        </w:tabs>
        <w:ind w:left="3600" w:hanging="360"/>
      </w:pPr>
      <w:rPr>
        <w:rFonts w:ascii="Arial" w:hAnsi="Arial" w:hint="default"/>
      </w:rPr>
    </w:lvl>
    <w:lvl w:ilvl="5" w:tplc="13F4F5C6" w:tentative="1">
      <w:start w:val="1"/>
      <w:numFmt w:val="bullet"/>
      <w:lvlText w:val="•"/>
      <w:lvlJc w:val="left"/>
      <w:pPr>
        <w:tabs>
          <w:tab w:val="num" w:pos="4320"/>
        </w:tabs>
        <w:ind w:left="4320" w:hanging="360"/>
      </w:pPr>
      <w:rPr>
        <w:rFonts w:ascii="Arial" w:hAnsi="Arial" w:hint="default"/>
      </w:rPr>
    </w:lvl>
    <w:lvl w:ilvl="6" w:tplc="782CA5D6" w:tentative="1">
      <w:start w:val="1"/>
      <w:numFmt w:val="bullet"/>
      <w:lvlText w:val="•"/>
      <w:lvlJc w:val="left"/>
      <w:pPr>
        <w:tabs>
          <w:tab w:val="num" w:pos="5040"/>
        </w:tabs>
        <w:ind w:left="5040" w:hanging="360"/>
      </w:pPr>
      <w:rPr>
        <w:rFonts w:ascii="Arial" w:hAnsi="Arial" w:hint="default"/>
      </w:rPr>
    </w:lvl>
    <w:lvl w:ilvl="7" w:tplc="7674CB04" w:tentative="1">
      <w:start w:val="1"/>
      <w:numFmt w:val="bullet"/>
      <w:lvlText w:val="•"/>
      <w:lvlJc w:val="left"/>
      <w:pPr>
        <w:tabs>
          <w:tab w:val="num" w:pos="5760"/>
        </w:tabs>
        <w:ind w:left="5760" w:hanging="360"/>
      </w:pPr>
      <w:rPr>
        <w:rFonts w:ascii="Arial" w:hAnsi="Arial" w:hint="default"/>
      </w:rPr>
    </w:lvl>
    <w:lvl w:ilvl="8" w:tplc="E55EF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2C4C92"/>
    <w:multiLevelType w:val="hybridMultilevel"/>
    <w:tmpl w:val="982A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D6E93"/>
    <w:multiLevelType w:val="hybridMultilevel"/>
    <w:tmpl w:val="7A7A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8F5255"/>
    <w:multiLevelType w:val="hybridMultilevel"/>
    <w:tmpl w:val="2506E166"/>
    <w:lvl w:ilvl="0" w:tplc="CA5011B4">
      <w:start w:val="1"/>
      <w:numFmt w:val="decimal"/>
      <w:pStyle w:val="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036C0F"/>
    <w:multiLevelType w:val="hybridMultilevel"/>
    <w:tmpl w:val="BFA82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94D62"/>
    <w:multiLevelType w:val="hybridMultilevel"/>
    <w:tmpl w:val="C6C04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90178C"/>
    <w:multiLevelType w:val="hybridMultilevel"/>
    <w:tmpl w:val="28E2F26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15:restartNumberingAfterBreak="0">
    <w:nsid w:val="55817774"/>
    <w:multiLevelType w:val="hybridMultilevel"/>
    <w:tmpl w:val="F0CC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B2436B"/>
    <w:multiLevelType w:val="hybridMultilevel"/>
    <w:tmpl w:val="50F06C98"/>
    <w:lvl w:ilvl="0" w:tplc="5B540770">
      <w:start w:val="1"/>
      <w:numFmt w:val="bullet"/>
      <w:lvlText w:val="•"/>
      <w:lvlJc w:val="left"/>
      <w:pPr>
        <w:tabs>
          <w:tab w:val="num" w:pos="720"/>
        </w:tabs>
        <w:ind w:left="720" w:hanging="360"/>
      </w:pPr>
      <w:rPr>
        <w:rFonts w:ascii="Arial" w:hAnsi="Arial" w:hint="default"/>
      </w:rPr>
    </w:lvl>
    <w:lvl w:ilvl="1" w:tplc="92F40472" w:tentative="1">
      <w:start w:val="1"/>
      <w:numFmt w:val="bullet"/>
      <w:lvlText w:val="•"/>
      <w:lvlJc w:val="left"/>
      <w:pPr>
        <w:tabs>
          <w:tab w:val="num" w:pos="1440"/>
        </w:tabs>
        <w:ind w:left="1440" w:hanging="360"/>
      </w:pPr>
      <w:rPr>
        <w:rFonts w:ascii="Arial" w:hAnsi="Arial" w:hint="default"/>
      </w:rPr>
    </w:lvl>
    <w:lvl w:ilvl="2" w:tplc="DAEAEAFC" w:tentative="1">
      <w:start w:val="1"/>
      <w:numFmt w:val="bullet"/>
      <w:lvlText w:val="•"/>
      <w:lvlJc w:val="left"/>
      <w:pPr>
        <w:tabs>
          <w:tab w:val="num" w:pos="2160"/>
        </w:tabs>
        <w:ind w:left="2160" w:hanging="360"/>
      </w:pPr>
      <w:rPr>
        <w:rFonts w:ascii="Arial" w:hAnsi="Arial" w:hint="default"/>
      </w:rPr>
    </w:lvl>
    <w:lvl w:ilvl="3" w:tplc="5A6ECAB6" w:tentative="1">
      <w:start w:val="1"/>
      <w:numFmt w:val="bullet"/>
      <w:lvlText w:val="•"/>
      <w:lvlJc w:val="left"/>
      <w:pPr>
        <w:tabs>
          <w:tab w:val="num" w:pos="2880"/>
        </w:tabs>
        <w:ind w:left="2880" w:hanging="360"/>
      </w:pPr>
      <w:rPr>
        <w:rFonts w:ascii="Arial" w:hAnsi="Arial" w:hint="default"/>
      </w:rPr>
    </w:lvl>
    <w:lvl w:ilvl="4" w:tplc="2D243FBE" w:tentative="1">
      <w:start w:val="1"/>
      <w:numFmt w:val="bullet"/>
      <w:lvlText w:val="•"/>
      <w:lvlJc w:val="left"/>
      <w:pPr>
        <w:tabs>
          <w:tab w:val="num" w:pos="3600"/>
        </w:tabs>
        <w:ind w:left="3600" w:hanging="360"/>
      </w:pPr>
      <w:rPr>
        <w:rFonts w:ascii="Arial" w:hAnsi="Arial" w:hint="default"/>
      </w:rPr>
    </w:lvl>
    <w:lvl w:ilvl="5" w:tplc="BB08D3F8" w:tentative="1">
      <w:start w:val="1"/>
      <w:numFmt w:val="bullet"/>
      <w:lvlText w:val="•"/>
      <w:lvlJc w:val="left"/>
      <w:pPr>
        <w:tabs>
          <w:tab w:val="num" w:pos="4320"/>
        </w:tabs>
        <w:ind w:left="4320" w:hanging="360"/>
      </w:pPr>
      <w:rPr>
        <w:rFonts w:ascii="Arial" w:hAnsi="Arial" w:hint="default"/>
      </w:rPr>
    </w:lvl>
    <w:lvl w:ilvl="6" w:tplc="4B4C35C6" w:tentative="1">
      <w:start w:val="1"/>
      <w:numFmt w:val="bullet"/>
      <w:lvlText w:val="•"/>
      <w:lvlJc w:val="left"/>
      <w:pPr>
        <w:tabs>
          <w:tab w:val="num" w:pos="5040"/>
        </w:tabs>
        <w:ind w:left="5040" w:hanging="360"/>
      </w:pPr>
      <w:rPr>
        <w:rFonts w:ascii="Arial" w:hAnsi="Arial" w:hint="default"/>
      </w:rPr>
    </w:lvl>
    <w:lvl w:ilvl="7" w:tplc="7ABAA7A4" w:tentative="1">
      <w:start w:val="1"/>
      <w:numFmt w:val="bullet"/>
      <w:lvlText w:val="•"/>
      <w:lvlJc w:val="left"/>
      <w:pPr>
        <w:tabs>
          <w:tab w:val="num" w:pos="5760"/>
        </w:tabs>
        <w:ind w:left="5760" w:hanging="360"/>
      </w:pPr>
      <w:rPr>
        <w:rFonts w:ascii="Arial" w:hAnsi="Arial" w:hint="default"/>
      </w:rPr>
    </w:lvl>
    <w:lvl w:ilvl="8" w:tplc="AE52F8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E711AB"/>
    <w:multiLevelType w:val="multilevel"/>
    <w:tmpl w:val="6C3A8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88F2A9E"/>
    <w:multiLevelType w:val="hybridMultilevel"/>
    <w:tmpl w:val="3258E240"/>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61582D27"/>
    <w:multiLevelType w:val="hybridMultilevel"/>
    <w:tmpl w:val="E1565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A800DA8"/>
    <w:multiLevelType w:val="hybridMultilevel"/>
    <w:tmpl w:val="51DCC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527277"/>
    <w:multiLevelType w:val="hybridMultilevel"/>
    <w:tmpl w:val="011CD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104328"/>
    <w:multiLevelType w:val="hybridMultilevel"/>
    <w:tmpl w:val="0F16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5F60FA"/>
    <w:multiLevelType w:val="hybridMultilevel"/>
    <w:tmpl w:val="28B65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B82EF5"/>
    <w:multiLevelType w:val="hybridMultilevel"/>
    <w:tmpl w:val="87D2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E002B3"/>
    <w:multiLevelType w:val="hybridMultilevel"/>
    <w:tmpl w:val="C90E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B04BEB"/>
    <w:multiLevelType w:val="hybridMultilevel"/>
    <w:tmpl w:val="628C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F76445"/>
    <w:multiLevelType w:val="multilevel"/>
    <w:tmpl w:val="7E4EF852"/>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34076509">
    <w:abstractNumId w:val="9"/>
  </w:num>
  <w:num w:numId="2" w16cid:durableId="806125305">
    <w:abstractNumId w:val="17"/>
  </w:num>
  <w:num w:numId="3" w16cid:durableId="1804226046">
    <w:abstractNumId w:val="4"/>
  </w:num>
  <w:num w:numId="4" w16cid:durableId="2062319287">
    <w:abstractNumId w:val="15"/>
  </w:num>
  <w:num w:numId="5" w16cid:durableId="156772925">
    <w:abstractNumId w:val="1"/>
  </w:num>
  <w:num w:numId="6" w16cid:durableId="946347469">
    <w:abstractNumId w:val="14"/>
  </w:num>
  <w:num w:numId="7" w16cid:durableId="2043744716">
    <w:abstractNumId w:val="18"/>
  </w:num>
  <w:num w:numId="8" w16cid:durableId="1175341082">
    <w:abstractNumId w:val="7"/>
  </w:num>
  <w:num w:numId="9" w16cid:durableId="532034159">
    <w:abstractNumId w:val="11"/>
  </w:num>
  <w:num w:numId="10" w16cid:durableId="2136411497">
    <w:abstractNumId w:val="6"/>
  </w:num>
  <w:num w:numId="11" w16cid:durableId="231624970">
    <w:abstractNumId w:val="2"/>
  </w:num>
  <w:num w:numId="12" w16cid:durableId="561911404">
    <w:abstractNumId w:val="10"/>
  </w:num>
  <w:num w:numId="13" w16cid:durableId="274362643">
    <w:abstractNumId w:val="0"/>
  </w:num>
  <w:num w:numId="14" w16cid:durableId="1238058198">
    <w:abstractNumId w:val="8"/>
  </w:num>
  <w:num w:numId="15" w16cid:durableId="954870670">
    <w:abstractNumId w:val="12"/>
  </w:num>
  <w:num w:numId="16" w16cid:durableId="646476306">
    <w:abstractNumId w:val="13"/>
  </w:num>
  <w:num w:numId="17" w16cid:durableId="1153565096">
    <w:abstractNumId w:val="5"/>
  </w:num>
  <w:num w:numId="18" w16cid:durableId="441607526">
    <w:abstractNumId w:val="16"/>
  </w:num>
  <w:num w:numId="19" w16cid:durableId="815993352">
    <w:abstractNumId w:val="3"/>
  </w:num>
  <w:num w:numId="20" w16cid:durableId="1851673127">
    <w:abstractNumId w:val="19"/>
  </w:num>
  <w:num w:numId="21" w16cid:durableId="890071419">
    <w:abstractNumId w:val="3"/>
    <w:lvlOverride w:ilvl="0">
      <w:startOverride w:val="1"/>
    </w:lvlOverride>
  </w:num>
  <w:num w:numId="22" w16cid:durableId="1202549247">
    <w:abstractNumId w:val="3"/>
  </w:num>
  <w:num w:numId="23" w16cid:durableId="204671364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f79646,#ffbc9b,#333,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MjQ1NjA3NTE3NzNU0lEKTi0uzszPAykwrAUANlL1PSwAAAA="/>
  </w:docVars>
  <w:rsids>
    <w:rsidRoot w:val="0006451B"/>
    <w:rsid w:val="000008A4"/>
    <w:rsid w:val="00000BE2"/>
    <w:rsid w:val="000013E2"/>
    <w:rsid w:val="00001CB5"/>
    <w:rsid w:val="000050AF"/>
    <w:rsid w:val="00006DD1"/>
    <w:rsid w:val="000138DF"/>
    <w:rsid w:val="0002026D"/>
    <w:rsid w:val="00024A2E"/>
    <w:rsid w:val="00027A2E"/>
    <w:rsid w:val="00030B36"/>
    <w:rsid w:val="00031EEE"/>
    <w:rsid w:val="00032B54"/>
    <w:rsid w:val="00037F9F"/>
    <w:rsid w:val="00043000"/>
    <w:rsid w:val="00046BB3"/>
    <w:rsid w:val="00046F88"/>
    <w:rsid w:val="00047352"/>
    <w:rsid w:val="00047CDE"/>
    <w:rsid w:val="00047F89"/>
    <w:rsid w:val="00051AF5"/>
    <w:rsid w:val="00051DC8"/>
    <w:rsid w:val="00055067"/>
    <w:rsid w:val="000553CA"/>
    <w:rsid w:val="00062859"/>
    <w:rsid w:val="0006451B"/>
    <w:rsid w:val="00065419"/>
    <w:rsid w:val="0006565F"/>
    <w:rsid w:val="00070FD7"/>
    <w:rsid w:val="00072BDD"/>
    <w:rsid w:val="000741A0"/>
    <w:rsid w:val="00075C00"/>
    <w:rsid w:val="000768B8"/>
    <w:rsid w:val="00082951"/>
    <w:rsid w:val="00083793"/>
    <w:rsid w:val="00084AF9"/>
    <w:rsid w:val="000875D7"/>
    <w:rsid w:val="00090AA0"/>
    <w:rsid w:val="00095EE8"/>
    <w:rsid w:val="00096FBB"/>
    <w:rsid w:val="0009774A"/>
    <w:rsid w:val="000A4E55"/>
    <w:rsid w:val="000A66F7"/>
    <w:rsid w:val="000B454C"/>
    <w:rsid w:val="000B5C41"/>
    <w:rsid w:val="000B62EE"/>
    <w:rsid w:val="000C071C"/>
    <w:rsid w:val="000C4B53"/>
    <w:rsid w:val="000D110A"/>
    <w:rsid w:val="000D1377"/>
    <w:rsid w:val="000E44BB"/>
    <w:rsid w:val="000E69DC"/>
    <w:rsid w:val="000E745A"/>
    <w:rsid w:val="000F0E6E"/>
    <w:rsid w:val="000F1DFF"/>
    <w:rsid w:val="000F2261"/>
    <w:rsid w:val="00100FE4"/>
    <w:rsid w:val="0010495B"/>
    <w:rsid w:val="00112BE0"/>
    <w:rsid w:val="00112EB3"/>
    <w:rsid w:val="00120484"/>
    <w:rsid w:val="00121CA2"/>
    <w:rsid w:val="0012541E"/>
    <w:rsid w:val="00125D55"/>
    <w:rsid w:val="001320F4"/>
    <w:rsid w:val="00132FDD"/>
    <w:rsid w:val="00134B49"/>
    <w:rsid w:val="00143ADA"/>
    <w:rsid w:val="0015120C"/>
    <w:rsid w:val="00151FCA"/>
    <w:rsid w:val="00152D81"/>
    <w:rsid w:val="00155A9D"/>
    <w:rsid w:val="0016458B"/>
    <w:rsid w:val="001655CA"/>
    <w:rsid w:val="001674F6"/>
    <w:rsid w:val="00167698"/>
    <w:rsid w:val="00167BD2"/>
    <w:rsid w:val="001712CB"/>
    <w:rsid w:val="00171989"/>
    <w:rsid w:val="0017327C"/>
    <w:rsid w:val="00177D06"/>
    <w:rsid w:val="00181C54"/>
    <w:rsid w:val="001836EC"/>
    <w:rsid w:val="001865D6"/>
    <w:rsid w:val="00191A1C"/>
    <w:rsid w:val="00193042"/>
    <w:rsid w:val="00194408"/>
    <w:rsid w:val="00197F0F"/>
    <w:rsid w:val="001A76B9"/>
    <w:rsid w:val="001B21F9"/>
    <w:rsid w:val="001B5740"/>
    <w:rsid w:val="001B71D9"/>
    <w:rsid w:val="001C3C2A"/>
    <w:rsid w:val="001C66F1"/>
    <w:rsid w:val="001C7127"/>
    <w:rsid w:val="001D223B"/>
    <w:rsid w:val="001D2D9B"/>
    <w:rsid w:val="001E1965"/>
    <w:rsid w:val="001E2E21"/>
    <w:rsid w:val="001E36AE"/>
    <w:rsid w:val="001E509C"/>
    <w:rsid w:val="001F0F07"/>
    <w:rsid w:val="001F4B78"/>
    <w:rsid w:val="001F5FE4"/>
    <w:rsid w:val="001F7755"/>
    <w:rsid w:val="002000DB"/>
    <w:rsid w:val="0020096D"/>
    <w:rsid w:val="00203BD5"/>
    <w:rsid w:val="00204E7E"/>
    <w:rsid w:val="00205074"/>
    <w:rsid w:val="00210291"/>
    <w:rsid w:val="00213EC5"/>
    <w:rsid w:val="002149A0"/>
    <w:rsid w:val="00215211"/>
    <w:rsid w:val="002153A6"/>
    <w:rsid w:val="00215A30"/>
    <w:rsid w:val="00215F22"/>
    <w:rsid w:val="002210FA"/>
    <w:rsid w:val="00222994"/>
    <w:rsid w:val="00225F6E"/>
    <w:rsid w:val="00231443"/>
    <w:rsid w:val="0023513F"/>
    <w:rsid w:val="002351A0"/>
    <w:rsid w:val="002354BF"/>
    <w:rsid w:val="002356E6"/>
    <w:rsid w:val="002360A3"/>
    <w:rsid w:val="002370AE"/>
    <w:rsid w:val="00237D52"/>
    <w:rsid w:val="00242D53"/>
    <w:rsid w:val="00243EE2"/>
    <w:rsid w:val="0024407B"/>
    <w:rsid w:val="00244847"/>
    <w:rsid w:val="00250ED0"/>
    <w:rsid w:val="0025178C"/>
    <w:rsid w:val="00251E8B"/>
    <w:rsid w:val="00252617"/>
    <w:rsid w:val="00257805"/>
    <w:rsid w:val="00260D81"/>
    <w:rsid w:val="00260E70"/>
    <w:rsid w:val="00261868"/>
    <w:rsid w:val="002719FB"/>
    <w:rsid w:val="00272DA2"/>
    <w:rsid w:val="00273ADA"/>
    <w:rsid w:val="0027475E"/>
    <w:rsid w:val="00274DDA"/>
    <w:rsid w:val="00276A36"/>
    <w:rsid w:val="002773F9"/>
    <w:rsid w:val="002824C7"/>
    <w:rsid w:val="002827AB"/>
    <w:rsid w:val="00282AEA"/>
    <w:rsid w:val="002833B7"/>
    <w:rsid w:val="002A1161"/>
    <w:rsid w:val="002A506D"/>
    <w:rsid w:val="002A537B"/>
    <w:rsid w:val="002B72FD"/>
    <w:rsid w:val="002C07C6"/>
    <w:rsid w:val="002C08FE"/>
    <w:rsid w:val="002C41EC"/>
    <w:rsid w:val="002C698E"/>
    <w:rsid w:val="002D0CB6"/>
    <w:rsid w:val="002D197C"/>
    <w:rsid w:val="002D6D0B"/>
    <w:rsid w:val="002E1161"/>
    <w:rsid w:val="002E58B6"/>
    <w:rsid w:val="002F1ACC"/>
    <w:rsid w:val="002F25F6"/>
    <w:rsid w:val="002F5DFE"/>
    <w:rsid w:val="002F753B"/>
    <w:rsid w:val="0030035C"/>
    <w:rsid w:val="0030036F"/>
    <w:rsid w:val="00305ACE"/>
    <w:rsid w:val="003116E7"/>
    <w:rsid w:val="00314BE2"/>
    <w:rsid w:val="00315D65"/>
    <w:rsid w:val="00315EB5"/>
    <w:rsid w:val="00317159"/>
    <w:rsid w:val="00327312"/>
    <w:rsid w:val="00331EAC"/>
    <w:rsid w:val="003332C9"/>
    <w:rsid w:val="00333B82"/>
    <w:rsid w:val="00334B18"/>
    <w:rsid w:val="00335F6C"/>
    <w:rsid w:val="00341E70"/>
    <w:rsid w:val="00344211"/>
    <w:rsid w:val="00345A67"/>
    <w:rsid w:val="00346AFC"/>
    <w:rsid w:val="00350335"/>
    <w:rsid w:val="00352973"/>
    <w:rsid w:val="00355560"/>
    <w:rsid w:val="003620B0"/>
    <w:rsid w:val="00363470"/>
    <w:rsid w:val="0036564C"/>
    <w:rsid w:val="00367361"/>
    <w:rsid w:val="00373DE7"/>
    <w:rsid w:val="003743D5"/>
    <w:rsid w:val="003769EE"/>
    <w:rsid w:val="00377854"/>
    <w:rsid w:val="00382331"/>
    <w:rsid w:val="003949E5"/>
    <w:rsid w:val="003959A1"/>
    <w:rsid w:val="00395BFB"/>
    <w:rsid w:val="00396712"/>
    <w:rsid w:val="00397DD0"/>
    <w:rsid w:val="003A58C5"/>
    <w:rsid w:val="003B063C"/>
    <w:rsid w:val="003B1E75"/>
    <w:rsid w:val="003B35A1"/>
    <w:rsid w:val="003C0D84"/>
    <w:rsid w:val="003C1E7C"/>
    <w:rsid w:val="003C3CBA"/>
    <w:rsid w:val="003C6299"/>
    <w:rsid w:val="003D025C"/>
    <w:rsid w:val="003D2D45"/>
    <w:rsid w:val="003D49EB"/>
    <w:rsid w:val="003D78C1"/>
    <w:rsid w:val="003E1664"/>
    <w:rsid w:val="003E2C6F"/>
    <w:rsid w:val="003E55DB"/>
    <w:rsid w:val="003E68FC"/>
    <w:rsid w:val="003E6B31"/>
    <w:rsid w:val="003E6D7D"/>
    <w:rsid w:val="003E78F9"/>
    <w:rsid w:val="003E7B38"/>
    <w:rsid w:val="003F3E9E"/>
    <w:rsid w:val="003F6C02"/>
    <w:rsid w:val="00400C4E"/>
    <w:rsid w:val="004019C2"/>
    <w:rsid w:val="00406E89"/>
    <w:rsid w:val="00411504"/>
    <w:rsid w:val="004116E6"/>
    <w:rsid w:val="00415000"/>
    <w:rsid w:val="004153E2"/>
    <w:rsid w:val="0041589C"/>
    <w:rsid w:val="00415B98"/>
    <w:rsid w:val="0042107B"/>
    <w:rsid w:val="00421283"/>
    <w:rsid w:val="00422D35"/>
    <w:rsid w:val="00426B6C"/>
    <w:rsid w:val="00431B4E"/>
    <w:rsid w:val="004436E7"/>
    <w:rsid w:val="0044470E"/>
    <w:rsid w:val="004536A9"/>
    <w:rsid w:val="004549FE"/>
    <w:rsid w:val="00457952"/>
    <w:rsid w:val="00463978"/>
    <w:rsid w:val="00463B62"/>
    <w:rsid w:val="00464403"/>
    <w:rsid w:val="00466A9A"/>
    <w:rsid w:val="00467455"/>
    <w:rsid w:val="00474934"/>
    <w:rsid w:val="00476545"/>
    <w:rsid w:val="00477317"/>
    <w:rsid w:val="00481DB9"/>
    <w:rsid w:val="00483A93"/>
    <w:rsid w:val="00491F43"/>
    <w:rsid w:val="0049322A"/>
    <w:rsid w:val="00494E44"/>
    <w:rsid w:val="004A036B"/>
    <w:rsid w:val="004A2073"/>
    <w:rsid w:val="004B110F"/>
    <w:rsid w:val="004B3C73"/>
    <w:rsid w:val="004B42AB"/>
    <w:rsid w:val="004C02D5"/>
    <w:rsid w:val="004C0E71"/>
    <w:rsid w:val="004C1F62"/>
    <w:rsid w:val="004C37D9"/>
    <w:rsid w:val="004D03E0"/>
    <w:rsid w:val="004D15BE"/>
    <w:rsid w:val="004D1C4E"/>
    <w:rsid w:val="004D27C9"/>
    <w:rsid w:val="004D4066"/>
    <w:rsid w:val="004D4310"/>
    <w:rsid w:val="004D481C"/>
    <w:rsid w:val="004E3E04"/>
    <w:rsid w:val="004E7F62"/>
    <w:rsid w:val="004F29A9"/>
    <w:rsid w:val="004F4ADD"/>
    <w:rsid w:val="004F60C1"/>
    <w:rsid w:val="004F6155"/>
    <w:rsid w:val="004F67B1"/>
    <w:rsid w:val="004F719E"/>
    <w:rsid w:val="0050047F"/>
    <w:rsid w:val="00504C53"/>
    <w:rsid w:val="005053C7"/>
    <w:rsid w:val="00505A1E"/>
    <w:rsid w:val="00512061"/>
    <w:rsid w:val="00512877"/>
    <w:rsid w:val="00513F84"/>
    <w:rsid w:val="00515526"/>
    <w:rsid w:val="005155BE"/>
    <w:rsid w:val="00521C2B"/>
    <w:rsid w:val="00524C4B"/>
    <w:rsid w:val="00524F73"/>
    <w:rsid w:val="00527813"/>
    <w:rsid w:val="00527F8B"/>
    <w:rsid w:val="00532E3D"/>
    <w:rsid w:val="00535E3A"/>
    <w:rsid w:val="005365BA"/>
    <w:rsid w:val="005406A3"/>
    <w:rsid w:val="00542129"/>
    <w:rsid w:val="0054386B"/>
    <w:rsid w:val="00544E31"/>
    <w:rsid w:val="00545721"/>
    <w:rsid w:val="00555D93"/>
    <w:rsid w:val="00556D93"/>
    <w:rsid w:val="00557A57"/>
    <w:rsid w:val="00557B1F"/>
    <w:rsid w:val="005600DA"/>
    <w:rsid w:val="00560A2C"/>
    <w:rsid w:val="005616E7"/>
    <w:rsid w:val="0056457E"/>
    <w:rsid w:val="005649AE"/>
    <w:rsid w:val="00573167"/>
    <w:rsid w:val="00575C56"/>
    <w:rsid w:val="00584189"/>
    <w:rsid w:val="00585359"/>
    <w:rsid w:val="00586F15"/>
    <w:rsid w:val="00590563"/>
    <w:rsid w:val="0059314B"/>
    <w:rsid w:val="00595264"/>
    <w:rsid w:val="00595EE0"/>
    <w:rsid w:val="005A1C26"/>
    <w:rsid w:val="005A3601"/>
    <w:rsid w:val="005A72A7"/>
    <w:rsid w:val="005B446B"/>
    <w:rsid w:val="005B796C"/>
    <w:rsid w:val="005C5789"/>
    <w:rsid w:val="005C5AE1"/>
    <w:rsid w:val="005C5D85"/>
    <w:rsid w:val="005D0F74"/>
    <w:rsid w:val="005D53FD"/>
    <w:rsid w:val="005D6A9B"/>
    <w:rsid w:val="005E4733"/>
    <w:rsid w:val="005E4CD9"/>
    <w:rsid w:val="005E787B"/>
    <w:rsid w:val="005E7F6C"/>
    <w:rsid w:val="005F0AB5"/>
    <w:rsid w:val="005F217D"/>
    <w:rsid w:val="005F38C7"/>
    <w:rsid w:val="005F722D"/>
    <w:rsid w:val="00601C97"/>
    <w:rsid w:val="006025F1"/>
    <w:rsid w:val="00602B73"/>
    <w:rsid w:val="006036F4"/>
    <w:rsid w:val="00606521"/>
    <w:rsid w:val="00613A12"/>
    <w:rsid w:val="00614153"/>
    <w:rsid w:val="00615154"/>
    <w:rsid w:val="00617401"/>
    <w:rsid w:val="006220AB"/>
    <w:rsid w:val="006258EF"/>
    <w:rsid w:val="00625BA2"/>
    <w:rsid w:val="00627250"/>
    <w:rsid w:val="006354BC"/>
    <w:rsid w:val="00640417"/>
    <w:rsid w:val="006410AF"/>
    <w:rsid w:val="00643DA4"/>
    <w:rsid w:val="0064432C"/>
    <w:rsid w:val="00644D1E"/>
    <w:rsid w:val="0064526C"/>
    <w:rsid w:val="00646706"/>
    <w:rsid w:val="00657194"/>
    <w:rsid w:val="0066084A"/>
    <w:rsid w:val="00660C6F"/>
    <w:rsid w:val="00662953"/>
    <w:rsid w:val="006671C9"/>
    <w:rsid w:val="0067001B"/>
    <w:rsid w:val="006703E9"/>
    <w:rsid w:val="006721DF"/>
    <w:rsid w:val="0067252D"/>
    <w:rsid w:val="00673F20"/>
    <w:rsid w:val="0067653B"/>
    <w:rsid w:val="0067672B"/>
    <w:rsid w:val="00680BB0"/>
    <w:rsid w:val="0068496B"/>
    <w:rsid w:val="006866AF"/>
    <w:rsid w:val="00687D18"/>
    <w:rsid w:val="0069252F"/>
    <w:rsid w:val="006948D2"/>
    <w:rsid w:val="00695933"/>
    <w:rsid w:val="00696C51"/>
    <w:rsid w:val="00696CAB"/>
    <w:rsid w:val="006A3079"/>
    <w:rsid w:val="006A5A58"/>
    <w:rsid w:val="006B204F"/>
    <w:rsid w:val="006C25BD"/>
    <w:rsid w:val="006C27E9"/>
    <w:rsid w:val="006D2F5D"/>
    <w:rsid w:val="006D3BC9"/>
    <w:rsid w:val="006D64E6"/>
    <w:rsid w:val="006D6BF8"/>
    <w:rsid w:val="006E2515"/>
    <w:rsid w:val="006E3350"/>
    <w:rsid w:val="006E3993"/>
    <w:rsid w:val="006E5DA6"/>
    <w:rsid w:val="006F0468"/>
    <w:rsid w:val="006F048B"/>
    <w:rsid w:val="006F32A4"/>
    <w:rsid w:val="006F4B38"/>
    <w:rsid w:val="006F6E19"/>
    <w:rsid w:val="00702312"/>
    <w:rsid w:val="00703C0C"/>
    <w:rsid w:val="007047FE"/>
    <w:rsid w:val="00706FF8"/>
    <w:rsid w:val="00710521"/>
    <w:rsid w:val="0071165A"/>
    <w:rsid w:val="007172F2"/>
    <w:rsid w:val="007303EB"/>
    <w:rsid w:val="00731586"/>
    <w:rsid w:val="007329A5"/>
    <w:rsid w:val="00733D94"/>
    <w:rsid w:val="00736A02"/>
    <w:rsid w:val="00742030"/>
    <w:rsid w:val="00742E97"/>
    <w:rsid w:val="00745A71"/>
    <w:rsid w:val="00746076"/>
    <w:rsid w:val="00747E2A"/>
    <w:rsid w:val="00750528"/>
    <w:rsid w:val="0075143C"/>
    <w:rsid w:val="00754DDF"/>
    <w:rsid w:val="00765EEA"/>
    <w:rsid w:val="00772A2D"/>
    <w:rsid w:val="00773134"/>
    <w:rsid w:val="00780405"/>
    <w:rsid w:val="00790421"/>
    <w:rsid w:val="007917A3"/>
    <w:rsid w:val="00793450"/>
    <w:rsid w:val="00794933"/>
    <w:rsid w:val="00795EC4"/>
    <w:rsid w:val="00796DCE"/>
    <w:rsid w:val="00797FE4"/>
    <w:rsid w:val="007A279E"/>
    <w:rsid w:val="007A549B"/>
    <w:rsid w:val="007B6B51"/>
    <w:rsid w:val="007B7BF0"/>
    <w:rsid w:val="007C0599"/>
    <w:rsid w:val="007C22AD"/>
    <w:rsid w:val="007C6F59"/>
    <w:rsid w:val="007C7A0F"/>
    <w:rsid w:val="007D2D6D"/>
    <w:rsid w:val="007D4454"/>
    <w:rsid w:val="007D78FD"/>
    <w:rsid w:val="007E0E49"/>
    <w:rsid w:val="007E194C"/>
    <w:rsid w:val="007E7C67"/>
    <w:rsid w:val="007F10C6"/>
    <w:rsid w:val="007F1173"/>
    <w:rsid w:val="007F14B8"/>
    <w:rsid w:val="007F2118"/>
    <w:rsid w:val="007F3F03"/>
    <w:rsid w:val="0080179D"/>
    <w:rsid w:val="00804198"/>
    <w:rsid w:val="00806AE5"/>
    <w:rsid w:val="00810F8A"/>
    <w:rsid w:val="00811E7A"/>
    <w:rsid w:val="00812447"/>
    <w:rsid w:val="00813168"/>
    <w:rsid w:val="00815D31"/>
    <w:rsid w:val="00820514"/>
    <w:rsid w:val="00821B11"/>
    <w:rsid w:val="00824B16"/>
    <w:rsid w:val="008253B5"/>
    <w:rsid w:val="00825402"/>
    <w:rsid w:val="0083189C"/>
    <w:rsid w:val="00841436"/>
    <w:rsid w:val="00845CD9"/>
    <w:rsid w:val="0084714E"/>
    <w:rsid w:val="0086007F"/>
    <w:rsid w:val="0086516D"/>
    <w:rsid w:val="00871DA8"/>
    <w:rsid w:val="00874687"/>
    <w:rsid w:val="00874C87"/>
    <w:rsid w:val="0087570B"/>
    <w:rsid w:val="00876B68"/>
    <w:rsid w:val="00884F97"/>
    <w:rsid w:val="008867E4"/>
    <w:rsid w:val="00890B6F"/>
    <w:rsid w:val="00891259"/>
    <w:rsid w:val="008916B0"/>
    <w:rsid w:val="00892438"/>
    <w:rsid w:val="008938F5"/>
    <w:rsid w:val="00893CA5"/>
    <w:rsid w:val="00895C3C"/>
    <w:rsid w:val="0089709C"/>
    <w:rsid w:val="008976D4"/>
    <w:rsid w:val="008A0736"/>
    <w:rsid w:val="008A41D0"/>
    <w:rsid w:val="008A4EE2"/>
    <w:rsid w:val="008B6806"/>
    <w:rsid w:val="008D1241"/>
    <w:rsid w:val="008D2978"/>
    <w:rsid w:val="008D4274"/>
    <w:rsid w:val="008D5782"/>
    <w:rsid w:val="008D7A7A"/>
    <w:rsid w:val="008E0584"/>
    <w:rsid w:val="008E27DC"/>
    <w:rsid w:val="008E5F6C"/>
    <w:rsid w:val="008E79CA"/>
    <w:rsid w:val="008E7D79"/>
    <w:rsid w:val="008F1FB9"/>
    <w:rsid w:val="008F2899"/>
    <w:rsid w:val="008F4578"/>
    <w:rsid w:val="008F48CF"/>
    <w:rsid w:val="008F6B67"/>
    <w:rsid w:val="008F6E2B"/>
    <w:rsid w:val="00902D5A"/>
    <w:rsid w:val="00906C83"/>
    <w:rsid w:val="009100B3"/>
    <w:rsid w:val="00910A60"/>
    <w:rsid w:val="0091124C"/>
    <w:rsid w:val="00911BEB"/>
    <w:rsid w:val="0091237D"/>
    <w:rsid w:val="00916006"/>
    <w:rsid w:val="00917FF9"/>
    <w:rsid w:val="009203F9"/>
    <w:rsid w:val="00923B2A"/>
    <w:rsid w:val="00924248"/>
    <w:rsid w:val="009266F9"/>
    <w:rsid w:val="0092742B"/>
    <w:rsid w:val="0093051A"/>
    <w:rsid w:val="00930CDC"/>
    <w:rsid w:val="009316D9"/>
    <w:rsid w:val="009334CD"/>
    <w:rsid w:val="00935044"/>
    <w:rsid w:val="00936D38"/>
    <w:rsid w:val="00941010"/>
    <w:rsid w:val="00941B3C"/>
    <w:rsid w:val="00941EAA"/>
    <w:rsid w:val="00943A6B"/>
    <w:rsid w:val="00944EC2"/>
    <w:rsid w:val="00945AF0"/>
    <w:rsid w:val="0094764D"/>
    <w:rsid w:val="009501AA"/>
    <w:rsid w:val="00951711"/>
    <w:rsid w:val="009538E7"/>
    <w:rsid w:val="0095495A"/>
    <w:rsid w:val="00955AF5"/>
    <w:rsid w:val="009638BA"/>
    <w:rsid w:val="00963A30"/>
    <w:rsid w:val="00964FB9"/>
    <w:rsid w:val="00966343"/>
    <w:rsid w:val="00966619"/>
    <w:rsid w:val="009702B2"/>
    <w:rsid w:val="009704A4"/>
    <w:rsid w:val="00970A67"/>
    <w:rsid w:val="00975544"/>
    <w:rsid w:val="00975834"/>
    <w:rsid w:val="00982693"/>
    <w:rsid w:val="009830C3"/>
    <w:rsid w:val="00985DE0"/>
    <w:rsid w:val="009876D6"/>
    <w:rsid w:val="00992654"/>
    <w:rsid w:val="00997541"/>
    <w:rsid w:val="009A0849"/>
    <w:rsid w:val="009A13CF"/>
    <w:rsid w:val="009A1480"/>
    <w:rsid w:val="009A31CA"/>
    <w:rsid w:val="009A43A6"/>
    <w:rsid w:val="009B363D"/>
    <w:rsid w:val="009B374C"/>
    <w:rsid w:val="009B4F09"/>
    <w:rsid w:val="009B57B7"/>
    <w:rsid w:val="009C351A"/>
    <w:rsid w:val="009C41C9"/>
    <w:rsid w:val="009C4437"/>
    <w:rsid w:val="009C74B1"/>
    <w:rsid w:val="009C74EC"/>
    <w:rsid w:val="009D0EBF"/>
    <w:rsid w:val="009D235C"/>
    <w:rsid w:val="009D3E4D"/>
    <w:rsid w:val="009D7DE6"/>
    <w:rsid w:val="009E297F"/>
    <w:rsid w:val="009E4B94"/>
    <w:rsid w:val="009E5C0A"/>
    <w:rsid w:val="009F1E81"/>
    <w:rsid w:val="009F5F18"/>
    <w:rsid w:val="009F6853"/>
    <w:rsid w:val="00A034D6"/>
    <w:rsid w:val="00A04AA7"/>
    <w:rsid w:val="00A05372"/>
    <w:rsid w:val="00A07AA3"/>
    <w:rsid w:val="00A1064E"/>
    <w:rsid w:val="00A17648"/>
    <w:rsid w:val="00A2259F"/>
    <w:rsid w:val="00A23786"/>
    <w:rsid w:val="00A244AC"/>
    <w:rsid w:val="00A24E04"/>
    <w:rsid w:val="00A25E94"/>
    <w:rsid w:val="00A31F58"/>
    <w:rsid w:val="00A36708"/>
    <w:rsid w:val="00A4275E"/>
    <w:rsid w:val="00A4324D"/>
    <w:rsid w:val="00A43B04"/>
    <w:rsid w:val="00A44352"/>
    <w:rsid w:val="00A46668"/>
    <w:rsid w:val="00A46ED0"/>
    <w:rsid w:val="00A514A9"/>
    <w:rsid w:val="00A51C20"/>
    <w:rsid w:val="00A52EDF"/>
    <w:rsid w:val="00A55740"/>
    <w:rsid w:val="00A560C6"/>
    <w:rsid w:val="00A57F48"/>
    <w:rsid w:val="00A6051D"/>
    <w:rsid w:val="00A6167E"/>
    <w:rsid w:val="00A63068"/>
    <w:rsid w:val="00A644C1"/>
    <w:rsid w:val="00A64E1A"/>
    <w:rsid w:val="00A65018"/>
    <w:rsid w:val="00A65564"/>
    <w:rsid w:val="00A66002"/>
    <w:rsid w:val="00A67898"/>
    <w:rsid w:val="00A67D11"/>
    <w:rsid w:val="00A70328"/>
    <w:rsid w:val="00A70865"/>
    <w:rsid w:val="00A71264"/>
    <w:rsid w:val="00A71E9D"/>
    <w:rsid w:val="00A724E3"/>
    <w:rsid w:val="00A8075E"/>
    <w:rsid w:val="00A820B8"/>
    <w:rsid w:val="00A82AF4"/>
    <w:rsid w:val="00A91686"/>
    <w:rsid w:val="00A92264"/>
    <w:rsid w:val="00A92953"/>
    <w:rsid w:val="00A97A6D"/>
    <w:rsid w:val="00A97D77"/>
    <w:rsid w:val="00AA2C12"/>
    <w:rsid w:val="00AA5C56"/>
    <w:rsid w:val="00AA624F"/>
    <w:rsid w:val="00AB6C0D"/>
    <w:rsid w:val="00AC1E95"/>
    <w:rsid w:val="00AC440B"/>
    <w:rsid w:val="00AD48AE"/>
    <w:rsid w:val="00AE30DA"/>
    <w:rsid w:val="00AE62F8"/>
    <w:rsid w:val="00AE693F"/>
    <w:rsid w:val="00AF1380"/>
    <w:rsid w:val="00AF1DA3"/>
    <w:rsid w:val="00AF5342"/>
    <w:rsid w:val="00AF5B79"/>
    <w:rsid w:val="00AF6662"/>
    <w:rsid w:val="00AF6C9D"/>
    <w:rsid w:val="00B0347D"/>
    <w:rsid w:val="00B07027"/>
    <w:rsid w:val="00B10F28"/>
    <w:rsid w:val="00B11BFF"/>
    <w:rsid w:val="00B215B3"/>
    <w:rsid w:val="00B21864"/>
    <w:rsid w:val="00B21B08"/>
    <w:rsid w:val="00B23936"/>
    <w:rsid w:val="00B23C6A"/>
    <w:rsid w:val="00B33072"/>
    <w:rsid w:val="00B41401"/>
    <w:rsid w:val="00B41545"/>
    <w:rsid w:val="00B41D03"/>
    <w:rsid w:val="00B457E6"/>
    <w:rsid w:val="00B459A8"/>
    <w:rsid w:val="00B508FB"/>
    <w:rsid w:val="00B535B8"/>
    <w:rsid w:val="00B545ED"/>
    <w:rsid w:val="00B55CE8"/>
    <w:rsid w:val="00B60357"/>
    <w:rsid w:val="00B607F9"/>
    <w:rsid w:val="00B656E3"/>
    <w:rsid w:val="00B72574"/>
    <w:rsid w:val="00B83431"/>
    <w:rsid w:val="00B83E58"/>
    <w:rsid w:val="00BA268A"/>
    <w:rsid w:val="00BA59AE"/>
    <w:rsid w:val="00BB07AB"/>
    <w:rsid w:val="00BC2858"/>
    <w:rsid w:val="00BC2AA5"/>
    <w:rsid w:val="00BC2DAD"/>
    <w:rsid w:val="00BC6104"/>
    <w:rsid w:val="00BC7B57"/>
    <w:rsid w:val="00BC7D87"/>
    <w:rsid w:val="00BD1C83"/>
    <w:rsid w:val="00BD4261"/>
    <w:rsid w:val="00BE5726"/>
    <w:rsid w:val="00BF2460"/>
    <w:rsid w:val="00BF24E5"/>
    <w:rsid w:val="00C001B1"/>
    <w:rsid w:val="00C016C6"/>
    <w:rsid w:val="00C07B79"/>
    <w:rsid w:val="00C113EE"/>
    <w:rsid w:val="00C11B5D"/>
    <w:rsid w:val="00C12ECB"/>
    <w:rsid w:val="00C13EE3"/>
    <w:rsid w:val="00C14410"/>
    <w:rsid w:val="00C17212"/>
    <w:rsid w:val="00C208D6"/>
    <w:rsid w:val="00C21D11"/>
    <w:rsid w:val="00C225A6"/>
    <w:rsid w:val="00C43506"/>
    <w:rsid w:val="00C43B13"/>
    <w:rsid w:val="00C450AA"/>
    <w:rsid w:val="00C513C7"/>
    <w:rsid w:val="00C516CC"/>
    <w:rsid w:val="00C5429F"/>
    <w:rsid w:val="00C62E73"/>
    <w:rsid w:val="00C64025"/>
    <w:rsid w:val="00C722C2"/>
    <w:rsid w:val="00C72CED"/>
    <w:rsid w:val="00C77711"/>
    <w:rsid w:val="00C8264C"/>
    <w:rsid w:val="00C83B18"/>
    <w:rsid w:val="00C87E58"/>
    <w:rsid w:val="00C903E6"/>
    <w:rsid w:val="00C90C09"/>
    <w:rsid w:val="00C92F4A"/>
    <w:rsid w:val="00C931AE"/>
    <w:rsid w:val="00C934F7"/>
    <w:rsid w:val="00C9774D"/>
    <w:rsid w:val="00CA03E2"/>
    <w:rsid w:val="00CA4242"/>
    <w:rsid w:val="00CA64DF"/>
    <w:rsid w:val="00CA7846"/>
    <w:rsid w:val="00CA7E70"/>
    <w:rsid w:val="00CB1622"/>
    <w:rsid w:val="00CB1B9B"/>
    <w:rsid w:val="00CB3113"/>
    <w:rsid w:val="00CB564A"/>
    <w:rsid w:val="00CB7E82"/>
    <w:rsid w:val="00CC12C0"/>
    <w:rsid w:val="00CC1BA6"/>
    <w:rsid w:val="00CC28F1"/>
    <w:rsid w:val="00CC7584"/>
    <w:rsid w:val="00CC7692"/>
    <w:rsid w:val="00CD1771"/>
    <w:rsid w:val="00CD581D"/>
    <w:rsid w:val="00CD5D37"/>
    <w:rsid w:val="00CD627A"/>
    <w:rsid w:val="00CE163B"/>
    <w:rsid w:val="00CF0268"/>
    <w:rsid w:val="00CF1E71"/>
    <w:rsid w:val="00CF2B3A"/>
    <w:rsid w:val="00CF5665"/>
    <w:rsid w:val="00CF6EBF"/>
    <w:rsid w:val="00D00EDB"/>
    <w:rsid w:val="00D02695"/>
    <w:rsid w:val="00D05BF5"/>
    <w:rsid w:val="00D06F76"/>
    <w:rsid w:val="00D13EA3"/>
    <w:rsid w:val="00D14B8E"/>
    <w:rsid w:val="00D15106"/>
    <w:rsid w:val="00D1559E"/>
    <w:rsid w:val="00D155C3"/>
    <w:rsid w:val="00D164A0"/>
    <w:rsid w:val="00D205A8"/>
    <w:rsid w:val="00D23174"/>
    <w:rsid w:val="00D2466D"/>
    <w:rsid w:val="00D324F9"/>
    <w:rsid w:val="00D42EBA"/>
    <w:rsid w:val="00D4387D"/>
    <w:rsid w:val="00D4496C"/>
    <w:rsid w:val="00D51753"/>
    <w:rsid w:val="00D51E29"/>
    <w:rsid w:val="00D5260B"/>
    <w:rsid w:val="00D574A6"/>
    <w:rsid w:val="00D60ACF"/>
    <w:rsid w:val="00D712DC"/>
    <w:rsid w:val="00D71359"/>
    <w:rsid w:val="00D80476"/>
    <w:rsid w:val="00D86808"/>
    <w:rsid w:val="00D86AF5"/>
    <w:rsid w:val="00D91212"/>
    <w:rsid w:val="00D91C5F"/>
    <w:rsid w:val="00D92D02"/>
    <w:rsid w:val="00D94EDF"/>
    <w:rsid w:val="00DA6597"/>
    <w:rsid w:val="00DA6F65"/>
    <w:rsid w:val="00DA7147"/>
    <w:rsid w:val="00DA75AB"/>
    <w:rsid w:val="00DA768C"/>
    <w:rsid w:val="00DA76FA"/>
    <w:rsid w:val="00DB0759"/>
    <w:rsid w:val="00DB0D32"/>
    <w:rsid w:val="00DB4618"/>
    <w:rsid w:val="00DB645B"/>
    <w:rsid w:val="00DB6E98"/>
    <w:rsid w:val="00DC77D1"/>
    <w:rsid w:val="00DD083E"/>
    <w:rsid w:val="00DD0C30"/>
    <w:rsid w:val="00DD1BFB"/>
    <w:rsid w:val="00DD472C"/>
    <w:rsid w:val="00DD6F35"/>
    <w:rsid w:val="00DD7E32"/>
    <w:rsid w:val="00DE08E9"/>
    <w:rsid w:val="00DE2E42"/>
    <w:rsid w:val="00DE3A69"/>
    <w:rsid w:val="00DE4906"/>
    <w:rsid w:val="00DE54B2"/>
    <w:rsid w:val="00DE60D2"/>
    <w:rsid w:val="00DE7A80"/>
    <w:rsid w:val="00DF2D59"/>
    <w:rsid w:val="00E0179E"/>
    <w:rsid w:val="00E02BE6"/>
    <w:rsid w:val="00E047FF"/>
    <w:rsid w:val="00E1401F"/>
    <w:rsid w:val="00E149D1"/>
    <w:rsid w:val="00E161E6"/>
    <w:rsid w:val="00E16AE9"/>
    <w:rsid w:val="00E1737C"/>
    <w:rsid w:val="00E2111B"/>
    <w:rsid w:val="00E2283A"/>
    <w:rsid w:val="00E237B0"/>
    <w:rsid w:val="00E252DF"/>
    <w:rsid w:val="00E25F85"/>
    <w:rsid w:val="00E27CED"/>
    <w:rsid w:val="00E3177F"/>
    <w:rsid w:val="00E37FB6"/>
    <w:rsid w:val="00E42F87"/>
    <w:rsid w:val="00E43A81"/>
    <w:rsid w:val="00E44874"/>
    <w:rsid w:val="00E4507C"/>
    <w:rsid w:val="00E45636"/>
    <w:rsid w:val="00E51173"/>
    <w:rsid w:val="00E51E54"/>
    <w:rsid w:val="00E52A96"/>
    <w:rsid w:val="00E52E23"/>
    <w:rsid w:val="00E557CC"/>
    <w:rsid w:val="00E55EDA"/>
    <w:rsid w:val="00E56BC4"/>
    <w:rsid w:val="00E5708A"/>
    <w:rsid w:val="00E607FC"/>
    <w:rsid w:val="00E60E25"/>
    <w:rsid w:val="00E7097E"/>
    <w:rsid w:val="00E70A99"/>
    <w:rsid w:val="00E72F86"/>
    <w:rsid w:val="00E73FB1"/>
    <w:rsid w:val="00E7459E"/>
    <w:rsid w:val="00E770C5"/>
    <w:rsid w:val="00E8196A"/>
    <w:rsid w:val="00E81FDA"/>
    <w:rsid w:val="00E83B83"/>
    <w:rsid w:val="00E866E7"/>
    <w:rsid w:val="00E9086C"/>
    <w:rsid w:val="00E91102"/>
    <w:rsid w:val="00E911B2"/>
    <w:rsid w:val="00E928EA"/>
    <w:rsid w:val="00EA1E0F"/>
    <w:rsid w:val="00EA2E38"/>
    <w:rsid w:val="00EA5531"/>
    <w:rsid w:val="00EA7318"/>
    <w:rsid w:val="00EB1290"/>
    <w:rsid w:val="00EB2A5D"/>
    <w:rsid w:val="00EC1970"/>
    <w:rsid w:val="00EC1B77"/>
    <w:rsid w:val="00EC2854"/>
    <w:rsid w:val="00ED01FF"/>
    <w:rsid w:val="00ED52DB"/>
    <w:rsid w:val="00EE003D"/>
    <w:rsid w:val="00EE14AC"/>
    <w:rsid w:val="00EE188F"/>
    <w:rsid w:val="00EE37EC"/>
    <w:rsid w:val="00EE6012"/>
    <w:rsid w:val="00EE6E5D"/>
    <w:rsid w:val="00EE7274"/>
    <w:rsid w:val="00EE7B2B"/>
    <w:rsid w:val="00EF0135"/>
    <w:rsid w:val="00EF3C34"/>
    <w:rsid w:val="00EF6909"/>
    <w:rsid w:val="00F02049"/>
    <w:rsid w:val="00F030E8"/>
    <w:rsid w:val="00F121F7"/>
    <w:rsid w:val="00F16A7C"/>
    <w:rsid w:val="00F16D31"/>
    <w:rsid w:val="00F17344"/>
    <w:rsid w:val="00F209F0"/>
    <w:rsid w:val="00F326F4"/>
    <w:rsid w:val="00F3308D"/>
    <w:rsid w:val="00F35649"/>
    <w:rsid w:val="00F42DA4"/>
    <w:rsid w:val="00F43949"/>
    <w:rsid w:val="00F44C3A"/>
    <w:rsid w:val="00F46BE8"/>
    <w:rsid w:val="00F47BB1"/>
    <w:rsid w:val="00F47E74"/>
    <w:rsid w:val="00F50A61"/>
    <w:rsid w:val="00F5356D"/>
    <w:rsid w:val="00F535E5"/>
    <w:rsid w:val="00F54399"/>
    <w:rsid w:val="00F56029"/>
    <w:rsid w:val="00F57C3B"/>
    <w:rsid w:val="00F60113"/>
    <w:rsid w:val="00F60724"/>
    <w:rsid w:val="00F65828"/>
    <w:rsid w:val="00F66F0F"/>
    <w:rsid w:val="00F740B1"/>
    <w:rsid w:val="00F806F3"/>
    <w:rsid w:val="00F81ABF"/>
    <w:rsid w:val="00F81F49"/>
    <w:rsid w:val="00F82B9B"/>
    <w:rsid w:val="00F82D4B"/>
    <w:rsid w:val="00F86E8C"/>
    <w:rsid w:val="00F92AC8"/>
    <w:rsid w:val="00F92C7F"/>
    <w:rsid w:val="00F961CC"/>
    <w:rsid w:val="00F96393"/>
    <w:rsid w:val="00FA1E95"/>
    <w:rsid w:val="00FA368B"/>
    <w:rsid w:val="00FA3E2D"/>
    <w:rsid w:val="00FB2B83"/>
    <w:rsid w:val="00FB36C4"/>
    <w:rsid w:val="00FB592B"/>
    <w:rsid w:val="00FB64D9"/>
    <w:rsid w:val="00FB74FE"/>
    <w:rsid w:val="00FC0753"/>
    <w:rsid w:val="00FC3208"/>
    <w:rsid w:val="00FC3625"/>
    <w:rsid w:val="00FC445B"/>
    <w:rsid w:val="00FC6919"/>
    <w:rsid w:val="00FC7DF1"/>
    <w:rsid w:val="00FD3359"/>
    <w:rsid w:val="00FD4320"/>
    <w:rsid w:val="00FD580D"/>
    <w:rsid w:val="00FD6F47"/>
    <w:rsid w:val="00FD7482"/>
    <w:rsid w:val="00FE039F"/>
    <w:rsid w:val="00FE0DDC"/>
    <w:rsid w:val="00FE1857"/>
    <w:rsid w:val="00FE1DBD"/>
    <w:rsid w:val="00FF0DFF"/>
    <w:rsid w:val="00FF55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9646,#ffbc9b,#333,silver"/>
    </o:shapedefaults>
    <o:shapelayout v:ext="edit">
      <o:idmap v:ext="edit" data="2"/>
    </o:shapelayout>
  </w:shapeDefaults>
  <w:decimalSymbol w:val="."/>
  <w:listSeparator w:val=","/>
  <w14:docId w14:val="45309D18"/>
  <w15:docId w15:val="{DF8B58FB-707F-4BBF-B717-792ACD27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4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EE"/>
    <w:pPr>
      <w:spacing w:after="200" w:line="276" w:lineRule="auto"/>
      <w:ind w:left="0" w:firstLine="0"/>
      <w:jc w:val="left"/>
    </w:pPr>
    <w:rPr>
      <w:rFonts w:ascii="Segoe UI" w:hAnsi="Segoe UI"/>
      <w:color w:val="414042"/>
      <w:lang w:val="en-US" w:bidi="en-US"/>
    </w:rPr>
  </w:style>
  <w:style w:type="paragraph" w:styleId="Heading1">
    <w:name w:val="heading 1"/>
    <w:aliases w:val="h1,A MAJOR/BOLD,Schedheading,h1 chapter heading,Heading 1(Report Only),RFP Heading 1,Schedule Heading 1,No numbers,Attribute Heading 1,Section Heading,Para1,h11,h12,69%,L1,H1,Head1,Heading apps,1,Part,h13,Para11,h111,h121,No numbers1,69%1,L11"/>
    <w:basedOn w:val="Heading2"/>
    <w:next w:val="Normal"/>
    <w:link w:val="Heading1Char"/>
    <w:uiPriority w:val="9"/>
    <w:qFormat/>
    <w:rsid w:val="00A43B04"/>
    <w:pPr>
      <w:outlineLvl w:val="0"/>
    </w:pPr>
    <w:rPr>
      <w:sz w:val="32"/>
    </w:rPr>
  </w:style>
  <w:style w:type="paragraph" w:styleId="Heading2">
    <w:name w:val="heading 2"/>
    <w:basedOn w:val="Normal"/>
    <w:next w:val="Normal"/>
    <w:link w:val="Heading2Char"/>
    <w:uiPriority w:val="9"/>
    <w:unhideWhenUsed/>
    <w:qFormat/>
    <w:rsid w:val="00A43B04"/>
    <w:pPr>
      <w:keepNext/>
      <w:spacing w:before="240"/>
      <w:outlineLvl w:val="1"/>
    </w:pPr>
    <w:rPr>
      <w:b/>
      <w:color w:val="004165"/>
      <w:sz w:val="24"/>
    </w:rPr>
  </w:style>
  <w:style w:type="paragraph" w:styleId="Heading3">
    <w:name w:val="heading 3"/>
    <w:basedOn w:val="Normal"/>
    <w:next w:val="Normal"/>
    <w:link w:val="Heading3Char"/>
    <w:uiPriority w:val="9"/>
    <w:unhideWhenUsed/>
    <w:qFormat/>
    <w:rsid w:val="00A43B04"/>
    <w:pPr>
      <w:keepNext/>
      <w:keepLines/>
      <w:spacing w:before="200"/>
      <w:ind w:left="720" w:hanging="720"/>
      <w:outlineLvl w:val="2"/>
    </w:pPr>
    <w:rPr>
      <w:rFonts w:eastAsiaTheme="majorEastAsia"/>
      <w:b/>
      <w:bCs/>
    </w:rPr>
  </w:style>
  <w:style w:type="paragraph" w:styleId="Heading4">
    <w:name w:val="heading 4"/>
    <w:basedOn w:val="Normal"/>
    <w:next w:val="Normal"/>
    <w:link w:val="Heading4Char"/>
    <w:uiPriority w:val="9"/>
    <w:unhideWhenUsed/>
    <w:qFormat/>
    <w:rsid w:val="0006451B"/>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Title"/>
    <w:next w:val="Normal"/>
    <w:link w:val="Heading5Char"/>
    <w:uiPriority w:val="9"/>
    <w:unhideWhenUsed/>
    <w:qFormat/>
    <w:rsid w:val="00072BDD"/>
    <w:pPr>
      <w:numPr>
        <w:ilvl w:val="4"/>
        <w:numId w:val="20"/>
      </w:numPr>
      <w:outlineLvl w:val="4"/>
    </w:pPr>
    <w:rPr>
      <w:b w:val="0"/>
      <w:bCs w:val="0"/>
      <w:color w:val="004165"/>
      <w:spacing w:val="5"/>
      <w:kern w:val="28"/>
      <w:sz w:val="72"/>
      <w:szCs w:val="52"/>
      <w:lang w:val="en-AU"/>
    </w:rPr>
  </w:style>
  <w:style w:type="paragraph" w:styleId="Heading6">
    <w:name w:val="heading 6"/>
    <w:basedOn w:val="Normal"/>
    <w:next w:val="Normal"/>
    <w:link w:val="Heading6Char"/>
    <w:uiPriority w:val="9"/>
    <w:semiHidden/>
    <w:unhideWhenUsed/>
    <w:qFormat/>
    <w:rsid w:val="0006451B"/>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451B"/>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451B"/>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451B"/>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1 chapter heading Char,Heading 1(Report Only) Char,RFP Heading 1 Char,Schedule Heading 1 Char,No numbers Char,Attribute Heading 1 Char,Section Heading Char,Para1 Char,h11 Char,h12 Char,69% Char"/>
    <w:basedOn w:val="DefaultParagraphFont"/>
    <w:link w:val="Heading1"/>
    <w:uiPriority w:val="9"/>
    <w:rsid w:val="00A43B04"/>
    <w:rPr>
      <w:rFonts w:ascii="Segoe UI" w:hAnsi="Segoe UI"/>
      <w:b/>
      <w:color w:val="004165"/>
      <w:sz w:val="32"/>
      <w:lang w:val="en-US" w:bidi="en-US"/>
    </w:rPr>
  </w:style>
  <w:style w:type="character" w:customStyle="1" w:styleId="Heading2Char">
    <w:name w:val="Heading 2 Char"/>
    <w:basedOn w:val="DefaultParagraphFont"/>
    <w:link w:val="Heading2"/>
    <w:uiPriority w:val="9"/>
    <w:rsid w:val="00A43B04"/>
    <w:rPr>
      <w:rFonts w:ascii="Segoe UI" w:hAnsi="Segoe UI"/>
      <w:b/>
      <w:color w:val="004165"/>
      <w:sz w:val="24"/>
      <w:lang w:val="en-US" w:bidi="en-US"/>
    </w:rPr>
  </w:style>
  <w:style w:type="character" w:customStyle="1" w:styleId="Heading3Char">
    <w:name w:val="Heading 3 Char"/>
    <w:basedOn w:val="DefaultParagraphFont"/>
    <w:link w:val="Heading3"/>
    <w:uiPriority w:val="9"/>
    <w:rsid w:val="00A43B04"/>
    <w:rPr>
      <w:rFonts w:ascii="Segoe UI" w:eastAsiaTheme="majorEastAsia" w:hAnsi="Segoe UI"/>
      <w:b/>
      <w:bCs/>
      <w:color w:val="414042"/>
      <w:lang w:val="en-US" w:bidi="en-US"/>
    </w:rPr>
  </w:style>
  <w:style w:type="character" w:customStyle="1" w:styleId="Heading4Char">
    <w:name w:val="Heading 4 Char"/>
    <w:basedOn w:val="DefaultParagraphFont"/>
    <w:link w:val="Heading4"/>
    <w:uiPriority w:val="9"/>
    <w:rsid w:val="000645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2BDD"/>
    <w:rPr>
      <w:rFonts w:ascii="Segoe UI Semibold" w:eastAsiaTheme="majorEastAsia" w:hAnsi="Segoe UI Semibold" w:cs="Segoe UI Semibold"/>
      <w:color w:val="004165"/>
      <w:spacing w:val="5"/>
      <w:kern w:val="28"/>
      <w:sz w:val="72"/>
      <w:szCs w:val="52"/>
      <w:lang w:bidi="en-US"/>
    </w:rPr>
  </w:style>
  <w:style w:type="character" w:customStyle="1" w:styleId="Heading6Char">
    <w:name w:val="Heading 6 Char"/>
    <w:basedOn w:val="DefaultParagraphFont"/>
    <w:link w:val="Heading6"/>
    <w:uiPriority w:val="9"/>
    <w:semiHidden/>
    <w:rsid w:val="000645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45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45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451B"/>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06451B"/>
    <w:pPr>
      <w:tabs>
        <w:tab w:val="center" w:pos="4153"/>
        <w:tab w:val="right" w:pos="8306"/>
      </w:tabs>
    </w:pPr>
  </w:style>
  <w:style w:type="character" w:customStyle="1" w:styleId="FooterChar">
    <w:name w:val="Footer Char"/>
    <w:basedOn w:val="DefaultParagraphFont"/>
    <w:link w:val="Footer"/>
    <w:uiPriority w:val="99"/>
    <w:rsid w:val="0006451B"/>
    <w:rPr>
      <w:rFonts w:ascii="Arial" w:eastAsia="Times New Roman" w:hAnsi="Arial" w:cs="Arial"/>
    </w:rPr>
  </w:style>
  <w:style w:type="paragraph" w:styleId="ListParagraph">
    <w:name w:val="List Paragraph"/>
    <w:basedOn w:val="Normal"/>
    <w:uiPriority w:val="34"/>
    <w:qFormat/>
    <w:rsid w:val="0006451B"/>
    <w:pPr>
      <w:ind w:left="720"/>
      <w:contextualSpacing/>
    </w:pPr>
  </w:style>
  <w:style w:type="character" w:styleId="Hyperlink">
    <w:name w:val="Hyperlink"/>
    <w:basedOn w:val="DefaultParagraphFont"/>
    <w:uiPriority w:val="99"/>
    <w:unhideWhenUsed/>
    <w:rsid w:val="0006451B"/>
    <w:rPr>
      <w:color w:val="0000FF" w:themeColor="hyperlink"/>
      <w:u w:val="single"/>
    </w:rPr>
  </w:style>
  <w:style w:type="paragraph" w:styleId="FootnoteText">
    <w:name w:val="footnote text"/>
    <w:basedOn w:val="Normal"/>
    <w:link w:val="FootnoteTextChar"/>
    <w:uiPriority w:val="99"/>
    <w:unhideWhenUsed/>
    <w:rsid w:val="0006451B"/>
    <w:pPr>
      <w:spacing w:after="0"/>
    </w:pPr>
    <w:rPr>
      <w:sz w:val="24"/>
      <w:szCs w:val="24"/>
    </w:rPr>
  </w:style>
  <w:style w:type="character" w:customStyle="1" w:styleId="FootnoteTextChar">
    <w:name w:val="Footnote Text Char"/>
    <w:basedOn w:val="DefaultParagraphFont"/>
    <w:link w:val="FootnoteText"/>
    <w:uiPriority w:val="99"/>
    <w:rsid w:val="0006451B"/>
    <w:rPr>
      <w:rFonts w:ascii="Arial" w:eastAsia="Times New Roman" w:hAnsi="Arial" w:cs="Arial"/>
      <w:sz w:val="24"/>
      <w:szCs w:val="24"/>
    </w:rPr>
  </w:style>
  <w:style w:type="character" w:styleId="FootnoteReference">
    <w:name w:val="footnote reference"/>
    <w:basedOn w:val="DefaultParagraphFont"/>
    <w:uiPriority w:val="99"/>
    <w:unhideWhenUsed/>
    <w:rsid w:val="0006451B"/>
    <w:rPr>
      <w:vertAlign w:val="superscript"/>
    </w:rPr>
  </w:style>
  <w:style w:type="paragraph" w:styleId="TOCHeading">
    <w:name w:val="TOC Heading"/>
    <w:basedOn w:val="Heading1"/>
    <w:next w:val="Normal"/>
    <w:uiPriority w:val="39"/>
    <w:unhideWhenUsed/>
    <w:qFormat/>
    <w:rsid w:val="0006451B"/>
    <w:pPr>
      <w:keepLines/>
      <w:spacing w:before="480" w:after="0"/>
      <w:outlineLvl w:val="9"/>
    </w:pPr>
    <w:rPr>
      <w:rFonts w:asciiTheme="majorHAnsi" w:eastAsiaTheme="majorEastAsia" w:hAnsiTheme="majorHAnsi" w:cstheme="majorBidi"/>
      <w:bCs/>
      <w:color w:val="365F91" w:themeColor="accent1" w:themeShade="BF"/>
    </w:rPr>
  </w:style>
  <w:style w:type="paragraph" w:styleId="TOC3">
    <w:name w:val="toc 3"/>
    <w:basedOn w:val="Normal"/>
    <w:next w:val="Normal"/>
    <w:autoRedefine/>
    <w:uiPriority w:val="39"/>
    <w:unhideWhenUsed/>
    <w:rsid w:val="0006451B"/>
    <w:pPr>
      <w:tabs>
        <w:tab w:val="left" w:pos="1701"/>
        <w:tab w:val="right" w:leader="dot" w:pos="9016"/>
      </w:tabs>
      <w:spacing w:after="100"/>
      <w:ind w:left="1134"/>
    </w:pPr>
    <w:rPr>
      <w:sz w:val="20"/>
    </w:rPr>
  </w:style>
  <w:style w:type="paragraph" w:styleId="TOC1">
    <w:name w:val="toc 1"/>
    <w:basedOn w:val="Normal"/>
    <w:next w:val="Normal"/>
    <w:autoRedefine/>
    <w:uiPriority w:val="39"/>
    <w:unhideWhenUsed/>
    <w:rsid w:val="00585359"/>
    <w:pPr>
      <w:tabs>
        <w:tab w:val="left" w:pos="567"/>
        <w:tab w:val="right" w:leader="dot" w:pos="9016"/>
      </w:tabs>
      <w:spacing w:before="240" w:after="120"/>
    </w:pPr>
    <w:rPr>
      <w:b/>
    </w:rPr>
  </w:style>
  <w:style w:type="paragraph" w:styleId="TOC2">
    <w:name w:val="toc 2"/>
    <w:basedOn w:val="Normal"/>
    <w:next w:val="Normal"/>
    <w:autoRedefine/>
    <w:uiPriority w:val="39"/>
    <w:unhideWhenUsed/>
    <w:rsid w:val="0006451B"/>
    <w:pPr>
      <w:tabs>
        <w:tab w:val="left" w:pos="1134"/>
        <w:tab w:val="right" w:leader="dot" w:pos="9016"/>
      </w:tabs>
      <w:spacing w:after="100"/>
      <w:ind w:left="567"/>
    </w:pPr>
  </w:style>
  <w:style w:type="paragraph" w:styleId="BalloonText">
    <w:name w:val="Balloon Text"/>
    <w:basedOn w:val="Normal"/>
    <w:link w:val="BalloonTextChar"/>
    <w:uiPriority w:val="99"/>
    <w:semiHidden/>
    <w:unhideWhenUsed/>
    <w:rsid w:val="0006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1B"/>
    <w:rPr>
      <w:rFonts w:ascii="Tahoma" w:eastAsia="Times New Roman" w:hAnsi="Tahoma" w:cs="Tahoma"/>
      <w:sz w:val="16"/>
      <w:szCs w:val="16"/>
    </w:rPr>
  </w:style>
  <w:style w:type="paragraph" w:styleId="Header">
    <w:name w:val="header"/>
    <w:basedOn w:val="Normal"/>
    <w:link w:val="HeaderChar"/>
    <w:unhideWhenUsed/>
    <w:rsid w:val="00327312"/>
    <w:pPr>
      <w:tabs>
        <w:tab w:val="center" w:pos="4513"/>
        <w:tab w:val="right" w:pos="9026"/>
      </w:tabs>
      <w:spacing w:after="0" w:line="240" w:lineRule="auto"/>
    </w:pPr>
  </w:style>
  <w:style w:type="character" w:customStyle="1" w:styleId="HeaderChar">
    <w:name w:val="Header Char"/>
    <w:basedOn w:val="DefaultParagraphFont"/>
    <w:link w:val="Header"/>
    <w:rsid w:val="00327312"/>
    <w:rPr>
      <w:rFonts w:ascii="Arial" w:eastAsia="Times New Roman" w:hAnsi="Arial" w:cs="Arial"/>
    </w:rPr>
  </w:style>
  <w:style w:type="character" w:styleId="CommentReference">
    <w:name w:val="annotation reference"/>
    <w:basedOn w:val="DefaultParagraphFont"/>
    <w:uiPriority w:val="99"/>
    <w:semiHidden/>
    <w:unhideWhenUsed/>
    <w:rsid w:val="005B796C"/>
    <w:rPr>
      <w:sz w:val="16"/>
      <w:szCs w:val="16"/>
    </w:rPr>
  </w:style>
  <w:style w:type="paragraph" w:styleId="CommentText">
    <w:name w:val="annotation text"/>
    <w:basedOn w:val="Normal"/>
    <w:link w:val="CommentTextChar"/>
    <w:uiPriority w:val="99"/>
    <w:unhideWhenUsed/>
    <w:rsid w:val="005B796C"/>
    <w:pPr>
      <w:spacing w:before="120" w:after="0" w:line="240" w:lineRule="auto"/>
    </w:pPr>
    <w:rPr>
      <w:sz w:val="20"/>
      <w:szCs w:val="20"/>
    </w:rPr>
  </w:style>
  <w:style w:type="character" w:customStyle="1" w:styleId="CommentTextChar">
    <w:name w:val="Comment Text Char"/>
    <w:basedOn w:val="DefaultParagraphFont"/>
    <w:link w:val="CommentText"/>
    <w:uiPriority w:val="99"/>
    <w:rsid w:val="005B796C"/>
    <w:rPr>
      <w:rFonts w:ascii="Arial" w:eastAsia="Times New Roman" w:hAnsi="Arial" w:cs="Arial"/>
      <w:sz w:val="20"/>
      <w:szCs w:val="20"/>
    </w:rPr>
  </w:style>
  <w:style w:type="paragraph" w:styleId="Caption">
    <w:name w:val="caption"/>
    <w:basedOn w:val="Normal"/>
    <w:next w:val="Normal"/>
    <w:uiPriority w:val="35"/>
    <w:unhideWhenUsed/>
    <w:qFormat/>
    <w:rsid w:val="00EE7274"/>
    <w:pPr>
      <w:spacing w:line="240" w:lineRule="auto"/>
    </w:pPr>
    <w:rPr>
      <w:b/>
      <w:bCs/>
      <w:color w:val="4F81BD" w:themeColor="accent1"/>
      <w:sz w:val="18"/>
      <w:szCs w:val="18"/>
    </w:rPr>
  </w:style>
  <w:style w:type="paragraph" w:customStyle="1" w:styleId="Default">
    <w:name w:val="Default"/>
    <w:rsid w:val="002D0CB6"/>
    <w:pPr>
      <w:autoSpaceDE w:val="0"/>
      <w:autoSpaceDN w:val="0"/>
      <w:adjustRightInd w:val="0"/>
      <w:spacing w:after="0"/>
      <w:ind w:left="0" w:firstLine="0"/>
      <w:jc w:val="left"/>
    </w:pPr>
    <w:rPr>
      <w:rFonts w:ascii="Arial" w:eastAsia="Times New Roman" w:hAnsi="Arial" w:cs="Arial"/>
      <w:color w:val="000000"/>
      <w:sz w:val="24"/>
      <w:szCs w:val="24"/>
      <w:lang w:val="en-US"/>
    </w:rPr>
  </w:style>
  <w:style w:type="table" w:styleId="TableGrid">
    <w:name w:val="Table Grid"/>
    <w:basedOn w:val="TableNormal"/>
    <w:uiPriority w:val="59"/>
    <w:rsid w:val="002D0C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43C"/>
    <w:pPr>
      <w:spacing w:after="0"/>
      <w:ind w:left="0" w:firstLine="0"/>
      <w:jc w:val="left"/>
    </w:pPr>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67455"/>
    <w:pPr>
      <w:spacing w:before="0" w:after="240"/>
    </w:pPr>
    <w:rPr>
      <w:b/>
      <w:bCs/>
    </w:rPr>
  </w:style>
  <w:style w:type="character" w:customStyle="1" w:styleId="CommentSubjectChar">
    <w:name w:val="Comment Subject Char"/>
    <w:basedOn w:val="CommentTextChar"/>
    <w:link w:val="CommentSubject"/>
    <w:uiPriority w:val="99"/>
    <w:semiHidden/>
    <w:rsid w:val="0046745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5E7F6C"/>
    <w:rPr>
      <w:color w:val="800080" w:themeColor="followedHyperlink"/>
      <w:u w:val="single"/>
    </w:rPr>
  </w:style>
  <w:style w:type="table" w:customStyle="1" w:styleId="TableGrid1">
    <w:name w:val="Table Grid1"/>
    <w:basedOn w:val="TableNormal"/>
    <w:next w:val="TableGrid"/>
    <w:uiPriority w:val="59"/>
    <w:rsid w:val="00602B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7952"/>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itle">
    <w:name w:val="Title"/>
    <w:basedOn w:val="Heading1"/>
    <w:next w:val="Normal"/>
    <w:link w:val="TitleChar"/>
    <w:autoRedefine/>
    <w:qFormat/>
    <w:rsid w:val="008A4EE2"/>
    <w:pPr>
      <w:numPr>
        <w:numId w:val="19"/>
      </w:numPr>
      <w:ind w:left="426" w:hanging="426"/>
    </w:pPr>
    <w:rPr>
      <w:rFonts w:ascii="Segoe UI Semibold" w:eastAsiaTheme="majorEastAsia" w:hAnsi="Segoe UI Semibold" w:cs="Segoe UI Semibold"/>
      <w:bCs/>
      <w:color w:val="008998"/>
      <w:sz w:val="44"/>
    </w:rPr>
  </w:style>
  <w:style w:type="character" w:customStyle="1" w:styleId="TitleChar">
    <w:name w:val="Title Char"/>
    <w:basedOn w:val="DefaultParagraphFont"/>
    <w:link w:val="Title"/>
    <w:rsid w:val="008A4EE2"/>
    <w:rPr>
      <w:rFonts w:ascii="Segoe UI Semibold" w:eastAsiaTheme="majorEastAsia" w:hAnsi="Segoe UI Semibold" w:cs="Segoe UI Semibold"/>
      <w:b/>
      <w:bCs/>
      <w:color w:val="008998"/>
      <w:sz w:val="44"/>
      <w:lang w:val="en-US" w:bidi="en-US"/>
    </w:rPr>
  </w:style>
  <w:style w:type="character" w:styleId="SubtleEmphasis">
    <w:name w:val="Subtle Emphasis"/>
    <w:basedOn w:val="DefaultParagraphFont"/>
    <w:uiPriority w:val="19"/>
    <w:qFormat/>
    <w:rsid w:val="008A4EE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550">
      <w:bodyDiv w:val="1"/>
      <w:marLeft w:val="0"/>
      <w:marRight w:val="0"/>
      <w:marTop w:val="0"/>
      <w:marBottom w:val="0"/>
      <w:divBdr>
        <w:top w:val="none" w:sz="0" w:space="0" w:color="auto"/>
        <w:left w:val="none" w:sz="0" w:space="0" w:color="auto"/>
        <w:bottom w:val="none" w:sz="0" w:space="0" w:color="auto"/>
        <w:right w:val="none" w:sz="0" w:space="0" w:color="auto"/>
      </w:divBdr>
    </w:div>
    <w:div w:id="46223541">
      <w:bodyDiv w:val="1"/>
      <w:marLeft w:val="0"/>
      <w:marRight w:val="0"/>
      <w:marTop w:val="0"/>
      <w:marBottom w:val="0"/>
      <w:divBdr>
        <w:top w:val="none" w:sz="0" w:space="0" w:color="auto"/>
        <w:left w:val="none" w:sz="0" w:space="0" w:color="auto"/>
        <w:bottom w:val="none" w:sz="0" w:space="0" w:color="auto"/>
        <w:right w:val="none" w:sz="0" w:space="0" w:color="auto"/>
      </w:divBdr>
    </w:div>
    <w:div w:id="70735428">
      <w:bodyDiv w:val="1"/>
      <w:marLeft w:val="0"/>
      <w:marRight w:val="0"/>
      <w:marTop w:val="0"/>
      <w:marBottom w:val="0"/>
      <w:divBdr>
        <w:top w:val="none" w:sz="0" w:space="0" w:color="auto"/>
        <w:left w:val="none" w:sz="0" w:space="0" w:color="auto"/>
        <w:bottom w:val="none" w:sz="0" w:space="0" w:color="auto"/>
        <w:right w:val="none" w:sz="0" w:space="0" w:color="auto"/>
      </w:divBdr>
      <w:divsChild>
        <w:div w:id="2073579023">
          <w:marLeft w:val="360"/>
          <w:marRight w:val="0"/>
          <w:marTop w:val="200"/>
          <w:marBottom w:val="0"/>
          <w:divBdr>
            <w:top w:val="none" w:sz="0" w:space="0" w:color="auto"/>
            <w:left w:val="none" w:sz="0" w:space="0" w:color="auto"/>
            <w:bottom w:val="none" w:sz="0" w:space="0" w:color="auto"/>
            <w:right w:val="none" w:sz="0" w:space="0" w:color="auto"/>
          </w:divBdr>
        </w:div>
        <w:div w:id="1976253671">
          <w:marLeft w:val="360"/>
          <w:marRight w:val="0"/>
          <w:marTop w:val="200"/>
          <w:marBottom w:val="0"/>
          <w:divBdr>
            <w:top w:val="none" w:sz="0" w:space="0" w:color="auto"/>
            <w:left w:val="none" w:sz="0" w:space="0" w:color="auto"/>
            <w:bottom w:val="none" w:sz="0" w:space="0" w:color="auto"/>
            <w:right w:val="none" w:sz="0" w:space="0" w:color="auto"/>
          </w:divBdr>
        </w:div>
      </w:divsChild>
    </w:div>
    <w:div w:id="96027838">
      <w:bodyDiv w:val="1"/>
      <w:marLeft w:val="0"/>
      <w:marRight w:val="0"/>
      <w:marTop w:val="0"/>
      <w:marBottom w:val="0"/>
      <w:divBdr>
        <w:top w:val="none" w:sz="0" w:space="0" w:color="auto"/>
        <w:left w:val="none" w:sz="0" w:space="0" w:color="auto"/>
        <w:bottom w:val="none" w:sz="0" w:space="0" w:color="auto"/>
        <w:right w:val="none" w:sz="0" w:space="0" w:color="auto"/>
      </w:divBdr>
    </w:div>
    <w:div w:id="581067839">
      <w:bodyDiv w:val="1"/>
      <w:marLeft w:val="0"/>
      <w:marRight w:val="0"/>
      <w:marTop w:val="0"/>
      <w:marBottom w:val="0"/>
      <w:divBdr>
        <w:top w:val="none" w:sz="0" w:space="0" w:color="auto"/>
        <w:left w:val="none" w:sz="0" w:space="0" w:color="auto"/>
        <w:bottom w:val="none" w:sz="0" w:space="0" w:color="auto"/>
        <w:right w:val="none" w:sz="0" w:space="0" w:color="auto"/>
      </w:divBdr>
    </w:div>
    <w:div w:id="883718279">
      <w:bodyDiv w:val="1"/>
      <w:marLeft w:val="0"/>
      <w:marRight w:val="0"/>
      <w:marTop w:val="0"/>
      <w:marBottom w:val="0"/>
      <w:divBdr>
        <w:top w:val="none" w:sz="0" w:space="0" w:color="auto"/>
        <w:left w:val="none" w:sz="0" w:space="0" w:color="auto"/>
        <w:bottom w:val="none" w:sz="0" w:space="0" w:color="auto"/>
        <w:right w:val="none" w:sz="0" w:space="0" w:color="auto"/>
      </w:divBdr>
    </w:div>
    <w:div w:id="1021472086">
      <w:bodyDiv w:val="1"/>
      <w:marLeft w:val="0"/>
      <w:marRight w:val="0"/>
      <w:marTop w:val="0"/>
      <w:marBottom w:val="0"/>
      <w:divBdr>
        <w:top w:val="none" w:sz="0" w:space="0" w:color="auto"/>
        <w:left w:val="none" w:sz="0" w:space="0" w:color="auto"/>
        <w:bottom w:val="none" w:sz="0" w:space="0" w:color="auto"/>
        <w:right w:val="none" w:sz="0" w:space="0" w:color="auto"/>
      </w:divBdr>
    </w:div>
    <w:div w:id="1090008277">
      <w:bodyDiv w:val="1"/>
      <w:marLeft w:val="0"/>
      <w:marRight w:val="0"/>
      <w:marTop w:val="0"/>
      <w:marBottom w:val="0"/>
      <w:divBdr>
        <w:top w:val="none" w:sz="0" w:space="0" w:color="auto"/>
        <w:left w:val="none" w:sz="0" w:space="0" w:color="auto"/>
        <w:bottom w:val="none" w:sz="0" w:space="0" w:color="auto"/>
        <w:right w:val="none" w:sz="0" w:space="0" w:color="auto"/>
      </w:divBdr>
    </w:div>
    <w:div w:id="1332560804">
      <w:bodyDiv w:val="1"/>
      <w:marLeft w:val="0"/>
      <w:marRight w:val="0"/>
      <w:marTop w:val="0"/>
      <w:marBottom w:val="0"/>
      <w:divBdr>
        <w:top w:val="none" w:sz="0" w:space="0" w:color="auto"/>
        <w:left w:val="none" w:sz="0" w:space="0" w:color="auto"/>
        <w:bottom w:val="none" w:sz="0" w:space="0" w:color="auto"/>
        <w:right w:val="none" w:sz="0" w:space="0" w:color="auto"/>
      </w:divBdr>
      <w:divsChild>
        <w:div w:id="210960981">
          <w:marLeft w:val="360"/>
          <w:marRight w:val="0"/>
          <w:marTop w:val="200"/>
          <w:marBottom w:val="0"/>
          <w:divBdr>
            <w:top w:val="none" w:sz="0" w:space="0" w:color="auto"/>
            <w:left w:val="none" w:sz="0" w:space="0" w:color="auto"/>
            <w:bottom w:val="none" w:sz="0" w:space="0" w:color="auto"/>
            <w:right w:val="none" w:sz="0" w:space="0" w:color="auto"/>
          </w:divBdr>
        </w:div>
        <w:div w:id="1680423054">
          <w:marLeft w:val="360"/>
          <w:marRight w:val="0"/>
          <w:marTop w:val="200"/>
          <w:marBottom w:val="0"/>
          <w:divBdr>
            <w:top w:val="none" w:sz="0" w:space="0" w:color="auto"/>
            <w:left w:val="none" w:sz="0" w:space="0" w:color="auto"/>
            <w:bottom w:val="none" w:sz="0" w:space="0" w:color="auto"/>
            <w:right w:val="none" w:sz="0" w:space="0" w:color="auto"/>
          </w:divBdr>
        </w:div>
        <w:div w:id="1464425673">
          <w:marLeft w:val="1080"/>
          <w:marRight w:val="0"/>
          <w:marTop w:val="100"/>
          <w:marBottom w:val="0"/>
          <w:divBdr>
            <w:top w:val="none" w:sz="0" w:space="0" w:color="auto"/>
            <w:left w:val="none" w:sz="0" w:space="0" w:color="auto"/>
            <w:bottom w:val="none" w:sz="0" w:space="0" w:color="auto"/>
            <w:right w:val="none" w:sz="0" w:space="0" w:color="auto"/>
          </w:divBdr>
        </w:div>
        <w:div w:id="317996986">
          <w:marLeft w:val="1080"/>
          <w:marRight w:val="0"/>
          <w:marTop w:val="100"/>
          <w:marBottom w:val="0"/>
          <w:divBdr>
            <w:top w:val="none" w:sz="0" w:space="0" w:color="auto"/>
            <w:left w:val="none" w:sz="0" w:space="0" w:color="auto"/>
            <w:bottom w:val="none" w:sz="0" w:space="0" w:color="auto"/>
            <w:right w:val="none" w:sz="0" w:space="0" w:color="auto"/>
          </w:divBdr>
        </w:div>
        <w:div w:id="1911311157">
          <w:marLeft w:val="1080"/>
          <w:marRight w:val="0"/>
          <w:marTop w:val="100"/>
          <w:marBottom w:val="0"/>
          <w:divBdr>
            <w:top w:val="none" w:sz="0" w:space="0" w:color="auto"/>
            <w:left w:val="none" w:sz="0" w:space="0" w:color="auto"/>
            <w:bottom w:val="none" w:sz="0" w:space="0" w:color="auto"/>
            <w:right w:val="none" w:sz="0" w:space="0" w:color="auto"/>
          </w:divBdr>
        </w:div>
      </w:divsChild>
    </w:div>
    <w:div w:id="1356224109">
      <w:bodyDiv w:val="1"/>
      <w:marLeft w:val="0"/>
      <w:marRight w:val="0"/>
      <w:marTop w:val="0"/>
      <w:marBottom w:val="0"/>
      <w:divBdr>
        <w:top w:val="none" w:sz="0" w:space="0" w:color="auto"/>
        <w:left w:val="none" w:sz="0" w:space="0" w:color="auto"/>
        <w:bottom w:val="none" w:sz="0" w:space="0" w:color="auto"/>
        <w:right w:val="none" w:sz="0" w:space="0" w:color="auto"/>
      </w:divBdr>
    </w:div>
    <w:div w:id="1452629406">
      <w:bodyDiv w:val="1"/>
      <w:marLeft w:val="0"/>
      <w:marRight w:val="0"/>
      <w:marTop w:val="0"/>
      <w:marBottom w:val="0"/>
      <w:divBdr>
        <w:top w:val="none" w:sz="0" w:space="0" w:color="auto"/>
        <w:left w:val="none" w:sz="0" w:space="0" w:color="auto"/>
        <w:bottom w:val="none" w:sz="0" w:space="0" w:color="auto"/>
        <w:right w:val="none" w:sz="0" w:space="0" w:color="auto"/>
      </w:divBdr>
    </w:div>
    <w:div w:id="1650749180">
      <w:bodyDiv w:val="1"/>
      <w:marLeft w:val="0"/>
      <w:marRight w:val="0"/>
      <w:marTop w:val="0"/>
      <w:marBottom w:val="0"/>
      <w:divBdr>
        <w:top w:val="none" w:sz="0" w:space="0" w:color="auto"/>
        <w:left w:val="none" w:sz="0" w:space="0" w:color="auto"/>
        <w:bottom w:val="none" w:sz="0" w:space="0" w:color="auto"/>
        <w:right w:val="none" w:sz="0" w:space="0" w:color="auto"/>
      </w:divBdr>
    </w:div>
    <w:div w:id="1767076169">
      <w:bodyDiv w:val="1"/>
      <w:marLeft w:val="0"/>
      <w:marRight w:val="0"/>
      <w:marTop w:val="0"/>
      <w:marBottom w:val="0"/>
      <w:divBdr>
        <w:top w:val="none" w:sz="0" w:space="0" w:color="auto"/>
        <w:left w:val="none" w:sz="0" w:space="0" w:color="auto"/>
        <w:bottom w:val="none" w:sz="0" w:space="0" w:color="auto"/>
        <w:right w:val="none" w:sz="0" w:space="0" w:color="auto"/>
      </w:divBdr>
    </w:div>
    <w:div w:id="1787193784">
      <w:bodyDiv w:val="1"/>
      <w:marLeft w:val="0"/>
      <w:marRight w:val="0"/>
      <w:marTop w:val="0"/>
      <w:marBottom w:val="0"/>
      <w:divBdr>
        <w:top w:val="none" w:sz="0" w:space="0" w:color="auto"/>
        <w:left w:val="none" w:sz="0" w:space="0" w:color="auto"/>
        <w:bottom w:val="none" w:sz="0" w:space="0" w:color="auto"/>
        <w:right w:val="none" w:sz="0" w:space="0" w:color="auto"/>
      </w:divBdr>
    </w:div>
    <w:div w:id="19407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denism\AppData\Local\Objective\Objects\01.3%20Supporting%20Document%20-%20NCC%20Price%20and%20tariff%20structure.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747140-f783-4f59-8614-018c6afd717d">
      <Terms xmlns="http://schemas.microsoft.com/office/infopath/2007/PartnerControls"/>
    </lcf76f155ced4ddcb4097134ff3c332f>
    <TaxCatchAll xmlns="9735b189-7d43-444d-8bb4-0cf2e8ea0f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4" ma:contentTypeDescription="Create a new document." ma:contentTypeScope="" ma:versionID="927416c30794a877d1c2650a734c5096">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dc82c2e97be3ea8d77e23cc1c7751e68"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175a91f-47c8-4324-9b6e-04157886576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A461E95F621044FE902CEC81E4A8AE6B" version="1.0.0">
  <systemFields>
    <field name="Objective-Id">
      <value order="0">A17114354</value>
    </field>
    <field name="Objective-Title">
      <value order="0">01.3 Supporting Paper - NCC Price and tariff structure</value>
    </field>
    <field name="Objective-Description">
      <value order="0"/>
    </field>
    <field name="Objective-CreationStamp">
      <value order="0">2017-09-13T13:00:00Z</value>
    </field>
    <field name="Objective-IsApproved">
      <value order="0">false</value>
    </field>
    <field name="Objective-IsPublished">
      <value order="0">true</value>
    </field>
    <field name="Objective-DatePublished">
      <value order="0">2022-10-03T23:00:15Z</value>
    </field>
    <field name="Objective-ModificationStamp">
      <value order="0">2022-10-04T01:48:07Z</value>
    </field>
    <field name="Objective-Owner">
      <value order="0">Matthijs Van Der Graaff</value>
    </field>
    <field name="Objective-Path">
      <value order="0">Objective Global Folder:Corporate:Regulation:Water Plans:2023 Price Submission:03.3 - Price Modelling: New Customer Contributions</value>
    </field>
    <field name="Objective-Parent">
      <value order="0">03.3 - Price Modelling: New Customer Contributions</value>
    </field>
    <field name="Objective-State">
      <value order="0">Published</value>
    </field>
    <field name="Objective-VersionId">
      <value order="0">vA24508350</value>
    </field>
    <field name="Objective-Version">
      <value order="0">6.0</value>
    </field>
    <field name="Objective-VersionNumber">
      <value order="0">34</value>
    </field>
    <field name="Objective-VersionComment">
      <value order="0"/>
    </field>
    <field name="Objective-FileNumber">
      <value order="0">F092626</value>
    </field>
    <field name="Objective-Classification">
      <value order="0"/>
    </field>
    <field name="Objective-Caveats">
      <value order="0"/>
    </field>
  </systemFields>
  <catalogues>
    <catalogue name="BW Document Type Catalogue" type="type" ori="id:cA110">
      <field name="Objective-Owning Group">
        <value order="0">Sustainability &amp; Healthy Country</value>
      </field>
      <field name="Objective-Document Type">
        <value order="0"/>
      </field>
      <field name="Objective-Author">
        <value order="0"/>
      </field>
      <field name="Objective-External Author">
        <value order="0"/>
      </field>
      <field name="Objective-Installation">
        <value order="0"/>
      </field>
      <field name="Objective-Account">
        <value order="0"/>
      </field>
      <field name="Objective-Customer">
        <value order="0"/>
      </field>
      <field name="Objective-Internal Reference">
        <value order="0"/>
      </field>
      <field name="Objective-External Reference">
        <value order="0"/>
      </field>
      <field name="Objective-Document Date">
        <value order="0"/>
      </field>
      <field name="Objective-Approvers List">
        <value order="0"/>
      </field>
      <field name="Objective-Upload Status">
        <value order="0"/>
      </field>
      <field name="Objective-Connect Creator">
        <value order="0"/>
      </field>
    </catalogue>
  </catalogues>
</meta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41410-FFEC-43BA-B50D-8AC4635870AF}">
  <ds:schemaRefs>
    <ds:schemaRef ds:uri="http://schemas.openxmlformats.org/officeDocument/2006/bibliography"/>
  </ds:schemaRefs>
</ds:datastoreItem>
</file>

<file path=customXml/itemProps2.xml><?xml version="1.0" encoding="utf-8"?>
<ds:datastoreItem xmlns:ds="http://schemas.openxmlformats.org/officeDocument/2006/customXml" ds:itemID="{2383F890-E6C8-4C87-AB9B-73E0261A9EFE}">
  <ds:schemaRefs>
    <ds:schemaRef ds:uri="http://schemas.microsoft.com/office/2006/metadata/properties"/>
    <ds:schemaRef ds:uri="http://schemas.microsoft.com/office/infopath/2007/PartnerControls"/>
    <ds:schemaRef ds:uri="fb747140-f783-4f59-8614-018c6afd717d"/>
    <ds:schemaRef ds:uri="9735b189-7d43-444d-8bb4-0cf2e8ea0f16"/>
  </ds:schemaRefs>
</ds:datastoreItem>
</file>

<file path=customXml/itemProps3.xml><?xml version="1.0" encoding="utf-8"?>
<ds:datastoreItem xmlns:ds="http://schemas.openxmlformats.org/officeDocument/2006/customXml" ds:itemID="{003BA3D0-E75B-47FB-BC72-4D95791DAABB}">
  <ds:schemaRefs>
    <ds:schemaRef ds:uri="http://schemas.microsoft.com/sharepoint/v3/contenttype/forms"/>
  </ds:schemaRefs>
</ds:datastoreItem>
</file>

<file path=customXml/itemProps4.xml><?xml version="1.0" encoding="utf-8"?>
<ds:datastoreItem xmlns:ds="http://schemas.openxmlformats.org/officeDocument/2006/customXml" ds:itemID="{B9329BD0-9555-4BB0-82D3-BFB6F2E5E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461E95F621044FE902CEC81E4A8AE6B"/>
  </ds:schemaRefs>
</ds:datastoreItem>
</file>

<file path=customXml/itemProps6.xml><?xml version="1.0" encoding="utf-8"?>
<ds:datastoreItem xmlns:ds="http://schemas.openxmlformats.org/officeDocument/2006/customXml" ds:itemID="{2E6A1B8D-B68F-4093-9124-4202885C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3988</Words>
  <Characters>20939</Characters>
  <Application>Microsoft Office Word</Application>
  <DocSecurity>0</DocSecurity>
  <Lines>997</Lines>
  <Paragraphs>804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Harding</dc:creator>
  <cp:keywords>[SEC=UNOFFICIAL]</cp:keywords>
  <cp:lastModifiedBy>Zach Zhang (ESC)</cp:lastModifiedBy>
  <cp:revision>4</cp:revision>
  <cp:lastPrinted>2017-08-14T06:27:00Z</cp:lastPrinted>
  <dcterms:created xsi:type="dcterms:W3CDTF">2022-10-19T02:52:00Z</dcterms:created>
  <dcterms:modified xsi:type="dcterms:W3CDTF">2022-10-19T02:55:00Z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A17114354</vt:lpwstr>
  </property>
  <property fmtid="{D5CDD505-2E9C-101B-9397-08002B2CF9AE}" pid="4" name="Objective-Title">
    <vt:lpwstr>01.3 Supporting Paper - NCC Price and tariff structure</vt:lpwstr>
  </property>
  <property fmtid="{D5CDD505-2E9C-101B-9397-08002B2CF9AE}" pid="5" name="Objective-Comment">
    <vt:lpwstr/>
  </property>
  <property fmtid="{D5CDD505-2E9C-101B-9397-08002B2CF9AE}" pid="6" name="Objective-CreationStamp">
    <vt:filetime>2017-09-13T13:00:00Z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2022-10-03T23:00:15Z</vt:filetime>
  </property>
  <property fmtid="{D5CDD505-2E9C-101B-9397-08002B2CF9AE}" pid="10" name="Objective-ModificationStamp">
    <vt:filetime>2022-10-04T01:48:07Z</vt:filetime>
  </property>
  <property fmtid="{D5CDD505-2E9C-101B-9397-08002B2CF9AE}" pid="11" name="Objective-Owner">
    <vt:lpwstr>Matthijs Van Der Graaff</vt:lpwstr>
  </property>
  <property fmtid="{D5CDD505-2E9C-101B-9397-08002B2CF9AE}" pid="12" name="Objective-Path">
    <vt:lpwstr>Objective Global Folder:Corporate:Regulation:Water Plans:2023 Price Submission:03.3 - Price Modelling: New Customer Contributions</vt:lpwstr>
  </property>
  <property fmtid="{D5CDD505-2E9C-101B-9397-08002B2CF9AE}" pid="13" name="Objective-Parent">
    <vt:lpwstr>03.3 - Price Modelling: New Customer Contributions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34</vt:r8>
  </property>
  <property fmtid="{D5CDD505-2E9C-101B-9397-08002B2CF9AE}" pid="17" name="Objective-VersionComment">
    <vt:lpwstr/>
  </property>
  <property fmtid="{D5CDD505-2E9C-101B-9397-08002B2CF9AE}" pid="18" name="Objective-FileNumber">
    <vt:lpwstr>F092626</vt:lpwstr>
  </property>
  <property fmtid="{D5CDD505-2E9C-101B-9397-08002B2CF9AE}" pid="19" name="Objective-Classification">
    <vt:lpwstr/>
  </property>
  <property fmtid="{D5CDD505-2E9C-101B-9397-08002B2CF9AE}" pid="20" name="Objective-Caveats">
    <vt:lpwstr/>
  </property>
  <property fmtid="{D5CDD505-2E9C-101B-9397-08002B2CF9AE}" pid="21" name="Objective-Owning Group [system]">
    <vt:lpwstr>Strategy, Policy and Planning</vt:lpwstr>
  </property>
  <property fmtid="{D5CDD505-2E9C-101B-9397-08002B2CF9AE}" pid="22" name="Objective-Document Type [system]">
    <vt:lpwstr/>
  </property>
  <property fmtid="{D5CDD505-2E9C-101B-9397-08002B2CF9AE}" pid="23" name="Objective-Author [system]">
    <vt:lpwstr/>
  </property>
  <property fmtid="{D5CDD505-2E9C-101B-9397-08002B2CF9AE}" pid="24" name="Objective-External Author [system]">
    <vt:lpwstr/>
  </property>
  <property fmtid="{D5CDD505-2E9C-101B-9397-08002B2CF9AE}" pid="25" name="Objective-Installation [system]">
    <vt:lpwstr/>
  </property>
  <property fmtid="{D5CDD505-2E9C-101B-9397-08002B2CF9AE}" pid="26" name="Objective-Account [system]">
    <vt:lpwstr/>
  </property>
  <property fmtid="{D5CDD505-2E9C-101B-9397-08002B2CF9AE}" pid="27" name="Objective-Customer [system]">
    <vt:lpwstr/>
  </property>
  <property fmtid="{D5CDD505-2E9C-101B-9397-08002B2CF9AE}" pid="28" name="Objective-Internal Reference [system]">
    <vt:lpwstr/>
  </property>
  <property fmtid="{D5CDD505-2E9C-101B-9397-08002B2CF9AE}" pid="29" name="Objective-External Reference [system]">
    <vt:lpwstr/>
  </property>
  <property fmtid="{D5CDD505-2E9C-101B-9397-08002B2CF9AE}" pid="30" name="Objective-Document Date [system]">
    <vt:lpwstr/>
  </property>
  <property fmtid="{D5CDD505-2E9C-101B-9397-08002B2CF9AE}" pid="31" name="Objective-Approvers List [system]">
    <vt:lpwstr/>
  </property>
  <property fmtid="{D5CDD505-2E9C-101B-9397-08002B2CF9AE}" pid="32" name="Objective-Upload Status [system]">
    <vt:lpwstr/>
  </property>
  <property fmtid="{D5CDD505-2E9C-101B-9397-08002B2CF9AE}" pid="33" name="Objective-Description">
    <vt:lpwstr/>
  </property>
  <property fmtid="{D5CDD505-2E9C-101B-9397-08002B2CF9AE}" pid="34" name="Objective-VersionId">
    <vt:lpwstr>vA24508350</vt:lpwstr>
  </property>
  <property fmtid="{D5CDD505-2E9C-101B-9397-08002B2CF9AE}" pid="35" name="Objective-Owning Group">
    <vt:lpwstr>Sustainability &amp; Healthy Country</vt:lpwstr>
  </property>
  <property fmtid="{D5CDD505-2E9C-101B-9397-08002B2CF9AE}" pid="36" name="Objective-Document Type">
    <vt:lpwstr/>
  </property>
  <property fmtid="{D5CDD505-2E9C-101B-9397-08002B2CF9AE}" pid="37" name="Objective-Author">
    <vt:lpwstr/>
  </property>
  <property fmtid="{D5CDD505-2E9C-101B-9397-08002B2CF9AE}" pid="38" name="Objective-External Author">
    <vt:lpwstr/>
  </property>
  <property fmtid="{D5CDD505-2E9C-101B-9397-08002B2CF9AE}" pid="39" name="Objective-Installation">
    <vt:lpwstr/>
  </property>
  <property fmtid="{D5CDD505-2E9C-101B-9397-08002B2CF9AE}" pid="40" name="Objective-Account">
    <vt:lpwstr/>
  </property>
  <property fmtid="{D5CDD505-2E9C-101B-9397-08002B2CF9AE}" pid="41" name="Objective-Customer">
    <vt:lpwstr/>
  </property>
  <property fmtid="{D5CDD505-2E9C-101B-9397-08002B2CF9AE}" pid="42" name="Objective-Internal Reference">
    <vt:lpwstr/>
  </property>
  <property fmtid="{D5CDD505-2E9C-101B-9397-08002B2CF9AE}" pid="43" name="Objective-External Reference">
    <vt:lpwstr/>
  </property>
  <property fmtid="{D5CDD505-2E9C-101B-9397-08002B2CF9AE}" pid="44" name="Objective-Document Date">
    <vt:lpwstr/>
  </property>
  <property fmtid="{D5CDD505-2E9C-101B-9397-08002B2CF9AE}" pid="45" name="Objective-Approvers List">
    <vt:lpwstr/>
  </property>
  <property fmtid="{D5CDD505-2E9C-101B-9397-08002B2CF9AE}" pid="46" name="Objective-Upload Status">
    <vt:lpwstr/>
  </property>
  <property fmtid="{D5CDD505-2E9C-101B-9397-08002B2CF9AE}" pid="47" name="Objective-Connect Creator">
    <vt:lpwstr/>
  </property>
  <property fmtid="{D5CDD505-2E9C-101B-9397-08002B2CF9AE}" pid="48" name="Objective-Connect Creator [system]">
    <vt:lpwstr/>
  </property>
  <property fmtid="{D5CDD505-2E9C-101B-9397-08002B2CF9AE}" pid="49" name="ContentTypeId">
    <vt:lpwstr>0x010100A2716B8A2C91BC45ABDD92CEA8618734</vt:lpwstr>
  </property>
  <property fmtid="{D5CDD505-2E9C-101B-9397-08002B2CF9AE}" pid="50" name="PM_ProtectiveMarkingImage_Header">
    <vt:lpwstr>C:\Program Files\Common Files\janusNET Shared\janusSEAL\Images\DocumentSlashBlue.png</vt:lpwstr>
  </property>
  <property fmtid="{D5CDD505-2E9C-101B-9397-08002B2CF9AE}" pid="51" name="PM_Caveats_Count">
    <vt:lpwstr>0</vt:lpwstr>
  </property>
  <property fmtid="{D5CDD505-2E9C-101B-9397-08002B2CF9AE}" pid="52" name="PM_DisplayValueSecClassificationWithQualifier">
    <vt:lpwstr>UNOFFICIAL</vt:lpwstr>
  </property>
  <property fmtid="{D5CDD505-2E9C-101B-9397-08002B2CF9AE}" pid="53" name="PM_Qualifier">
    <vt:lpwstr/>
  </property>
  <property fmtid="{D5CDD505-2E9C-101B-9397-08002B2CF9AE}" pid="54" name="PM_SecurityClassification">
    <vt:lpwstr>UNOFFICIAL</vt:lpwstr>
  </property>
  <property fmtid="{D5CDD505-2E9C-101B-9397-08002B2CF9AE}" pid="55" name="PM_InsertionValue">
    <vt:lpwstr>UNOFFICIAL</vt:lpwstr>
  </property>
  <property fmtid="{D5CDD505-2E9C-101B-9397-08002B2CF9AE}" pid="56" name="PM_Originating_FileId">
    <vt:lpwstr>019EC6910CE84D1890120AC6C98FFB9C</vt:lpwstr>
  </property>
  <property fmtid="{D5CDD505-2E9C-101B-9397-08002B2CF9AE}" pid="57" name="PM_ProtectiveMarkingValue_Footer">
    <vt:lpwstr>UNOFFICIAL</vt:lpwstr>
  </property>
  <property fmtid="{D5CDD505-2E9C-101B-9397-08002B2CF9AE}" pid="58" name="PM_Originator_Hash_SHA1">
    <vt:lpwstr>3D18432F55E4E6A8F76C7582F928CD46FF926AD1</vt:lpwstr>
  </property>
  <property fmtid="{D5CDD505-2E9C-101B-9397-08002B2CF9AE}" pid="59" name="PM_OriginationTimeStamp">
    <vt:lpwstr>2022-10-19T02:52:57Z</vt:lpwstr>
  </property>
  <property fmtid="{D5CDD505-2E9C-101B-9397-08002B2CF9AE}" pid="60" name="PM_ProtectiveMarkingValue_Header">
    <vt:lpwstr>UNOFFICIAL</vt:lpwstr>
  </property>
  <property fmtid="{D5CDD505-2E9C-101B-9397-08002B2CF9AE}" pid="61" name="PM_ProtectiveMarkingImage_Footer">
    <vt:lpwstr>C:\Program Files\Common Files\janusNET Shared\janusSEAL\Images\DocumentSlashBlue.png</vt:lpwstr>
  </property>
  <property fmtid="{D5CDD505-2E9C-101B-9397-08002B2CF9AE}" pid="62" name="PM_Namespace">
    <vt:lpwstr>2019.2.1.vic.gov.au</vt:lpwstr>
  </property>
  <property fmtid="{D5CDD505-2E9C-101B-9397-08002B2CF9AE}" pid="63" name="PM_Version">
    <vt:lpwstr>2018.4</vt:lpwstr>
  </property>
  <property fmtid="{D5CDD505-2E9C-101B-9397-08002B2CF9AE}" pid="64" name="PM_Note">
    <vt:lpwstr/>
  </property>
  <property fmtid="{D5CDD505-2E9C-101B-9397-08002B2CF9AE}" pid="65" name="PM_Markers">
    <vt:lpwstr/>
  </property>
  <property fmtid="{D5CDD505-2E9C-101B-9397-08002B2CF9AE}" pid="66" name="PM_Display">
    <vt:lpwstr>UNOFFICIAL</vt:lpwstr>
  </property>
  <property fmtid="{D5CDD505-2E9C-101B-9397-08002B2CF9AE}" pid="67" name="PMUuid">
    <vt:lpwstr>888C8D7C-C12E-52A4-9297-370EB0F3096D</vt:lpwstr>
  </property>
  <property fmtid="{D5CDD505-2E9C-101B-9397-08002B2CF9AE}" pid="68" name="PMUuidVer">
    <vt:lpwstr>2022.1</vt:lpwstr>
  </property>
  <property fmtid="{D5CDD505-2E9C-101B-9397-08002B2CF9AE}" pid="69" name="PM_Hash_Version">
    <vt:lpwstr>2018.0</vt:lpwstr>
  </property>
  <property fmtid="{D5CDD505-2E9C-101B-9397-08002B2CF9AE}" pid="70" name="PM_Hash_Salt_Prev">
    <vt:lpwstr>E63EC01DCA8C37E6FB54E1FF5ECBB264</vt:lpwstr>
  </property>
  <property fmtid="{D5CDD505-2E9C-101B-9397-08002B2CF9AE}" pid="71" name="PM_Hash_Salt">
    <vt:lpwstr>E63EC01DCA8C37E6FB54E1FF5ECBB264</vt:lpwstr>
  </property>
  <property fmtid="{D5CDD505-2E9C-101B-9397-08002B2CF9AE}" pid="72" name="PM_Hash_SHA1">
    <vt:lpwstr>ACEF6064BB507FD3A37496A7891DD5B03CF80BAC</vt:lpwstr>
  </property>
  <property fmtid="{D5CDD505-2E9C-101B-9397-08002B2CF9AE}" pid="73" name="PM_OriginatorUserAccountName_SHA256">
    <vt:lpwstr>09A1DF6C5875703C6F2073B63680688AA78EB701DFF38C2C7D0B5B8FBFC49865</vt:lpwstr>
  </property>
  <property fmtid="{D5CDD505-2E9C-101B-9397-08002B2CF9AE}" pid="74" name="PM_OriginatorDomainName_SHA256">
    <vt:lpwstr>9E5929A2B0C9364118E50F7972B6A4AA763F815A803675E11226272E392AE99C</vt:lpwstr>
  </property>
  <property fmtid="{D5CDD505-2E9C-101B-9397-08002B2CF9AE}" pid="75" name="PM_MinimumSecurityClassification">
    <vt:lpwstr/>
  </property>
  <property fmtid="{D5CDD505-2E9C-101B-9397-08002B2CF9AE}" pid="76" name="MediaServiceImageTags">
    <vt:lpwstr/>
  </property>
</Properties>
</file>