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F4621" w14:textId="23635953" w:rsidR="00310DDF" w:rsidRDefault="00310DDF" w:rsidP="00310DDF">
      <w:pPr>
        <w:pStyle w:val="Heading1"/>
      </w:pPr>
      <w:r>
        <w:rPr>
          <w:noProof/>
          <w:lang w:eastAsia="en-AU"/>
        </w:rPr>
        <w:drawing>
          <wp:anchor distT="0" distB="180340" distL="114300" distR="114300" simplePos="0" relativeHeight="251658244" behindDoc="0" locked="0" layoutInCell="1" allowOverlap="1" wp14:anchorId="3AE35BA5" wp14:editId="71774F9B">
            <wp:simplePos x="0" y="0"/>
            <wp:positionH relativeFrom="column">
              <wp:posOffset>-40253</wp:posOffset>
            </wp:positionH>
            <wp:positionV relativeFrom="paragraph">
              <wp:posOffset>-391795</wp:posOffset>
            </wp:positionV>
            <wp:extent cx="2653030" cy="824230"/>
            <wp:effectExtent l="0" t="0" r="0" b="0"/>
            <wp:wrapTopAndBottom/>
            <wp:docPr id="1076915021" name="Picture 107691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3030" cy="824230"/>
                    </a:xfrm>
                    <a:prstGeom prst="rect">
                      <a:avLst/>
                    </a:prstGeom>
                  </pic:spPr>
                </pic:pic>
              </a:graphicData>
            </a:graphic>
            <wp14:sizeRelH relativeFrom="margin">
              <wp14:pctWidth>0</wp14:pctWidth>
            </wp14:sizeRelH>
            <wp14:sizeRelV relativeFrom="margin">
              <wp14:pctHeight>0</wp14:pctHeight>
            </wp14:sizeRelV>
          </wp:anchor>
        </w:drawing>
      </w:r>
      <w:r w:rsidR="009F15D6">
        <w:t xml:space="preserve">Public engagement summary: </w:t>
      </w:r>
      <w:r w:rsidR="00430D5A">
        <w:t>Reviewing the Gas Distribution System</w:t>
      </w:r>
      <w:r w:rsidR="009F15D6">
        <w:t xml:space="preserve"> Code</w:t>
      </w:r>
      <w:r w:rsidR="00430D5A">
        <w:t xml:space="preserve"> of Practice</w:t>
      </w:r>
    </w:p>
    <w:p w14:paraId="753E93D7" w14:textId="4D2628FD" w:rsidR="009F15D6" w:rsidRDefault="009F15D6" w:rsidP="009F15D6">
      <w:pPr>
        <w:pStyle w:val="Heading2"/>
      </w:pPr>
      <w:r>
        <w:t>Project background</w:t>
      </w:r>
    </w:p>
    <w:p w14:paraId="2E6DA15A" w14:textId="77777777" w:rsidR="00FB2878" w:rsidRDefault="00FB2878" w:rsidP="00FB2878">
      <w:pPr>
        <w:rPr>
          <w:rFonts w:ascii="Arial" w:hAnsi="Arial" w:cs="Arial"/>
          <w:color w:val="1F1F1F"/>
          <w:shd w:val="clear" w:color="auto" w:fill="FFFFFF"/>
        </w:rPr>
      </w:pPr>
      <w:r>
        <w:rPr>
          <w:rFonts w:ascii="Arial" w:hAnsi="Arial" w:cs="Arial"/>
          <w:color w:val="1F1F1F"/>
          <w:shd w:val="clear" w:color="auto" w:fill="FFFFFF"/>
        </w:rPr>
        <w:t>Gas distributors own and operate the network of pipelines that deliver gas to homes and businesses across Victoria. Recent changes in the Victorian energy landscape are driving a need to update regulations for gas distributors.</w:t>
      </w:r>
    </w:p>
    <w:p w14:paraId="4020B83A" w14:textId="33906BFC" w:rsidR="00762F7B" w:rsidRDefault="00762F7B" w:rsidP="00762F7B">
      <w:pPr>
        <w:rPr>
          <w:rFonts w:ascii="Arial" w:hAnsi="Arial" w:cs="Arial"/>
          <w:color w:val="1F1F1F"/>
          <w:shd w:val="clear" w:color="auto" w:fill="FFFFFF"/>
        </w:rPr>
      </w:pPr>
      <w:r>
        <w:rPr>
          <w:rFonts w:ascii="Arial" w:hAnsi="Arial" w:cs="Arial"/>
          <w:color w:val="1F1F1F"/>
          <w:shd w:val="clear" w:color="auto" w:fill="FFFFFF"/>
        </w:rPr>
        <w:t>The Victorian Government made commitments and regulatory changes for the gas sector to achieve the state’s net-zero emissions targets. This includes a ban on new gas connections for homes that require a planning permit from 1 January 2024 and incentives for replacing gas appliances with electric ones.</w:t>
      </w:r>
    </w:p>
    <w:p w14:paraId="42484EAE" w14:textId="3E498A90" w:rsidR="00762F7B" w:rsidRDefault="00762F7B" w:rsidP="00762F7B">
      <w:pPr>
        <w:rPr>
          <w:rFonts w:ascii="Arial" w:hAnsi="Arial" w:cs="Arial"/>
          <w:color w:val="1F1F1F"/>
          <w:shd w:val="clear" w:color="auto" w:fill="FFFFFF"/>
        </w:rPr>
      </w:pPr>
      <w:r>
        <w:rPr>
          <w:rFonts w:ascii="Arial" w:hAnsi="Arial" w:cs="Arial"/>
          <w:color w:val="1F1F1F"/>
          <w:shd w:val="clear" w:color="auto" w:fill="FFFFFF"/>
        </w:rPr>
        <w:t xml:space="preserve">National regulators also made recent changes that affect gas distributors. The Australian Energy Regulator lowered the fee Victorian gas distributors may charge customers for abolishing their connections. The Australian Energy Market Commission made changes to the National Gas Rules to allow facilities which will produce renewable gases to </w:t>
      </w:r>
      <w:r w:rsidR="00A36B46">
        <w:rPr>
          <w:rFonts w:ascii="Arial" w:hAnsi="Arial" w:cs="Arial"/>
          <w:color w:val="1F1F1F"/>
          <w:shd w:val="clear" w:color="auto" w:fill="FFFFFF"/>
        </w:rPr>
        <w:t>participate</w:t>
      </w:r>
      <w:r>
        <w:rPr>
          <w:rFonts w:ascii="Arial" w:hAnsi="Arial" w:cs="Arial"/>
          <w:color w:val="1F1F1F"/>
          <w:shd w:val="clear" w:color="auto" w:fill="FFFFFF"/>
        </w:rPr>
        <w:t xml:space="preserve"> in Victoria’s gas market.</w:t>
      </w:r>
    </w:p>
    <w:p w14:paraId="605144F3" w14:textId="62D06AAC" w:rsidR="00132F23" w:rsidRDefault="00BC4F1C" w:rsidP="00BC4F1C">
      <w:r>
        <w:t xml:space="preserve">The key goals of </w:t>
      </w:r>
      <w:r w:rsidR="00080E84">
        <w:t xml:space="preserve">our review </w:t>
      </w:r>
      <w:r>
        <w:t>w</w:t>
      </w:r>
      <w:r w:rsidR="00132F23">
        <w:t>ere</w:t>
      </w:r>
      <w:r>
        <w:t xml:space="preserve"> to</w:t>
      </w:r>
      <w:r w:rsidR="00132F23">
        <w:t>:</w:t>
      </w:r>
    </w:p>
    <w:p w14:paraId="75F28D44" w14:textId="052DEF60" w:rsidR="00BC4F1C" w:rsidRPr="000F0BE3" w:rsidRDefault="00BC4F1C" w:rsidP="00C71F8F">
      <w:pPr>
        <w:pStyle w:val="ListBullet"/>
        <w:rPr>
          <w:rFonts w:ascii="Arial" w:hAnsi="Arial" w:cs="Arial"/>
          <w:color w:val="1F1F1F"/>
          <w:shd w:val="clear" w:color="auto" w:fill="FFFFFF"/>
        </w:rPr>
      </w:pPr>
      <w:r>
        <w:t xml:space="preserve">align the code of practice with our enforcement framework </w:t>
      </w:r>
      <w:r w:rsidR="002F7EFE">
        <w:t>to allow us to effectively monitor compliance and enforce obligations</w:t>
      </w:r>
    </w:p>
    <w:p w14:paraId="6AEB1A67" w14:textId="3BAD60B0" w:rsidR="000F0BE3" w:rsidRPr="00656F2D" w:rsidRDefault="0001121B" w:rsidP="00C71F8F">
      <w:pPr>
        <w:pStyle w:val="ListBullet"/>
        <w:rPr>
          <w:rFonts w:ascii="Arial" w:hAnsi="Arial" w:cs="Arial"/>
          <w:color w:val="1F1F1F"/>
          <w:shd w:val="clear" w:color="auto" w:fill="FFFFFF"/>
        </w:rPr>
      </w:pPr>
      <w:r>
        <w:t>update the rules for new gas connections</w:t>
      </w:r>
    </w:p>
    <w:p w14:paraId="6EEF919A" w14:textId="24E519F8" w:rsidR="00656F2D" w:rsidRPr="0001121B" w:rsidRDefault="00656F2D" w:rsidP="00C71F8F">
      <w:pPr>
        <w:pStyle w:val="ListBullet"/>
        <w:rPr>
          <w:rFonts w:ascii="Arial" w:hAnsi="Arial" w:cs="Arial"/>
          <w:color w:val="1F1F1F"/>
          <w:shd w:val="clear" w:color="auto" w:fill="FFFFFF"/>
        </w:rPr>
      </w:pPr>
      <w:r>
        <w:t>streamline regulation and remove overlaps with the national regulatory framework</w:t>
      </w:r>
    </w:p>
    <w:p w14:paraId="448AA85B" w14:textId="38F2A81A" w:rsidR="0001121B" w:rsidRPr="00CC05DB" w:rsidRDefault="0001121B" w:rsidP="00C71F8F">
      <w:pPr>
        <w:pStyle w:val="ListBullet"/>
        <w:rPr>
          <w:rFonts w:ascii="Arial" w:hAnsi="Arial" w:cs="Arial"/>
          <w:color w:val="1F1F1F"/>
          <w:shd w:val="clear" w:color="auto" w:fill="FFFFFF"/>
        </w:rPr>
      </w:pPr>
      <w:r>
        <w:t>provide additional consumer protections for Victorian gas network customers.</w:t>
      </w:r>
    </w:p>
    <w:p w14:paraId="31BE9F06" w14:textId="25664AF9" w:rsidR="00CC05DB" w:rsidRDefault="00CC05DB" w:rsidP="00CC05DB">
      <w:pPr>
        <w:rPr>
          <w:shd w:val="clear" w:color="auto" w:fill="FFFFFF"/>
        </w:rPr>
      </w:pPr>
      <w:r>
        <w:rPr>
          <w:shd w:val="clear" w:color="auto" w:fill="FFFFFF"/>
        </w:rPr>
        <w:t xml:space="preserve">Our new code of practice follows over 12 months of engagement with stakeholders. </w:t>
      </w:r>
      <w:r w:rsidR="00FB0545">
        <w:rPr>
          <w:shd w:val="clear" w:color="auto" w:fill="FFFFFF"/>
        </w:rPr>
        <w:t>In making the new code of practice w</w:t>
      </w:r>
      <w:r>
        <w:rPr>
          <w:shd w:val="clear" w:color="auto" w:fill="FFFFFF"/>
        </w:rPr>
        <w:t>e considered current rules and processes for connecting new customers and for abolishing connections of those who no longer use gas.</w:t>
      </w:r>
      <w:r w:rsidR="00914262">
        <w:rPr>
          <w:shd w:val="clear" w:color="auto" w:fill="FFFFFF"/>
        </w:rPr>
        <w:t xml:space="preserve"> We also considered stakeholder feedback and the costs and benefits of proposed changes.</w:t>
      </w:r>
    </w:p>
    <w:p w14:paraId="5352DA65" w14:textId="37917A34" w:rsidR="00CC05DB" w:rsidRPr="0001121B" w:rsidRDefault="0025481F" w:rsidP="002C5BC4">
      <w:pPr>
        <w:rPr>
          <w:shd w:val="clear" w:color="auto" w:fill="FFFFFF"/>
        </w:rPr>
      </w:pPr>
      <w:r>
        <w:t>The development of the new code of practice involved a structured engagement program. This program included requests for feedback via Engage Victori</w:t>
      </w:r>
      <w:r w:rsidR="00D672EF">
        <w:t xml:space="preserve">a, information sessions, and meetings </w:t>
      </w:r>
      <w:r w:rsidR="00D672EF">
        <w:lastRenderedPageBreak/>
        <w:t>with stakeholders.</w:t>
      </w:r>
      <w:r>
        <w:t xml:space="preserve"> Through our engagement activities, stakeholders confirmed the need for </w:t>
      </w:r>
      <w:r w:rsidR="00D672EF">
        <w:t>an updated Gas Distribution Code of Practice to</w:t>
      </w:r>
      <w:r w:rsidR="002C5BC4">
        <w:t xml:space="preserve"> address the risks associated with the energy transition and improve protections for gas network customers.</w:t>
      </w:r>
    </w:p>
    <w:p w14:paraId="57074CEA" w14:textId="4F60367E" w:rsidR="00915954" w:rsidRDefault="00915954" w:rsidP="00915954">
      <w:pPr>
        <w:pStyle w:val="Heading2"/>
      </w:pPr>
      <w:r>
        <w:t>How we engaged</w:t>
      </w:r>
    </w:p>
    <w:tbl>
      <w:tblPr>
        <w:tblStyle w:val="TableGrid"/>
        <w:tblW w:w="0" w:type="auto"/>
        <w:tblLook w:val="04A0" w:firstRow="1" w:lastRow="0" w:firstColumn="1" w:lastColumn="0" w:noHBand="0" w:noVBand="1"/>
      </w:tblPr>
      <w:tblGrid>
        <w:gridCol w:w="1754"/>
        <w:gridCol w:w="7884"/>
      </w:tblGrid>
      <w:tr w:rsidR="00915954" w14:paraId="2E9E2E58" w14:textId="77777777" w:rsidTr="001B2BC8">
        <w:trPr>
          <w:cnfStyle w:val="100000000000" w:firstRow="1" w:lastRow="0" w:firstColumn="0" w:lastColumn="0" w:oddVBand="0" w:evenVBand="0" w:oddHBand="0" w:evenHBand="0" w:firstRowFirstColumn="0" w:firstRowLastColumn="0" w:lastRowFirstColumn="0" w:lastRowLastColumn="0"/>
          <w:trHeight w:hRule="exact" w:val="306"/>
        </w:trPr>
        <w:tc>
          <w:tcPr>
            <w:tcW w:w="1786" w:type="dxa"/>
          </w:tcPr>
          <w:p w14:paraId="0303DBBE" w14:textId="77777777" w:rsidR="00915954" w:rsidRDefault="00915954" w:rsidP="00915954"/>
        </w:tc>
        <w:tc>
          <w:tcPr>
            <w:tcW w:w="7994" w:type="dxa"/>
          </w:tcPr>
          <w:p w14:paraId="4611A971" w14:textId="77777777" w:rsidR="00915954" w:rsidRDefault="00915954" w:rsidP="00915954"/>
        </w:tc>
      </w:tr>
      <w:tr w:rsidR="00915954" w14:paraId="28451EB5" w14:textId="77777777" w:rsidTr="00915954">
        <w:trPr>
          <w:cnfStyle w:val="000000100000" w:firstRow="0" w:lastRow="0" w:firstColumn="0" w:lastColumn="0" w:oddVBand="0" w:evenVBand="0" w:oddHBand="1" w:evenHBand="0" w:firstRowFirstColumn="0" w:firstRowLastColumn="0" w:lastRowFirstColumn="0" w:lastRowLastColumn="0"/>
        </w:trPr>
        <w:tc>
          <w:tcPr>
            <w:tcW w:w="1786" w:type="dxa"/>
          </w:tcPr>
          <w:p w14:paraId="0564ABBB" w14:textId="79671059" w:rsidR="00915954" w:rsidRDefault="00821666" w:rsidP="00915954">
            <w:r>
              <w:rPr>
                <w:noProof/>
              </w:rPr>
              <w:drawing>
                <wp:anchor distT="0" distB="0" distL="114300" distR="114300" simplePos="0" relativeHeight="251658242" behindDoc="0" locked="0" layoutInCell="1" allowOverlap="1" wp14:anchorId="01EB2AA9" wp14:editId="53461EAA">
                  <wp:simplePos x="0" y="0"/>
                  <wp:positionH relativeFrom="column">
                    <wp:posOffset>158626</wp:posOffset>
                  </wp:positionH>
                  <wp:positionV relativeFrom="paragraph">
                    <wp:posOffset>-92850</wp:posOffset>
                  </wp:positionV>
                  <wp:extent cx="807522" cy="807522"/>
                  <wp:effectExtent l="0" t="0" r="0" b="0"/>
                  <wp:wrapNone/>
                  <wp:docPr id="357176936" name="Graphic 1" descr="Month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76936" name="Graphic 357176936" descr="Monthly calendar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807522" cy="807522"/>
                          </a:xfrm>
                          <a:prstGeom prst="rect">
                            <a:avLst/>
                          </a:prstGeom>
                        </pic:spPr>
                      </pic:pic>
                    </a:graphicData>
                  </a:graphic>
                </wp:anchor>
              </w:drawing>
            </w:r>
          </w:p>
        </w:tc>
        <w:tc>
          <w:tcPr>
            <w:tcW w:w="7994" w:type="dxa"/>
          </w:tcPr>
          <w:p w14:paraId="12E78350" w14:textId="16D30F57" w:rsidR="00915954" w:rsidRDefault="00915954" w:rsidP="00915954">
            <w:pPr>
              <w:pStyle w:val="TableBold"/>
            </w:pPr>
            <w:r>
              <w:t>Key dates</w:t>
            </w:r>
          </w:p>
          <w:p w14:paraId="206B0BA4" w14:textId="453D71FC" w:rsidR="00915954" w:rsidRDefault="00F6199A" w:rsidP="00915954">
            <w:pPr>
              <w:pStyle w:val="TableBullet"/>
            </w:pPr>
            <w:r>
              <w:t>21 March</w:t>
            </w:r>
            <w:r w:rsidR="00915954">
              <w:t xml:space="preserve"> 2023</w:t>
            </w:r>
            <w:r w:rsidR="00310DDF">
              <w:t xml:space="preserve">: </w:t>
            </w:r>
            <w:hyperlink r:id="rId14" w:history="1">
              <w:r w:rsidR="006151EF" w:rsidRPr="0081539B">
                <w:rPr>
                  <w:rStyle w:val="Hyperlink"/>
                </w:rPr>
                <w:t xml:space="preserve">Issues </w:t>
              </w:r>
              <w:r w:rsidR="00B56B93" w:rsidRPr="0081539B">
                <w:rPr>
                  <w:rStyle w:val="Hyperlink"/>
                </w:rPr>
                <w:t>p</w:t>
              </w:r>
              <w:r w:rsidR="006151EF" w:rsidRPr="0081539B">
                <w:rPr>
                  <w:rStyle w:val="Hyperlink"/>
                </w:rPr>
                <w:t>aper</w:t>
              </w:r>
            </w:hyperlink>
            <w:r w:rsidR="006151EF">
              <w:t xml:space="preserve"> published</w:t>
            </w:r>
            <w:r w:rsidR="00631607">
              <w:t xml:space="preserve"> </w:t>
            </w:r>
          </w:p>
          <w:p w14:paraId="68E81F0F" w14:textId="6A0C7FF2" w:rsidR="0092631C" w:rsidRDefault="0092631C" w:rsidP="00915954">
            <w:pPr>
              <w:pStyle w:val="TableBullet"/>
            </w:pPr>
            <w:r>
              <w:t>20 April 2023: Stakeholder information session</w:t>
            </w:r>
            <w:r w:rsidR="00025EF1">
              <w:t xml:space="preserve"> (online)</w:t>
            </w:r>
          </w:p>
          <w:p w14:paraId="7ADDD872" w14:textId="74AD37A3" w:rsidR="00915954" w:rsidRDefault="006151EF" w:rsidP="00915954">
            <w:pPr>
              <w:pStyle w:val="TableBullet"/>
            </w:pPr>
            <w:r>
              <w:t>4 May 2023</w:t>
            </w:r>
            <w:r w:rsidR="00921E7A">
              <w:t xml:space="preserve">: Consultation </w:t>
            </w:r>
            <w:r w:rsidR="00C03F19">
              <w:t xml:space="preserve">on the issues paper </w:t>
            </w:r>
            <w:r w:rsidR="00921E7A">
              <w:t>closed</w:t>
            </w:r>
          </w:p>
          <w:p w14:paraId="26A5AC87" w14:textId="243A2EC5" w:rsidR="00305A3C" w:rsidRDefault="00921E7A" w:rsidP="00915954">
            <w:pPr>
              <w:pStyle w:val="TableBullet"/>
            </w:pPr>
            <w:r>
              <w:t xml:space="preserve">15 November 2023: </w:t>
            </w:r>
            <w:hyperlink r:id="rId15" w:history="1">
              <w:r w:rsidRPr="00B603C8">
                <w:rPr>
                  <w:rStyle w:val="Hyperlink"/>
                </w:rPr>
                <w:t xml:space="preserve">Draft </w:t>
              </w:r>
              <w:r w:rsidR="00911012" w:rsidRPr="00B603C8">
                <w:rPr>
                  <w:rStyle w:val="Hyperlink"/>
                </w:rPr>
                <w:t>d</w:t>
              </w:r>
              <w:r w:rsidRPr="00B603C8">
                <w:rPr>
                  <w:rStyle w:val="Hyperlink"/>
                </w:rPr>
                <w:t>ecision</w:t>
              </w:r>
            </w:hyperlink>
            <w:r>
              <w:t xml:space="preserve"> published</w:t>
            </w:r>
            <w:r w:rsidR="004B7518">
              <w:t xml:space="preserve"> </w:t>
            </w:r>
          </w:p>
          <w:p w14:paraId="1C6322F3" w14:textId="6E29CA87" w:rsidR="00305A3C" w:rsidRDefault="00921E7A" w:rsidP="00915954">
            <w:pPr>
              <w:pStyle w:val="TableBullet"/>
            </w:pPr>
            <w:r>
              <w:t>21 December 2023: Consultation</w:t>
            </w:r>
            <w:r w:rsidR="00F768C6">
              <w:t xml:space="preserve"> on the draft decision</w:t>
            </w:r>
            <w:r>
              <w:t xml:space="preserve"> closed</w:t>
            </w:r>
          </w:p>
          <w:p w14:paraId="311B5C1E" w14:textId="61D36FD0" w:rsidR="00305A3C" w:rsidRPr="00F55323" w:rsidRDefault="00F55323" w:rsidP="00915954">
            <w:pPr>
              <w:pStyle w:val="TableBullet"/>
            </w:pPr>
            <w:r w:rsidRPr="00F55323">
              <w:t>9</w:t>
            </w:r>
            <w:r w:rsidR="00F90A6F" w:rsidRPr="00F55323">
              <w:t xml:space="preserve"> </w:t>
            </w:r>
            <w:r w:rsidR="00F3516A" w:rsidRPr="00F55323">
              <w:t>May</w:t>
            </w:r>
            <w:r w:rsidR="00F90A6F" w:rsidRPr="00F55323">
              <w:t xml:space="preserve"> </w:t>
            </w:r>
            <w:r w:rsidR="00305A3C" w:rsidRPr="00F55323">
              <w:t xml:space="preserve">2024: </w:t>
            </w:r>
            <w:r w:rsidR="00F90A6F" w:rsidRPr="00F55323">
              <w:t xml:space="preserve">Final </w:t>
            </w:r>
            <w:r w:rsidR="00911012" w:rsidRPr="00F55323">
              <w:t>d</w:t>
            </w:r>
            <w:r w:rsidR="00F90A6F" w:rsidRPr="00F55323">
              <w:t>ecision published</w:t>
            </w:r>
          </w:p>
          <w:p w14:paraId="47CCAF7F" w14:textId="2E726792" w:rsidR="00037DAE" w:rsidRPr="00F55323" w:rsidRDefault="00567ABC" w:rsidP="00037DAE">
            <w:pPr>
              <w:pStyle w:val="TableBullet"/>
            </w:pPr>
            <w:r w:rsidRPr="00F55323">
              <w:t>1 October 2024</w:t>
            </w:r>
            <w:r w:rsidR="00E42726" w:rsidRPr="00F55323">
              <w:t>:</w:t>
            </w:r>
            <w:r w:rsidR="00E40E9F" w:rsidRPr="00F55323">
              <w:t xml:space="preserve"> </w:t>
            </w:r>
            <w:r w:rsidR="0081539B" w:rsidRPr="00F55323">
              <w:t xml:space="preserve">New </w:t>
            </w:r>
            <w:r w:rsidR="009C6CD0" w:rsidRPr="00F55323">
              <w:t>Gas Distribution Code of Practice takes effect</w:t>
            </w:r>
          </w:p>
          <w:p w14:paraId="77311268" w14:textId="3EC243C7" w:rsidR="0039115A" w:rsidRDefault="00037DAE" w:rsidP="00037DAE">
            <w:pPr>
              <w:pStyle w:val="TableBullet"/>
            </w:pPr>
            <w:r w:rsidRPr="00F55323">
              <w:t xml:space="preserve">1 January 2025: </w:t>
            </w:r>
            <w:r w:rsidR="0081539B" w:rsidRPr="00F55323">
              <w:t>U</w:t>
            </w:r>
            <w:r w:rsidRPr="00F55323">
              <w:t xml:space="preserve">pfront </w:t>
            </w:r>
            <w:r w:rsidR="007276D4" w:rsidRPr="00F55323">
              <w:t>connection charges</w:t>
            </w:r>
            <w:r w:rsidR="007276D4">
              <w:t xml:space="preserve"> take effect</w:t>
            </w:r>
          </w:p>
          <w:p w14:paraId="1455F859" w14:textId="77777777" w:rsidR="00C57EAF" w:rsidRDefault="00C57EAF" w:rsidP="00C57EAF">
            <w:pPr>
              <w:pStyle w:val="TableBullet"/>
              <w:numPr>
                <w:ilvl w:val="0"/>
                <w:numId w:val="0"/>
              </w:numPr>
            </w:pPr>
          </w:p>
          <w:p w14:paraId="021CDC89" w14:textId="1D3FD97A" w:rsidR="00915954" w:rsidRDefault="00C57EAF" w:rsidP="00C57EAF">
            <w:pPr>
              <w:pStyle w:val="TableBullet"/>
              <w:numPr>
                <w:ilvl w:val="0"/>
                <w:numId w:val="0"/>
              </w:numPr>
            </w:pPr>
            <w:r>
              <w:t xml:space="preserve">All submissions and </w:t>
            </w:r>
            <w:r w:rsidR="00957D59">
              <w:t xml:space="preserve">decision documents </w:t>
            </w:r>
            <w:r w:rsidR="00CB5840">
              <w:t>can</w:t>
            </w:r>
            <w:r w:rsidR="007066F4">
              <w:t xml:space="preserve"> be accessed </w:t>
            </w:r>
            <w:r w:rsidR="00272FE6">
              <w:t>on our webpage</w:t>
            </w:r>
            <w:r w:rsidR="007066F4">
              <w:t xml:space="preserve">: </w:t>
            </w:r>
            <w:hyperlink r:id="rId16" w:history="1">
              <w:r w:rsidR="007066F4">
                <w:rPr>
                  <w:rStyle w:val="Hyperlink"/>
                </w:rPr>
                <w:t>Reviewing the Gas Distribution System Code of Practice | Essential Services Commission</w:t>
              </w:r>
            </w:hyperlink>
          </w:p>
        </w:tc>
      </w:tr>
      <w:tr w:rsidR="00915954" w14:paraId="7E93F929" w14:textId="77777777" w:rsidTr="00915954">
        <w:trPr>
          <w:cnfStyle w:val="000000010000" w:firstRow="0" w:lastRow="0" w:firstColumn="0" w:lastColumn="0" w:oddVBand="0" w:evenVBand="0" w:oddHBand="0" w:evenHBand="1" w:firstRowFirstColumn="0" w:firstRowLastColumn="0" w:lastRowFirstColumn="0" w:lastRowLastColumn="0"/>
        </w:trPr>
        <w:tc>
          <w:tcPr>
            <w:tcW w:w="1786" w:type="dxa"/>
          </w:tcPr>
          <w:p w14:paraId="7EB7BC4D" w14:textId="77777777" w:rsidR="00915954" w:rsidRDefault="00821666" w:rsidP="00915954">
            <w:r>
              <w:rPr>
                <w:noProof/>
              </w:rPr>
              <w:drawing>
                <wp:anchor distT="0" distB="0" distL="114300" distR="114300" simplePos="0" relativeHeight="251658241" behindDoc="0" locked="0" layoutInCell="1" allowOverlap="1" wp14:anchorId="44D92F59" wp14:editId="3F3A4407">
                  <wp:simplePos x="0" y="0"/>
                  <wp:positionH relativeFrom="column">
                    <wp:posOffset>158313</wp:posOffset>
                  </wp:positionH>
                  <wp:positionV relativeFrom="paragraph">
                    <wp:posOffset>22225</wp:posOffset>
                  </wp:positionV>
                  <wp:extent cx="629393" cy="629393"/>
                  <wp:effectExtent l="0" t="0" r="0" b="0"/>
                  <wp:wrapNone/>
                  <wp:docPr id="79615913" name="Graphic 2"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15913" name="Graphic 79615913" descr="Lightbulb and gear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29393" cy="629393"/>
                          </a:xfrm>
                          <a:prstGeom prst="rect">
                            <a:avLst/>
                          </a:prstGeom>
                        </pic:spPr>
                      </pic:pic>
                    </a:graphicData>
                  </a:graphic>
                  <wp14:sizeRelH relativeFrom="margin">
                    <wp14:pctWidth>0</wp14:pctWidth>
                  </wp14:sizeRelH>
                  <wp14:sizeRelV relativeFrom="margin">
                    <wp14:pctHeight>0</wp14:pctHeight>
                  </wp14:sizeRelV>
                </wp:anchor>
              </w:drawing>
            </w:r>
          </w:p>
        </w:tc>
        <w:tc>
          <w:tcPr>
            <w:tcW w:w="7994" w:type="dxa"/>
          </w:tcPr>
          <w:p w14:paraId="649D6E8D" w14:textId="77777777" w:rsidR="00915954" w:rsidRDefault="00305A3C" w:rsidP="00305A3C">
            <w:pPr>
              <w:pStyle w:val="TableBold"/>
            </w:pPr>
            <w:r>
              <w:t>Methodology</w:t>
            </w:r>
          </w:p>
          <w:p w14:paraId="35BC7508" w14:textId="77777777" w:rsidR="00305A3C" w:rsidRDefault="00305A3C" w:rsidP="00305A3C">
            <w:pPr>
              <w:pStyle w:val="TableBody"/>
            </w:pPr>
          </w:p>
          <w:p w14:paraId="64A73110" w14:textId="645BB81A" w:rsidR="00305A3C" w:rsidRDefault="00305A3C" w:rsidP="00305A3C">
            <w:pPr>
              <w:pStyle w:val="TableBody"/>
            </w:pPr>
            <w:r>
              <w:t xml:space="preserve">We </w:t>
            </w:r>
            <w:r w:rsidR="00EC43E2">
              <w:t>provided</w:t>
            </w:r>
            <w:r>
              <w:t xml:space="preserve"> several opportunities</w:t>
            </w:r>
            <w:r w:rsidR="00112BEE">
              <w:t xml:space="preserve"> for</w:t>
            </w:r>
            <w:r w:rsidR="00EC43E2">
              <w:t xml:space="preserve"> stakeholders </w:t>
            </w:r>
            <w:r>
              <w:t xml:space="preserve">to engage with this </w:t>
            </w:r>
            <w:r w:rsidR="00CD7E4A">
              <w:t>project</w:t>
            </w:r>
            <w:r>
              <w:t xml:space="preserve">. </w:t>
            </w:r>
          </w:p>
          <w:p w14:paraId="3B0B96DB" w14:textId="77777777" w:rsidR="00305A3C" w:rsidRDefault="00305A3C" w:rsidP="00305A3C">
            <w:pPr>
              <w:pStyle w:val="TableBody"/>
            </w:pPr>
          </w:p>
          <w:p w14:paraId="2120BF10" w14:textId="5D3E891A" w:rsidR="00305A3C" w:rsidRDefault="006B50B3" w:rsidP="00305A3C">
            <w:pPr>
              <w:pStyle w:val="TableBold"/>
            </w:pPr>
            <w:r>
              <w:t>Issues paper and i</w:t>
            </w:r>
            <w:r w:rsidR="00305A3C">
              <w:t>nitial engagement</w:t>
            </w:r>
          </w:p>
          <w:p w14:paraId="44C79D1E" w14:textId="77777777" w:rsidR="00CD7E4A" w:rsidRDefault="00CD7E4A" w:rsidP="00305A3C">
            <w:pPr>
              <w:pStyle w:val="TableBold"/>
            </w:pPr>
          </w:p>
          <w:p w14:paraId="239168F9" w14:textId="31DD3F32" w:rsidR="008E685C" w:rsidRDefault="003C31D3" w:rsidP="00305A3C">
            <w:pPr>
              <w:pStyle w:val="TableBody"/>
            </w:pPr>
            <w:r>
              <w:t xml:space="preserve">We released an issues paper for </w:t>
            </w:r>
            <w:r w:rsidR="00E0237F">
              <w:t xml:space="preserve">public </w:t>
            </w:r>
            <w:r w:rsidR="00CA7054">
              <w:t xml:space="preserve">consultation </w:t>
            </w:r>
            <w:r w:rsidR="00AD31A8">
              <w:t>on 21 March 2023</w:t>
            </w:r>
            <w:r w:rsidR="00CA7054">
              <w:t>.</w:t>
            </w:r>
            <w:r w:rsidR="00305A3C">
              <w:t xml:space="preserve"> </w:t>
            </w:r>
            <w:r w:rsidR="002A09FB">
              <w:t xml:space="preserve">The paper outlined </w:t>
            </w:r>
            <w:r w:rsidR="00BC73EA">
              <w:t>our</w:t>
            </w:r>
            <w:r w:rsidR="002A09FB">
              <w:t xml:space="preserve"> rationale for review</w:t>
            </w:r>
            <w:r w:rsidR="00AD31A8">
              <w:t>ing</w:t>
            </w:r>
            <w:r w:rsidR="002A09FB">
              <w:t xml:space="preserve"> the </w:t>
            </w:r>
            <w:r w:rsidR="00097C0C">
              <w:t>code,</w:t>
            </w:r>
            <w:r w:rsidR="00CD1FBD">
              <w:t xml:space="preserve"> </w:t>
            </w:r>
            <w:r w:rsidR="00097C0C">
              <w:t xml:space="preserve">our </w:t>
            </w:r>
            <w:r w:rsidR="00D60133">
              <w:t xml:space="preserve">objectives </w:t>
            </w:r>
            <w:r w:rsidR="00CD1FBD">
              <w:t xml:space="preserve">and assessment framework </w:t>
            </w:r>
            <w:r w:rsidR="00097C0C">
              <w:t xml:space="preserve">in </w:t>
            </w:r>
            <w:r w:rsidR="009E1F96">
              <w:t xml:space="preserve">remaking </w:t>
            </w:r>
            <w:r w:rsidR="005F1581">
              <w:t>a</w:t>
            </w:r>
            <w:r w:rsidR="009E1F96">
              <w:t xml:space="preserve"> code</w:t>
            </w:r>
            <w:r w:rsidR="00CD1FBD">
              <w:t xml:space="preserve"> </w:t>
            </w:r>
            <w:r w:rsidR="00D60133">
              <w:t>of practice.</w:t>
            </w:r>
          </w:p>
          <w:p w14:paraId="49E568CB" w14:textId="77777777" w:rsidR="008E685C" w:rsidRDefault="008E685C" w:rsidP="00305A3C">
            <w:pPr>
              <w:pStyle w:val="TableBody"/>
            </w:pPr>
          </w:p>
          <w:p w14:paraId="24800B0F" w14:textId="0B00407D" w:rsidR="00305A3C" w:rsidRDefault="008E685C" w:rsidP="00305A3C">
            <w:pPr>
              <w:pStyle w:val="TableBody"/>
            </w:pPr>
            <w:r>
              <w:t xml:space="preserve">We held an online public information session on 20 April 2023. </w:t>
            </w:r>
            <w:r w:rsidR="00305A3C">
              <w:t xml:space="preserve">We incorporated </w:t>
            </w:r>
            <w:r w:rsidR="00A473C0">
              <w:t xml:space="preserve">stakeholder </w:t>
            </w:r>
            <w:r w:rsidR="00305A3C">
              <w:t>feedback</w:t>
            </w:r>
            <w:r w:rsidR="00214043">
              <w:t xml:space="preserve"> to our issues paper</w:t>
            </w:r>
            <w:r w:rsidR="00305A3C">
              <w:t xml:space="preserve"> into our draft decision.</w:t>
            </w:r>
          </w:p>
          <w:p w14:paraId="1181B11D" w14:textId="77777777" w:rsidR="00305A3C" w:rsidRDefault="00305A3C" w:rsidP="00305A3C">
            <w:pPr>
              <w:pStyle w:val="TableBody"/>
            </w:pPr>
          </w:p>
          <w:p w14:paraId="0FDB2A1A" w14:textId="7871D514" w:rsidR="00305A3C" w:rsidRDefault="00305A3C" w:rsidP="00305A3C">
            <w:pPr>
              <w:pStyle w:val="TableBold"/>
            </w:pPr>
            <w:r>
              <w:t>Draft decision</w:t>
            </w:r>
            <w:r w:rsidR="00A473C0">
              <w:t xml:space="preserve"> and draft code of practice</w:t>
            </w:r>
          </w:p>
          <w:p w14:paraId="7FE5A9FF" w14:textId="77777777" w:rsidR="00305A3C" w:rsidRDefault="00305A3C" w:rsidP="00305A3C">
            <w:pPr>
              <w:pStyle w:val="TableBold"/>
            </w:pPr>
          </w:p>
          <w:p w14:paraId="4937016E" w14:textId="66C3FCF1" w:rsidR="00305A3C" w:rsidRDefault="00305A3C" w:rsidP="00305A3C">
            <w:pPr>
              <w:pStyle w:val="TableBody"/>
            </w:pPr>
            <w:r>
              <w:t>We sought public submissions via Engage Victoria</w:t>
            </w:r>
            <w:r w:rsidR="00CD3386">
              <w:t xml:space="preserve"> and via </w:t>
            </w:r>
            <w:r w:rsidR="00EB0F54">
              <w:t>email</w:t>
            </w:r>
            <w:r w:rsidR="00492CF0">
              <w:t>.</w:t>
            </w:r>
            <w:r w:rsidR="00C44B43">
              <w:t xml:space="preserve"> </w:t>
            </w:r>
          </w:p>
          <w:p w14:paraId="24308D3C" w14:textId="77777777" w:rsidR="00305A3C" w:rsidRDefault="00305A3C" w:rsidP="00305A3C">
            <w:pPr>
              <w:pStyle w:val="TableBody"/>
            </w:pPr>
          </w:p>
          <w:p w14:paraId="58D0D647" w14:textId="66FA1F7D" w:rsidR="00A3593E" w:rsidRDefault="00305A3C" w:rsidP="00A3593E">
            <w:pPr>
              <w:pStyle w:val="TableBody"/>
            </w:pPr>
            <w:r>
              <w:t xml:space="preserve">Stakeholders were invited to provide feedback on the draft </w:t>
            </w:r>
            <w:r w:rsidR="002E1686">
              <w:t>decision</w:t>
            </w:r>
            <w:r w:rsidR="00C44B43">
              <w:t xml:space="preserve"> </w:t>
            </w:r>
            <w:r>
              <w:t xml:space="preserve">using a method most suitable to their needs. </w:t>
            </w:r>
            <w:r w:rsidR="00C44B43">
              <w:t xml:space="preserve">Stakeholders had the option to </w:t>
            </w:r>
            <w:r>
              <w:t>make submissions through an online survey</w:t>
            </w:r>
            <w:r w:rsidR="003236C3">
              <w:t xml:space="preserve"> on Engage Victoria,</w:t>
            </w:r>
            <w:r>
              <w:t xml:space="preserve"> or by making general comments over email, </w:t>
            </w:r>
            <w:r w:rsidR="008C0829">
              <w:t xml:space="preserve">mail </w:t>
            </w:r>
            <w:r>
              <w:t xml:space="preserve">or phone. </w:t>
            </w:r>
            <w:r w:rsidR="00A3593E">
              <w:t>We also welcomed individual discussions with</w:t>
            </w:r>
            <w:r w:rsidR="002E1686">
              <w:t xml:space="preserve"> </w:t>
            </w:r>
            <w:r w:rsidR="00A3593E">
              <w:t>stakeholders.</w:t>
            </w:r>
          </w:p>
          <w:p w14:paraId="288D4415" w14:textId="77777777" w:rsidR="00305A3C" w:rsidRDefault="00305A3C" w:rsidP="00305A3C">
            <w:pPr>
              <w:pStyle w:val="TableBody"/>
            </w:pPr>
          </w:p>
          <w:p w14:paraId="0262CFDC" w14:textId="68C3E5AE" w:rsidR="00305A3C" w:rsidRDefault="00305A3C" w:rsidP="00305A3C">
            <w:pPr>
              <w:pStyle w:val="TableBody"/>
            </w:pPr>
            <w:r>
              <w:lastRenderedPageBreak/>
              <w:t>Stakeholders were notified</w:t>
            </w:r>
            <w:r w:rsidR="00CD3386">
              <w:t xml:space="preserve"> about this opportunity</w:t>
            </w:r>
            <w:r>
              <w:t xml:space="preserve"> through emails</w:t>
            </w:r>
            <w:r w:rsidR="005A5966">
              <w:t xml:space="preserve"> and th</w:t>
            </w:r>
            <w:r>
              <w:t>e commission’s webpage</w:t>
            </w:r>
            <w:r w:rsidR="00741461">
              <w:t>.</w:t>
            </w:r>
          </w:p>
          <w:p w14:paraId="6629CECA" w14:textId="77777777" w:rsidR="00A41024" w:rsidRDefault="00A41024" w:rsidP="00305A3C">
            <w:pPr>
              <w:pStyle w:val="TableBody"/>
            </w:pPr>
          </w:p>
          <w:p w14:paraId="2F0B1B02" w14:textId="77777777" w:rsidR="00A41024" w:rsidRDefault="00A41024" w:rsidP="00A41024">
            <w:pPr>
              <w:pStyle w:val="TableBody"/>
              <w:rPr>
                <w:b/>
                <w:bCs/>
              </w:rPr>
            </w:pPr>
            <w:r w:rsidRPr="003540EB">
              <w:rPr>
                <w:b/>
                <w:bCs/>
              </w:rPr>
              <w:t>One-on-one meetings with stakeholders</w:t>
            </w:r>
          </w:p>
          <w:p w14:paraId="0AECF882" w14:textId="77777777" w:rsidR="001421F1" w:rsidRDefault="001421F1" w:rsidP="00A41024">
            <w:pPr>
              <w:pStyle w:val="TableBody"/>
              <w:rPr>
                <w:b/>
                <w:bCs/>
              </w:rPr>
            </w:pPr>
          </w:p>
          <w:p w14:paraId="37E58AEF" w14:textId="27354048" w:rsidR="001421F1" w:rsidRPr="001421F1" w:rsidRDefault="001421F1" w:rsidP="00A41024">
            <w:pPr>
              <w:pStyle w:val="TableBody"/>
            </w:pPr>
            <w:r>
              <w:t xml:space="preserve">We </w:t>
            </w:r>
            <w:r w:rsidR="00CD3386">
              <w:t xml:space="preserve">held </w:t>
            </w:r>
            <w:r w:rsidR="00B420A1">
              <w:t xml:space="preserve">discussions with specific stakeholder groups to </w:t>
            </w:r>
            <w:r w:rsidR="00C90BE3">
              <w:t>discuss their submissions</w:t>
            </w:r>
            <w:r w:rsidR="00452391">
              <w:t xml:space="preserve">. </w:t>
            </w:r>
            <w:r w:rsidR="00901F7C">
              <w:t>These meetings were held on various</w:t>
            </w:r>
            <w:r w:rsidR="00801849">
              <w:t xml:space="preserve"> dates from </w:t>
            </w:r>
            <w:r w:rsidR="0044064A">
              <w:t>March</w:t>
            </w:r>
            <w:r w:rsidR="00801849">
              <w:t xml:space="preserve"> 2023 to February 2024.</w:t>
            </w:r>
            <w:r w:rsidR="001B2B79">
              <w:t xml:space="preserve"> We met with:</w:t>
            </w:r>
          </w:p>
          <w:p w14:paraId="2767A3F8" w14:textId="53D950F1" w:rsidR="00A41024" w:rsidRDefault="003608C7" w:rsidP="003540EB">
            <w:pPr>
              <w:pStyle w:val="TableBullet2"/>
            </w:pPr>
            <w:r>
              <w:t>g</w:t>
            </w:r>
            <w:r w:rsidR="00923E6C">
              <w:t>as distributors</w:t>
            </w:r>
          </w:p>
          <w:p w14:paraId="062C62A1" w14:textId="7D81119B" w:rsidR="00923E6C" w:rsidRDefault="003608C7">
            <w:pPr>
              <w:pStyle w:val="TableBullet2"/>
            </w:pPr>
            <w:r>
              <w:t>g</w:t>
            </w:r>
            <w:r w:rsidR="00923E6C">
              <w:t>as retailers</w:t>
            </w:r>
          </w:p>
          <w:p w14:paraId="2FDFFEA5" w14:textId="32D3274B" w:rsidR="00091C2F" w:rsidRDefault="00091C2F" w:rsidP="003540EB">
            <w:pPr>
              <w:pStyle w:val="TableBullet2"/>
            </w:pPr>
            <w:r>
              <w:t>property developers</w:t>
            </w:r>
          </w:p>
          <w:p w14:paraId="499D3C05" w14:textId="6FC8B442" w:rsidR="00923E6C" w:rsidRDefault="00895131" w:rsidP="003540EB">
            <w:pPr>
              <w:pStyle w:val="TableBullet2"/>
            </w:pPr>
            <w:r>
              <w:t>o</w:t>
            </w:r>
            <w:r w:rsidR="00923E6C">
              <w:t>ther regulators</w:t>
            </w:r>
            <w:r w:rsidR="00AA2619">
              <w:t xml:space="preserve"> </w:t>
            </w:r>
            <w:r w:rsidR="00F0141D">
              <w:t>(</w:t>
            </w:r>
            <w:r w:rsidR="00AA2619">
              <w:t xml:space="preserve">including </w:t>
            </w:r>
            <w:r w:rsidR="00AB4E7B">
              <w:t>the Australian Energy Market Operator</w:t>
            </w:r>
            <w:r w:rsidR="00F0141D">
              <w:t>,</w:t>
            </w:r>
            <w:r w:rsidR="00AB4E7B">
              <w:t xml:space="preserve"> the Australian Energy Regulator</w:t>
            </w:r>
            <w:r w:rsidR="00091C2F">
              <w:t>, and</w:t>
            </w:r>
            <w:r w:rsidR="00F0141D">
              <w:t xml:space="preserve"> Energy Safe Victoria)</w:t>
            </w:r>
          </w:p>
          <w:p w14:paraId="256C6C02" w14:textId="77777777" w:rsidR="00A41024" w:rsidRDefault="00923E6C" w:rsidP="00F0141D">
            <w:pPr>
              <w:pStyle w:val="TableBullet2"/>
            </w:pPr>
            <w:r>
              <w:t xml:space="preserve">consumer </w:t>
            </w:r>
            <w:r w:rsidR="00F0141D">
              <w:t xml:space="preserve">protection </w:t>
            </w:r>
            <w:r>
              <w:t>groups</w:t>
            </w:r>
            <w:r w:rsidR="00F0141D">
              <w:t>, and</w:t>
            </w:r>
          </w:p>
          <w:p w14:paraId="69BFCFCE" w14:textId="12C5BE1C" w:rsidR="00F0141D" w:rsidRDefault="00F0141D" w:rsidP="00F0141D">
            <w:pPr>
              <w:pStyle w:val="TableBullet2"/>
            </w:pPr>
            <w:r>
              <w:t>climate action groups.</w:t>
            </w:r>
          </w:p>
        </w:tc>
      </w:tr>
      <w:tr w:rsidR="00915954" w14:paraId="0C752239" w14:textId="77777777" w:rsidTr="00915954">
        <w:trPr>
          <w:cnfStyle w:val="000000100000" w:firstRow="0" w:lastRow="0" w:firstColumn="0" w:lastColumn="0" w:oddVBand="0" w:evenVBand="0" w:oddHBand="1" w:evenHBand="0" w:firstRowFirstColumn="0" w:firstRowLastColumn="0" w:lastRowFirstColumn="0" w:lastRowLastColumn="0"/>
        </w:trPr>
        <w:tc>
          <w:tcPr>
            <w:tcW w:w="1786" w:type="dxa"/>
          </w:tcPr>
          <w:p w14:paraId="0DCA863F" w14:textId="50070CF5" w:rsidR="00915954" w:rsidRDefault="0020638D" w:rsidP="00915954">
            <w:r>
              <w:rPr>
                <w:noProof/>
              </w:rPr>
              <w:lastRenderedPageBreak/>
              <w:drawing>
                <wp:anchor distT="0" distB="0" distL="114300" distR="114300" simplePos="0" relativeHeight="251658243" behindDoc="0" locked="0" layoutInCell="1" allowOverlap="1" wp14:anchorId="3988E6C6" wp14:editId="50921686">
                  <wp:simplePos x="0" y="0"/>
                  <wp:positionH relativeFrom="column">
                    <wp:posOffset>98812</wp:posOffset>
                  </wp:positionH>
                  <wp:positionV relativeFrom="paragraph">
                    <wp:posOffset>102870</wp:posOffset>
                  </wp:positionV>
                  <wp:extent cx="712520" cy="712520"/>
                  <wp:effectExtent l="0" t="0" r="0" b="0"/>
                  <wp:wrapNone/>
                  <wp:docPr id="670593790" name="Graphic 4" descr="Use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593790" name="Graphic 670593790" descr="Users outlin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712520" cy="712520"/>
                          </a:xfrm>
                          <a:prstGeom prst="rect">
                            <a:avLst/>
                          </a:prstGeom>
                        </pic:spPr>
                      </pic:pic>
                    </a:graphicData>
                  </a:graphic>
                </wp:anchor>
              </w:drawing>
            </w:r>
          </w:p>
        </w:tc>
        <w:tc>
          <w:tcPr>
            <w:tcW w:w="7994" w:type="dxa"/>
          </w:tcPr>
          <w:p w14:paraId="4BE4D403" w14:textId="1CE3E0A6" w:rsidR="00CA6034" w:rsidRPr="002930E2" w:rsidRDefault="00CA6034" w:rsidP="00CA6034">
            <w:pPr>
              <w:pStyle w:val="TableBold"/>
            </w:pPr>
            <w:r w:rsidRPr="002930E2">
              <w:t>Number of participants</w:t>
            </w:r>
          </w:p>
          <w:p w14:paraId="73F66DA9" w14:textId="150B96F8" w:rsidR="004C6A8D" w:rsidRPr="002930E2" w:rsidRDefault="00573F9B" w:rsidP="00CA6034">
            <w:pPr>
              <w:pStyle w:val="TableBullet"/>
            </w:pPr>
            <w:r w:rsidRPr="002930E2">
              <w:t>3,921 views</w:t>
            </w:r>
            <w:r w:rsidR="002930E2" w:rsidRPr="002930E2">
              <w:t xml:space="preserve"> of</w:t>
            </w:r>
            <w:r w:rsidR="00624657" w:rsidRPr="002930E2">
              <w:t xml:space="preserve"> our </w:t>
            </w:r>
            <w:r w:rsidR="00E86AE1" w:rsidRPr="002930E2">
              <w:t xml:space="preserve">Engage Victoria </w:t>
            </w:r>
            <w:r w:rsidR="00302D52" w:rsidRPr="002930E2">
              <w:t xml:space="preserve">page </w:t>
            </w:r>
            <w:r w:rsidR="002930E2">
              <w:t>between</w:t>
            </w:r>
            <w:r w:rsidR="00672B97" w:rsidRPr="002930E2">
              <w:t xml:space="preserve"> 21 March</w:t>
            </w:r>
            <w:r w:rsidR="002845E5" w:rsidRPr="002930E2">
              <w:t xml:space="preserve"> 2023</w:t>
            </w:r>
            <w:r w:rsidR="00672B97" w:rsidRPr="002930E2">
              <w:t xml:space="preserve"> to </w:t>
            </w:r>
            <w:r w:rsidR="002845E5" w:rsidRPr="002930E2">
              <w:t>30 March</w:t>
            </w:r>
            <w:r w:rsidR="00672B97" w:rsidRPr="002930E2">
              <w:t xml:space="preserve"> 202</w:t>
            </w:r>
            <w:r w:rsidR="002845E5" w:rsidRPr="002930E2">
              <w:t>4</w:t>
            </w:r>
          </w:p>
          <w:p w14:paraId="2D8CC52D" w14:textId="35C96BCF" w:rsidR="00274D9C" w:rsidRPr="002930E2" w:rsidRDefault="00A2743E" w:rsidP="00995685">
            <w:pPr>
              <w:pStyle w:val="TableBullet"/>
            </w:pPr>
            <w:r w:rsidRPr="002930E2">
              <w:t xml:space="preserve">36 attended </w:t>
            </w:r>
            <w:r w:rsidR="00600E89" w:rsidRPr="002930E2">
              <w:t>our online information session on</w:t>
            </w:r>
            <w:r w:rsidR="00F23FA9" w:rsidRPr="002930E2">
              <w:t xml:space="preserve"> 20 April 2023</w:t>
            </w:r>
            <w:r w:rsidR="000B5E60" w:rsidRPr="002930E2">
              <w:t xml:space="preserve"> </w:t>
            </w:r>
            <w:r w:rsidR="00122932" w:rsidRPr="002930E2">
              <w:t xml:space="preserve"> </w:t>
            </w:r>
          </w:p>
        </w:tc>
      </w:tr>
      <w:tr w:rsidR="00915954" w14:paraId="1C7B66AF" w14:textId="77777777" w:rsidTr="00915954">
        <w:trPr>
          <w:cnfStyle w:val="000000010000" w:firstRow="0" w:lastRow="0" w:firstColumn="0" w:lastColumn="0" w:oddVBand="0" w:evenVBand="0" w:oddHBand="0" w:evenHBand="1" w:firstRowFirstColumn="0" w:firstRowLastColumn="0" w:lastRowFirstColumn="0" w:lastRowLastColumn="0"/>
        </w:trPr>
        <w:tc>
          <w:tcPr>
            <w:tcW w:w="1786" w:type="dxa"/>
          </w:tcPr>
          <w:p w14:paraId="0E1585CE" w14:textId="77777777" w:rsidR="00915954" w:rsidRDefault="0020638D" w:rsidP="00915954">
            <w:r>
              <w:rPr>
                <w:noProof/>
              </w:rPr>
              <w:drawing>
                <wp:anchor distT="0" distB="0" distL="114300" distR="114300" simplePos="0" relativeHeight="251658240" behindDoc="0" locked="0" layoutInCell="1" allowOverlap="1" wp14:anchorId="1982AD8E" wp14:editId="5D444E98">
                  <wp:simplePos x="0" y="0"/>
                  <wp:positionH relativeFrom="column">
                    <wp:posOffset>194063</wp:posOffset>
                  </wp:positionH>
                  <wp:positionV relativeFrom="paragraph">
                    <wp:posOffset>36187</wp:posOffset>
                  </wp:positionV>
                  <wp:extent cx="712470" cy="712470"/>
                  <wp:effectExtent l="0" t="0" r="0" b="0"/>
                  <wp:wrapNone/>
                  <wp:docPr id="246517442" name="Graphic 5" descr="Docume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517442" name="Graphic 246517442" descr="Document outline"/>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12470" cy="712470"/>
                          </a:xfrm>
                          <a:prstGeom prst="rect">
                            <a:avLst/>
                          </a:prstGeom>
                        </pic:spPr>
                      </pic:pic>
                    </a:graphicData>
                  </a:graphic>
                  <wp14:sizeRelH relativeFrom="margin">
                    <wp14:pctWidth>0</wp14:pctWidth>
                  </wp14:sizeRelH>
                  <wp14:sizeRelV relativeFrom="margin">
                    <wp14:pctHeight>0</wp14:pctHeight>
                  </wp14:sizeRelV>
                </wp:anchor>
              </w:drawing>
            </w:r>
          </w:p>
          <w:p w14:paraId="111DF25C" w14:textId="77777777" w:rsidR="0020638D" w:rsidRDefault="0020638D" w:rsidP="0020638D"/>
          <w:p w14:paraId="04AE9424" w14:textId="77777777" w:rsidR="0020638D" w:rsidRPr="0020638D" w:rsidRDefault="0020638D" w:rsidP="0020638D">
            <w:pPr>
              <w:jc w:val="center"/>
            </w:pPr>
          </w:p>
        </w:tc>
        <w:tc>
          <w:tcPr>
            <w:tcW w:w="7994" w:type="dxa"/>
          </w:tcPr>
          <w:p w14:paraId="20BA3A54" w14:textId="0430E23B" w:rsidR="00915954" w:rsidRDefault="00C034A5" w:rsidP="00C034A5">
            <w:pPr>
              <w:pStyle w:val="TableBold"/>
            </w:pPr>
            <w:r>
              <w:t>Number of submissions received</w:t>
            </w:r>
            <w:r w:rsidR="00CA2F15">
              <w:t xml:space="preserve"> (written/verbal)</w:t>
            </w:r>
          </w:p>
          <w:p w14:paraId="40220467" w14:textId="4036E1DC" w:rsidR="00735B3F" w:rsidRDefault="00C011A3" w:rsidP="00735B3F">
            <w:pPr>
              <w:pStyle w:val="TableBullet"/>
            </w:pPr>
            <w:r>
              <w:t>20</w:t>
            </w:r>
            <w:r w:rsidR="00CA2F15">
              <w:t xml:space="preserve"> written submissions </w:t>
            </w:r>
            <w:r w:rsidR="00F41FFD">
              <w:t xml:space="preserve">in response </w:t>
            </w:r>
            <w:r w:rsidR="00CA2F15">
              <w:t xml:space="preserve">to our </w:t>
            </w:r>
            <w:r w:rsidR="009D1131">
              <w:t>issues paper</w:t>
            </w:r>
          </w:p>
          <w:p w14:paraId="5C95611F" w14:textId="338DDF47" w:rsidR="00EE5E04" w:rsidRDefault="005E4894" w:rsidP="003540EB">
            <w:pPr>
              <w:pStyle w:val="TableBullet"/>
            </w:pPr>
            <w:r>
              <w:t>136</w:t>
            </w:r>
            <w:r w:rsidR="006548CE">
              <w:t xml:space="preserve"> submissions to our draft decision</w:t>
            </w:r>
            <w:r w:rsidR="00EE5E04">
              <w:t>, including from:</w:t>
            </w:r>
          </w:p>
          <w:p w14:paraId="6F4596E8" w14:textId="244B1A85" w:rsidR="00EF30E3" w:rsidRDefault="00EF30E3" w:rsidP="00EF30E3">
            <w:pPr>
              <w:pStyle w:val="TableBullet2"/>
            </w:pPr>
            <w:r>
              <w:t>Australian Gas Infrastructure Group</w:t>
            </w:r>
          </w:p>
          <w:p w14:paraId="5BBB34EC" w14:textId="4A38E518" w:rsidR="00EF30E3" w:rsidRDefault="00EF30E3" w:rsidP="00EF30E3">
            <w:pPr>
              <w:pStyle w:val="TableBullet2"/>
            </w:pPr>
            <w:r>
              <w:t>AGL Energy</w:t>
            </w:r>
          </w:p>
          <w:p w14:paraId="37EA1847" w14:textId="09B050C5" w:rsidR="00EF30E3" w:rsidRDefault="00EF30E3" w:rsidP="00EF30E3">
            <w:pPr>
              <w:pStyle w:val="TableBullet2"/>
            </w:pPr>
            <w:r>
              <w:t>AusNet Gas Services</w:t>
            </w:r>
          </w:p>
          <w:p w14:paraId="2AB22DC4" w14:textId="1C86E03D" w:rsidR="00EF30E3" w:rsidRDefault="00EF30E3" w:rsidP="00EF30E3">
            <w:pPr>
              <w:pStyle w:val="TableBullet2"/>
            </w:pPr>
            <w:r>
              <w:t>Bass Coast Climate Action Network</w:t>
            </w:r>
          </w:p>
          <w:p w14:paraId="1092871B" w14:textId="77777777" w:rsidR="00EF30E3" w:rsidRDefault="00EF30E3" w:rsidP="00EF30E3">
            <w:pPr>
              <w:pStyle w:val="TableBullet2"/>
            </w:pPr>
            <w:r>
              <w:t xml:space="preserve">Brotherhood of St Lawrence </w:t>
            </w:r>
          </w:p>
          <w:p w14:paraId="6055D48C" w14:textId="3ABA6A25" w:rsidR="00EF30E3" w:rsidRDefault="00EF30E3" w:rsidP="00EF30E3">
            <w:pPr>
              <w:pStyle w:val="TableBullet2"/>
            </w:pPr>
            <w:r>
              <w:t>Darebin Climate Action Now</w:t>
            </w:r>
          </w:p>
          <w:p w14:paraId="57C7F279" w14:textId="77777777" w:rsidR="00EF30E3" w:rsidRDefault="00EF30E3" w:rsidP="00EF30E3">
            <w:pPr>
              <w:pStyle w:val="TableBullet2"/>
            </w:pPr>
            <w:r>
              <w:t>EnergyAustralia</w:t>
            </w:r>
          </w:p>
          <w:p w14:paraId="2CADF036" w14:textId="77777777" w:rsidR="00EF30E3" w:rsidRDefault="00EF30E3" w:rsidP="00EF30E3">
            <w:pPr>
              <w:pStyle w:val="TableBullet2"/>
            </w:pPr>
            <w:r>
              <w:t>Energy Consumers Australia</w:t>
            </w:r>
          </w:p>
          <w:p w14:paraId="27E522CF" w14:textId="77777777" w:rsidR="00EF30E3" w:rsidRDefault="00EF30E3" w:rsidP="00EF30E3">
            <w:pPr>
              <w:pStyle w:val="TableBullet2"/>
            </w:pPr>
            <w:r>
              <w:t>Environment Victoria</w:t>
            </w:r>
          </w:p>
          <w:p w14:paraId="1C7514DA" w14:textId="13D28D06" w:rsidR="00EF30E3" w:rsidRDefault="00EF30E3" w:rsidP="00EF30E3">
            <w:pPr>
              <w:pStyle w:val="TableBullet2"/>
            </w:pPr>
            <w:r>
              <w:t>Energy and Water Ombudsman Victoria</w:t>
            </w:r>
          </w:p>
          <w:p w14:paraId="52ADA4C5" w14:textId="73CA8E3E" w:rsidR="00EF30E3" w:rsidRDefault="00EF30E3" w:rsidP="00EF30E3">
            <w:pPr>
              <w:pStyle w:val="TableBullet2"/>
            </w:pPr>
            <w:r>
              <w:t>Gas Networks Victoria</w:t>
            </w:r>
          </w:p>
          <w:p w14:paraId="6A96EE88" w14:textId="3B173478" w:rsidR="00EF30E3" w:rsidRDefault="00EF30E3" w:rsidP="00EF30E3">
            <w:pPr>
              <w:pStyle w:val="TableBullet2"/>
            </w:pPr>
            <w:r>
              <w:t>Housing Industry Association</w:t>
            </w:r>
          </w:p>
          <w:p w14:paraId="3B49D6DC" w14:textId="77777777" w:rsidR="00EF30E3" w:rsidRDefault="00EF30E3" w:rsidP="00EF30E3">
            <w:pPr>
              <w:pStyle w:val="TableBullet2"/>
            </w:pPr>
            <w:r>
              <w:t>Lighter Footprints</w:t>
            </w:r>
          </w:p>
          <w:p w14:paraId="1AC48EA4" w14:textId="0444AC2D" w:rsidR="00EF30E3" w:rsidRDefault="00EF30E3" w:rsidP="00EF30E3">
            <w:pPr>
              <w:pStyle w:val="TableBullet2"/>
            </w:pPr>
            <w:r>
              <w:t xml:space="preserve">Master Plumbers and Mechanical Services Association of Australia </w:t>
            </w:r>
          </w:p>
          <w:p w14:paraId="01A0DF75" w14:textId="7337080C" w:rsidR="00EF30E3" w:rsidRDefault="00EF30E3" w:rsidP="00EF30E3">
            <w:pPr>
              <w:pStyle w:val="TableBullet2"/>
            </w:pPr>
            <w:r>
              <w:lastRenderedPageBreak/>
              <w:t>Momentum Energy</w:t>
            </w:r>
          </w:p>
          <w:p w14:paraId="13A92F9F" w14:textId="10416022" w:rsidR="00EF30E3" w:rsidRDefault="00EF30E3" w:rsidP="00EF30E3">
            <w:pPr>
              <w:pStyle w:val="TableBullet2"/>
            </w:pPr>
            <w:r>
              <w:t>Origin Energy</w:t>
            </w:r>
          </w:p>
          <w:p w14:paraId="0A8C3194" w14:textId="77777777" w:rsidR="00CF0CE2" w:rsidRDefault="00EF30E3" w:rsidP="00B51FB6">
            <w:pPr>
              <w:pStyle w:val="TableBullet2"/>
            </w:pPr>
            <w:r>
              <w:t>Victorian Council of Social Services</w:t>
            </w:r>
          </w:p>
          <w:p w14:paraId="3875DBBB" w14:textId="0FE542AF" w:rsidR="00B51FB6" w:rsidRDefault="00B51FB6" w:rsidP="00B51FB6">
            <w:pPr>
              <w:pStyle w:val="TableBullet2"/>
            </w:pPr>
            <w:r>
              <w:t>Community members (</w:t>
            </w:r>
            <w:r w:rsidR="00220E0A">
              <w:t>1</w:t>
            </w:r>
            <w:r w:rsidR="008E0225">
              <w:t>19)</w:t>
            </w:r>
          </w:p>
        </w:tc>
      </w:tr>
    </w:tbl>
    <w:p w14:paraId="511A7F18" w14:textId="77777777" w:rsidR="00915954" w:rsidRPr="00915954" w:rsidRDefault="00915954" w:rsidP="00915954"/>
    <w:p w14:paraId="648E88C6" w14:textId="12D209D3" w:rsidR="009F15D6" w:rsidRPr="009F15D6" w:rsidRDefault="009F15D6" w:rsidP="009F15D6"/>
    <w:sectPr w:rsidR="009F15D6" w:rsidRPr="009F15D6" w:rsidSect="00C067EE">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1C06C" w14:textId="77777777" w:rsidR="00C067EE" w:rsidRDefault="00C067EE" w:rsidP="00AE03FA">
      <w:pPr>
        <w:spacing w:after="0"/>
      </w:pPr>
      <w:r>
        <w:separator/>
      </w:r>
    </w:p>
    <w:p w14:paraId="486FAD80" w14:textId="77777777" w:rsidR="00C067EE" w:rsidRDefault="00C067EE"/>
  </w:endnote>
  <w:endnote w:type="continuationSeparator" w:id="0">
    <w:p w14:paraId="1C013C08" w14:textId="77777777" w:rsidR="00C067EE" w:rsidRDefault="00C067EE" w:rsidP="00AE03FA">
      <w:pPr>
        <w:spacing w:after="0"/>
      </w:pPr>
      <w:r>
        <w:continuationSeparator/>
      </w:r>
    </w:p>
    <w:p w14:paraId="7668B66D" w14:textId="77777777" w:rsidR="00C067EE" w:rsidRDefault="00C067EE"/>
  </w:endnote>
  <w:endnote w:type="continuationNotice" w:id="1">
    <w:p w14:paraId="5DB34BEA" w14:textId="77777777" w:rsidR="00C067EE" w:rsidRDefault="00C067E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C917" w14:textId="77777777" w:rsidR="00684273" w:rsidRDefault="00684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9AEB" w14:textId="64DD6DEB" w:rsidR="00F06B55" w:rsidRDefault="00F06B55" w:rsidP="00D61055">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06B55" w14:paraId="120FF4CC" w14:textId="77777777" w:rsidTr="00E345E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802E4CB" w14:textId="77777777" w:rsidR="00F06B55" w:rsidRPr="009E15D6" w:rsidRDefault="00F06B55" w:rsidP="00E345E1">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89667D">
            <w:rPr>
              <w:rStyle w:val="PageNumber"/>
              <w:noProof/>
            </w:rPr>
            <w:t>4</w:t>
          </w:r>
          <w:r w:rsidRPr="009E15D6">
            <w:rPr>
              <w:rStyle w:val="PageNumber"/>
            </w:rPr>
            <w:fldChar w:fldCharType="end"/>
          </w:r>
        </w:p>
      </w:tc>
    </w:tr>
  </w:tbl>
  <w:p w14:paraId="092F00AB" w14:textId="2A7AFEAC" w:rsidR="00F06B55" w:rsidRPr="00F06B55" w:rsidRDefault="00F06B55" w:rsidP="00F06B55">
    <w:pPr>
      <w:pStyle w:val="Footer"/>
      <w:tabs>
        <w:tab w:val="left" w:pos="8910"/>
      </w:tabs>
      <w:ind w:right="818"/>
      <w:rPr>
        <w:b/>
      </w:rPr>
    </w:pPr>
    <w:r>
      <w:t xml:space="preserve">Essential Services Commission </w:t>
    </w:r>
    <w:sdt>
      <w:sdtPr>
        <w:rPr>
          <w:b/>
        </w:rPr>
        <w:alias w:val="Title"/>
        <w:tag w:val=""/>
        <w:id w:val="1912425842"/>
        <w:dataBinding w:prefixMappings="xmlns:ns0='http://purl.org/dc/elements/1.1/' xmlns:ns1='http://schemas.openxmlformats.org/package/2006/metadata/core-properties' " w:xpath="/ns1:coreProperties[1]/ns0:title[1]" w:storeItemID="{6C3C8BC8-F283-45AE-878A-BAB7291924A1}"/>
        <w:text/>
      </w:sdtPr>
      <w:sdtEndPr/>
      <w:sdtContent>
        <w:r w:rsidR="00451D22" w:rsidRPr="001B2BC8">
          <w:rPr>
            <w:b/>
          </w:rPr>
          <w:t xml:space="preserve">Public engagement summary: </w:t>
        </w:r>
        <w:r w:rsidR="00451D22">
          <w:rPr>
            <w:b/>
          </w:rPr>
          <w:t>Reviewing the Gas Distribution</w:t>
        </w:r>
        <w:r w:rsidR="00451D22" w:rsidRPr="001B2BC8">
          <w:rPr>
            <w:b/>
          </w:rPr>
          <w:t xml:space="preserve"> System Code</w:t>
        </w:r>
        <w:r w:rsidR="00451D22">
          <w:rPr>
            <w:b/>
          </w:rPr>
          <w:t xml:space="preserve"> of Practice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E983" w14:textId="77777777" w:rsidR="00684273" w:rsidRDefault="00684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B9BD1" w14:textId="77777777" w:rsidR="00C067EE" w:rsidRPr="00CF33F6" w:rsidRDefault="00C067EE" w:rsidP="00AE03FA">
      <w:pPr>
        <w:spacing w:after="0"/>
        <w:rPr>
          <w:color w:val="75787B" w:themeColor="background2"/>
        </w:rPr>
      </w:pPr>
      <w:bookmarkStart w:id="0" w:name="_Hlk480978878"/>
      <w:bookmarkEnd w:id="0"/>
      <w:r w:rsidRPr="00CF33F6">
        <w:rPr>
          <w:color w:val="75787B" w:themeColor="background2"/>
        </w:rPr>
        <w:separator/>
      </w:r>
    </w:p>
    <w:p w14:paraId="0FC59CEF" w14:textId="77777777" w:rsidR="00C067EE" w:rsidRDefault="00C067EE" w:rsidP="00CF33F6">
      <w:pPr>
        <w:pStyle w:val="NoSpacing"/>
      </w:pPr>
    </w:p>
  </w:footnote>
  <w:footnote w:type="continuationSeparator" w:id="0">
    <w:p w14:paraId="5D2D42E8" w14:textId="77777777" w:rsidR="00C067EE" w:rsidRDefault="00C067EE" w:rsidP="00AE03FA">
      <w:pPr>
        <w:spacing w:after="0"/>
      </w:pPr>
      <w:r>
        <w:continuationSeparator/>
      </w:r>
    </w:p>
    <w:p w14:paraId="2C6C9DE4" w14:textId="77777777" w:rsidR="00C067EE" w:rsidRDefault="00C067EE"/>
  </w:footnote>
  <w:footnote w:type="continuationNotice" w:id="1">
    <w:p w14:paraId="28B5B9CC" w14:textId="77777777" w:rsidR="00C067EE" w:rsidRDefault="00C067E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0245" w14:textId="3655118E" w:rsidR="008C0829" w:rsidRDefault="00A33D8A">
    <w:pPr>
      <w:pStyle w:val="Header"/>
    </w:pPr>
    <w:r>
      <w:rPr>
        <w:noProof/>
      </w:rPr>
      <mc:AlternateContent>
        <mc:Choice Requires="wps">
          <w:drawing>
            <wp:anchor distT="0" distB="0" distL="114300" distR="114300" simplePos="1" relativeHeight="251658241" behindDoc="0" locked="0" layoutInCell="1" allowOverlap="1" wp14:anchorId="784069D2" wp14:editId="5E00226A">
              <wp:simplePos x="0" y="0"/>
              <wp:positionH relativeFrom="column">
                <wp:posOffset>0</wp:posOffset>
              </wp:positionH>
              <wp:positionV relativeFrom="paragraph">
                <wp:posOffset>0</wp:posOffset>
              </wp:positionV>
              <wp:extent cx="1397000" cy="457200"/>
              <wp:effectExtent l="0" t="0" r="0" b="6350"/>
              <wp:wrapNone/>
              <wp:docPr id="1236883848"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53901" w14:textId="666DE3A0" w:rsidR="00A33D8A" w:rsidRPr="007915F0" w:rsidRDefault="007915F0">
                          <w:pPr>
                            <w:rPr>
                              <w:b/>
                              <w:color w:val="FF0000"/>
                              <w:sz w:val="24"/>
                            </w:rPr>
                          </w:pPr>
                          <w:r w:rsidRPr="007915F0">
                            <w:rPr>
                              <w:b/>
                              <w:color w:val="FF0000"/>
                              <w:sz w:val="24"/>
                            </w:rPr>
                            <w:fldChar w:fldCharType="begin"/>
                          </w:r>
                          <w:r w:rsidRPr="007915F0">
                            <w:rPr>
                              <w:b/>
                              <w:color w:val="FF0000"/>
                              <w:sz w:val="24"/>
                            </w:rPr>
                            <w:instrText xml:space="preserve"> DOCPROPERTY PM_ProtectiveMarkingValue_Header \* MERGEFORMAT </w:instrText>
                          </w:r>
                          <w:r w:rsidRPr="007915F0">
                            <w:rPr>
                              <w:b/>
                              <w:color w:val="FF0000"/>
                              <w:sz w:val="24"/>
                            </w:rPr>
                            <w:fldChar w:fldCharType="separate"/>
                          </w:r>
                          <w:r w:rsidR="00684273">
                            <w:rPr>
                              <w:b/>
                              <w:color w:val="FF0000"/>
                              <w:sz w:val="24"/>
                            </w:rPr>
                            <w:t>OFFICIAL</w:t>
                          </w:r>
                          <w:r w:rsidRPr="007915F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84069D2" id="_x0000_t202" coordsize="21600,21600" o:spt="202" path="m,l,21600r21600,l21600,xe">
              <v:stroke joinstyle="miter"/>
              <v:path gradientshapeok="t" o:connecttype="rect"/>
            </v:shapetype>
            <v:shape id="janusSEAL SC H_EvenPage" o:spid="_x0000_s1026" type="#_x0000_t202" style="position:absolute;margin-left:0;margin-top:0;width:110pt;height:36pt;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" filled="f" stroked="f" strokeweight=".5pt">
              <v:textbox style="mso-fit-shape-to-text:t">
                <w:txbxContent>
                  <w:p w14:paraId="50A53901" w14:textId="666DE3A0" w:rsidR="00A33D8A" w:rsidRPr="007915F0" w:rsidRDefault="007915F0">
                    <w:pPr>
                      <w:rPr>
                        <w:b/>
                        <w:color w:val="FF0000"/>
                        <w:sz w:val="24"/>
                      </w:rPr>
                    </w:pPr>
                    <w:r w:rsidRPr="007915F0">
                      <w:rPr>
                        <w:b/>
                        <w:color w:val="FF0000"/>
                        <w:sz w:val="24"/>
                      </w:rPr>
                      <w:fldChar w:fldCharType="begin"/>
                    </w:r>
                    <w:r w:rsidRPr="007915F0">
                      <w:rPr>
                        <w:b/>
                        <w:color w:val="FF0000"/>
                        <w:sz w:val="24"/>
                      </w:rPr>
                      <w:instrText xml:space="preserve"> DOCPROPERTY PM_ProtectiveMarkingValue_Header \* MERGEFORMAT </w:instrText>
                    </w:r>
                    <w:r w:rsidRPr="007915F0">
                      <w:rPr>
                        <w:b/>
                        <w:color w:val="FF0000"/>
                        <w:sz w:val="24"/>
                      </w:rPr>
                      <w:fldChar w:fldCharType="separate"/>
                    </w:r>
                    <w:r w:rsidR="00684273">
                      <w:rPr>
                        <w:b/>
                        <w:color w:val="FF0000"/>
                        <w:sz w:val="24"/>
                      </w:rPr>
                      <w:t>OFFICIAL</w:t>
                    </w:r>
                    <w:r w:rsidRPr="007915F0">
                      <w:rPr>
                        <w:b/>
                        <w:color w:val="FF0000"/>
                        <w:sz w:val="24"/>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602D" w14:textId="70258E12" w:rsidR="003A30F3" w:rsidRPr="00633068" w:rsidRDefault="00DF0536" w:rsidP="00633068">
    <w:pPr>
      <w:pStyle w:val="Header"/>
      <w:tabs>
        <w:tab w:val="clear" w:pos="4680"/>
        <w:tab w:val="clear" w:pos="9360"/>
        <w:tab w:val="left" w:pos="2236"/>
      </w:tabs>
    </w:pPr>
    <w:r>
      <w:rPr>
        <w:noProof/>
      </w:rPr>
      <mc:AlternateContent>
        <mc:Choice Requires="wps">
          <w:drawing>
            <wp:anchor distT="0" distB="0" distL="114300" distR="114300" simplePos="0" relativeHeight="251658242" behindDoc="0" locked="1" layoutInCell="0" allowOverlap="1" wp14:anchorId="6BC83722" wp14:editId="6E622BB1">
              <wp:simplePos x="0" y="0"/>
              <wp:positionH relativeFrom="margin">
                <wp:align>center</wp:align>
              </wp:positionH>
              <wp:positionV relativeFrom="topMargin">
                <wp:align>center</wp:align>
              </wp:positionV>
              <wp:extent cx="892175" cy="342900"/>
              <wp:effectExtent l="0" t="0" r="0" b="0"/>
              <wp:wrapNone/>
              <wp:docPr id="1558101825" name="janusSEAL SC Header"/>
              <wp:cNvGraphicFramePr/>
              <a:graphic xmlns:a="http://schemas.openxmlformats.org/drawingml/2006/main">
                <a:graphicData uri="http://schemas.microsoft.com/office/word/2010/wordprocessingShape">
                  <wps:wsp>
                    <wps:cNvSpPr txBox="1"/>
                    <wps:spPr>
                      <a:xfrm>
                        <a:off x="0" y="0"/>
                        <a:ext cx="892175" cy="3429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E8BBD3" w14:textId="5E5A36FF" w:rsidR="00DF0536" w:rsidRPr="00DF0536" w:rsidRDefault="00DF0536" w:rsidP="00DF0536">
                          <w:pPr>
                            <w:spacing w:before="0" w:after="0"/>
                            <w:jc w:val="center"/>
                            <w:rPr>
                              <w:b/>
                              <w:color w:val="FF0000"/>
                              <w:sz w:val="24"/>
                            </w:rPr>
                          </w:pPr>
                          <w:r w:rsidRPr="00DF0536">
                            <w:rPr>
                              <w:b/>
                              <w:color w:val="FF0000"/>
                              <w:sz w:val="24"/>
                            </w:rPr>
                            <w:fldChar w:fldCharType="begin"/>
                          </w:r>
                          <w:r w:rsidRPr="00DF0536">
                            <w:rPr>
                              <w:b/>
                              <w:color w:val="FF0000"/>
                              <w:sz w:val="24"/>
                            </w:rPr>
                            <w:instrText xml:space="preserve"> DOCPROPERTY PM_ProtectiveMarkingValue_Header \* MERGEFORMAT </w:instrText>
                          </w:r>
                          <w:r w:rsidRPr="00DF0536">
                            <w:rPr>
                              <w:b/>
                              <w:color w:val="FF0000"/>
                              <w:sz w:val="24"/>
                            </w:rPr>
                            <w:fldChar w:fldCharType="separate"/>
                          </w:r>
                          <w:r w:rsidR="00684273">
                            <w:rPr>
                              <w:b/>
                              <w:color w:val="FF0000"/>
                              <w:sz w:val="24"/>
                            </w:rPr>
                            <w:t>OFFICIAL</w:t>
                          </w:r>
                          <w:r w:rsidRPr="00DF0536">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BC83722" id="_x0000_t202" coordsize="21600,21600" o:spt="202" path="m,l,21600r21600,l21600,xe">
              <v:stroke joinstyle="miter"/>
              <v:path gradientshapeok="t" o:connecttype="rect"/>
            </v:shapetype>
            <v:shape id="janusSEAL SC Header" o:spid="_x0000_s1027" type="#_x0000_t202" style="position:absolute;margin-left:0;margin-top:0;width:70.25pt;height:27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" o:allowincell="f" filled="f" stroked="f" strokeweight=".5pt">
              <v:textbox style="mso-fit-shape-to-text:t">
                <w:txbxContent>
                  <w:p w14:paraId="14E8BBD3" w14:textId="5E5A36FF" w:rsidR="00DF0536" w:rsidRPr="00DF0536" w:rsidRDefault="00DF0536" w:rsidP="00DF0536">
                    <w:pPr>
                      <w:spacing w:before="0" w:after="0"/>
                      <w:jc w:val="center"/>
                      <w:rPr>
                        <w:b/>
                        <w:color w:val="FF0000"/>
                        <w:sz w:val="24"/>
                      </w:rPr>
                    </w:pPr>
                    <w:r w:rsidRPr="00DF0536">
                      <w:rPr>
                        <w:b/>
                        <w:color w:val="FF0000"/>
                        <w:sz w:val="24"/>
                      </w:rPr>
                      <w:fldChar w:fldCharType="begin"/>
                    </w:r>
                    <w:r w:rsidRPr="00DF0536">
                      <w:rPr>
                        <w:b/>
                        <w:color w:val="FF0000"/>
                        <w:sz w:val="24"/>
                      </w:rPr>
                      <w:instrText xml:space="preserve"> DOCPROPERTY PM_ProtectiveMarkingValue_Header \* MERGEFORMAT </w:instrText>
                    </w:r>
                    <w:r w:rsidRPr="00DF0536">
                      <w:rPr>
                        <w:b/>
                        <w:color w:val="FF0000"/>
                        <w:sz w:val="24"/>
                      </w:rPr>
                      <w:fldChar w:fldCharType="separate"/>
                    </w:r>
                    <w:r w:rsidR="00684273">
                      <w:rPr>
                        <w:b/>
                        <w:color w:val="FF0000"/>
                        <w:sz w:val="24"/>
                      </w:rPr>
                      <w:t>OFFICIAL</w:t>
                    </w:r>
                    <w:r w:rsidRPr="00DF0536">
                      <w:rPr>
                        <w:b/>
                        <w:color w:val="FF00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6995" w14:textId="0697E25C" w:rsidR="008C0829" w:rsidRDefault="00A33D8A">
    <w:pPr>
      <w:pStyle w:val="Header"/>
    </w:pPr>
    <w:r>
      <w:rPr>
        <w:noProof/>
      </w:rPr>
      <mc:AlternateContent>
        <mc:Choice Requires="wps">
          <w:drawing>
            <wp:anchor distT="0" distB="0" distL="114300" distR="114300" simplePos="1" relativeHeight="251658240" behindDoc="0" locked="0" layoutInCell="1" allowOverlap="1" wp14:anchorId="7922126D" wp14:editId="44740022">
              <wp:simplePos x="0" y="0"/>
              <wp:positionH relativeFrom="column">
                <wp:posOffset>0</wp:posOffset>
              </wp:positionH>
              <wp:positionV relativeFrom="paragraph">
                <wp:posOffset>0</wp:posOffset>
              </wp:positionV>
              <wp:extent cx="1397000" cy="457200"/>
              <wp:effectExtent l="0" t="0" r="0" b="6350"/>
              <wp:wrapNone/>
              <wp:docPr id="1521633270"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EEC5E8" w14:textId="617F49E1" w:rsidR="00A33D8A" w:rsidRPr="007915F0" w:rsidRDefault="007915F0">
                          <w:pPr>
                            <w:rPr>
                              <w:b/>
                              <w:color w:val="FF0000"/>
                              <w:sz w:val="24"/>
                            </w:rPr>
                          </w:pPr>
                          <w:r w:rsidRPr="007915F0">
                            <w:rPr>
                              <w:b/>
                              <w:color w:val="FF0000"/>
                              <w:sz w:val="24"/>
                            </w:rPr>
                            <w:fldChar w:fldCharType="begin"/>
                          </w:r>
                          <w:r w:rsidRPr="007915F0">
                            <w:rPr>
                              <w:b/>
                              <w:color w:val="FF0000"/>
                              <w:sz w:val="24"/>
                            </w:rPr>
                            <w:instrText xml:space="preserve"> DOCPROPERTY PM_ProtectiveMarkingValue_Header \* MERGEFORMAT </w:instrText>
                          </w:r>
                          <w:r w:rsidRPr="007915F0">
                            <w:rPr>
                              <w:b/>
                              <w:color w:val="FF0000"/>
                              <w:sz w:val="24"/>
                            </w:rPr>
                            <w:fldChar w:fldCharType="separate"/>
                          </w:r>
                          <w:r w:rsidR="00684273">
                            <w:rPr>
                              <w:b/>
                              <w:color w:val="FF0000"/>
                              <w:sz w:val="24"/>
                            </w:rPr>
                            <w:t>OFFICIAL</w:t>
                          </w:r>
                          <w:r w:rsidRPr="007915F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922126D" id="_x0000_t202" coordsize="21600,21600" o:spt="202" path="m,l,21600r21600,l21600,xe">
              <v:stroke joinstyle="miter"/>
              <v:path gradientshapeok="t" o:connecttype="rect"/>
            </v:shapetype>
            <v:shape id="janusSEAL SC H_FirstPage" o:spid="_x0000_s1028" type="#_x0000_t202" style="position:absolute;margin-left:0;margin-top:0;width:110pt;height:36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" filled="f" stroked="f" strokeweight=".5pt">
              <v:textbox style="mso-fit-shape-to-text:t">
                <w:txbxContent>
                  <w:p w14:paraId="7BEEC5E8" w14:textId="617F49E1" w:rsidR="00A33D8A" w:rsidRPr="007915F0" w:rsidRDefault="007915F0">
                    <w:pPr>
                      <w:rPr>
                        <w:b/>
                        <w:color w:val="FF0000"/>
                        <w:sz w:val="24"/>
                      </w:rPr>
                    </w:pPr>
                    <w:r w:rsidRPr="007915F0">
                      <w:rPr>
                        <w:b/>
                        <w:color w:val="FF0000"/>
                        <w:sz w:val="24"/>
                      </w:rPr>
                      <w:fldChar w:fldCharType="begin"/>
                    </w:r>
                    <w:r w:rsidRPr="007915F0">
                      <w:rPr>
                        <w:b/>
                        <w:color w:val="FF0000"/>
                        <w:sz w:val="24"/>
                      </w:rPr>
                      <w:instrText xml:space="preserve"> DOCPROPERTY PM_ProtectiveMarkingValue_Header \* MERGEFORMAT </w:instrText>
                    </w:r>
                    <w:r w:rsidRPr="007915F0">
                      <w:rPr>
                        <w:b/>
                        <w:color w:val="FF0000"/>
                        <w:sz w:val="24"/>
                      </w:rPr>
                      <w:fldChar w:fldCharType="separate"/>
                    </w:r>
                    <w:r w:rsidR="00684273">
                      <w:rPr>
                        <w:b/>
                        <w:color w:val="FF0000"/>
                        <w:sz w:val="24"/>
                      </w:rPr>
                      <w:t>OFFICIAL</w:t>
                    </w:r>
                    <w:r w:rsidRPr="007915F0">
                      <w:rPr>
                        <w:b/>
                        <w:color w:val="FF0000"/>
                        <w:sz w:val="24"/>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2C8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2633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C4AD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62A2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59E348D"/>
    <w:multiLevelType w:val="multilevel"/>
    <w:tmpl w:val="3D66CBA2"/>
    <w:numStyleLink w:val="CustomNumberlist"/>
  </w:abstractNum>
  <w:abstractNum w:abstractNumId="19" w15:restartNumberingAfterBreak="0">
    <w:nsid w:val="39C20E77"/>
    <w:multiLevelType w:val="multilevel"/>
    <w:tmpl w:val="6D9A2BC2"/>
    <w:numStyleLink w:val="NumberedHeadings"/>
  </w:abstractNum>
  <w:abstractNum w:abstractNumId="20" w15:restartNumberingAfterBreak="0">
    <w:nsid w:val="3AA454D7"/>
    <w:multiLevelType w:val="multilevel"/>
    <w:tmpl w:val="6D9A2BC2"/>
    <w:numStyleLink w:val="NumberedHeadings"/>
  </w:abstractNum>
  <w:abstractNum w:abstractNumId="21"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8B0109"/>
    <w:multiLevelType w:val="multilevel"/>
    <w:tmpl w:val="3D66CBA2"/>
    <w:numStyleLink w:val="CustomNumberlist"/>
  </w:abstractNum>
  <w:abstractNum w:abstractNumId="24"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505317"/>
    <w:multiLevelType w:val="multilevel"/>
    <w:tmpl w:val="3D66CBA2"/>
    <w:numStyleLink w:val="CustomNumberlist"/>
  </w:abstractNum>
  <w:abstractNum w:abstractNumId="27"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8094304">
    <w:abstractNumId w:val="9"/>
  </w:num>
  <w:num w:numId="2" w16cid:durableId="1955362617">
    <w:abstractNumId w:val="7"/>
  </w:num>
  <w:num w:numId="3" w16cid:durableId="768041154">
    <w:abstractNumId w:val="6"/>
  </w:num>
  <w:num w:numId="4" w16cid:durableId="791481913">
    <w:abstractNumId w:val="5"/>
  </w:num>
  <w:num w:numId="5" w16cid:durableId="1466778122">
    <w:abstractNumId w:val="4"/>
  </w:num>
  <w:num w:numId="6" w16cid:durableId="755246660">
    <w:abstractNumId w:val="8"/>
  </w:num>
  <w:num w:numId="7" w16cid:durableId="2079555144">
    <w:abstractNumId w:val="3"/>
  </w:num>
  <w:num w:numId="8" w16cid:durableId="815486112">
    <w:abstractNumId w:val="2"/>
  </w:num>
  <w:num w:numId="9" w16cid:durableId="692191939">
    <w:abstractNumId w:val="1"/>
  </w:num>
  <w:num w:numId="10" w16cid:durableId="182332009">
    <w:abstractNumId w:val="21"/>
  </w:num>
  <w:num w:numId="11" w16cid:durableId="576790871">
    <w:abstractNumId w:val="16"/>
  </w:num>
  <w:num w:numId="12" w16cid:durableId="381178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5848071">
    <w:abstractNumId w:val="0"/>
  </w:num>
  <w:num w:numId="14" w16cid:durableId="1540581473">
    <w:abstractNumId w:val="16"/>
  </w:num>
  <w:num w:numId="15" w16cid:durableId="1711147746">
    <w:abstractNumId w:val="17"/>
  </w:num>
  <w:num w:numId="16" w16cid:durableId="996376328">
    <w:abstractNumId w:val="11"/>
  </w:num>
  <w:num w:numId="17" w16cid:durableId="671445377">
    <w:abstractNumId w:val="22"/>
  </w:num>
  <w:num w:numId="18" w16cid:durableId="1134297676">
    <w:abstractNumId w:val="22"/>
  </w:num>
  <w:num w:numId="19" w16cid:durableId="2060351822">
    <w:abstractNumId w:val="18"/>
  </w:num>
  <w:num w:numId="20" w16cid:durableId="728579947">
    <w:abstractNumId w:val="13"/>
  </w:num>
  <w:num w:numId="21" w16cid:durableId="595404650">
    <w:abstractNumId w:val="24"/>
  </w:num>
  <w:num w:numId="22" w16cid:durableId="1303390586">
    <w:abstractNumId w:val="26"/>
  </w:num>
  <w:num w:numId="23" w16cid:durableId="382144323">
    <w:abstractNumId w:val="12"/>
  </w:num>
  <w:num w:numId="24" w16cid:durableId="1457944383">
    <w:abstractNumId w:val="29"/>
  </w:num>
  <w:num w:numId="25" w16cid:durableId="1655645482">
    <w:abstractNumId w:val="25"/>
  </w:num>
  <w:num w:numId="26" w16cid:durableId="1530408922">
    <w:abstractNumId w:val="27"/>
  </w:num>
  <w:num w:numId="27" w16cid:durableId="2042171169">
    <w:abstractNumId w:val="15"/>
  </w:num>
  <w:num w:numId="28" w16cid:durableId="773209290">
    <w:abstractNumId w:val="20"/>
  </w:num>
  <w:num w:numId="29" w16cid:durableId="1716658760">
    <w:abstractNumId w:val="19"/>
  </w:num>
  <w:num w:numId="30" w16cid:durableId="2121294496">
    <w:abstractNumId w:val="14"/>
  </w:num>
  <w:num w:numId="31" w16cid:durableId="1161851010">
    <w:abstractNumId w:val="23"/>
  </w:num>
  <w:num w:numId="32" w16cid:durableId="1728643550">
    <w:abstractNumId w:val="10"/>
  </w:num>
  <w:num w:numId="33" w16cid:durableId="6653264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27967430">
    <w:abstractNumId w:val="28"/>
  </w:num>
  <w:num w:numId="35" w16cid:durableId="9745488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D6"/>
    <w:rsid w:val="000022CE"/>
    <w:rsid w:val="000046BD"/>
    <w:rsid w:val="00010BF4"/>
    <w:rsid w:val="0001121B"/>
    <w:rsid w:val="00015588"/>
    <w:rsid w:val="00025EF1"/>
    <w:rsid w:val="00027CC1"/>
    <w:rsid w:val="000337A0"/>
    <w:rsid w:val="00037DAE"/>
    <w:rsid w:val="00042C68"/>
    <w:rsid w:val="000518F3"/>
    <w:rsid w:val="000566E0"/>
    <w:rsid w:val="00062AE4"/>
    <w:rsid w:val="0006322F"/>
    <w:rsid w:val="00067DD9"/>
    <w:rsid w:val="00071726"/>
    <w:rsid w:val="00080E84"/>
    <w:rsid w:val="0008265D"/>
    <w:rsid w:val="00090E8E"/>
    <w:rsid w:val="00091C2F"/>
    <w:rsid w:val="00095DBE"/>
    <w:rsid w:val="00097C0C"/>
    <w:rsid w:val="000A1292"/>
    <w:rsid w:val="000A759D"/>
    <w:rsid w:val="000A7FD9"/>
    <w:rsid w:val="000B5E60"/>
    <w:rsid w:val="000D0EF9"/>
    <w:rsid w:val="000D4547"/>
    <w:rsid w:val="000E42CF"/>
    <w:rsid w:val="000E6FB9"/>
    <w:rsid w:val="000F0BE3"/>
    <w:rsid w:val="000F0C59"/>
    <w:rsid w:val="00104890"/>
    <w:rsid w:val="00106608"/>
    <w:rsid w:val="00112BEE"/>
    <w:rsid w:val="00122932"/>
    <w:rsid w:val="00123231"/>
    <w:rsid w:val="0012622F"/>
    <w:rsid w:val="00132F23"/>
    <w:rsid w:val="001421F1"/>
    <w:rsid w:val="00153081"/>
    <w:rsid w:val="00160F48"/>
    <w:rsid w:val="00184CEF"/>
    <w:rsid w:val="001869B0"/>
    <w:rsid w:val="00187ACF"/>
    <w:rsid w:val="00190349"/>
    <w:rsid w:val="001918A1"/>
    <w:rsid w:val="00195A9B"/>
    <w:rsid w:val="001A4ACF"/>
    <w:rsid w:val="001B2B79"/>
    <w:rsid w:val="001B2BC8"/>
    <w:rsid w:val="001C1CCD"/>
    <w:rsid w:val="001C750A"/>
    <w:rsid w:val="001D07CD"/>
    <w:rsid w:val="001E1E96"/>
    <w:rsid w:val="001E2658"/>
    <w:rsid w:val="001E3CE3"/>
    <w:rsid w:val="001F3997"/>
    <w:rsid w:val="001F49EC"/>
    <w:rsid w:val="001F64A3"/>
    <w:rsid w:val="00204C88"/>
    <w:rsid w:val="002056BA"/>
    <w:rsid w:val="0020638D"/>
    <w:rsid w:val="00214043"/>
    <w:rsid w:val="00220E0A"/>
    <w:rsid w:val="0022708E"/>
    <w:rsid w:val="00232581"/>
    <w:rsid w:val="002378BA"/>
    <w:rsid w:val="00243DD5"/>
    <w:rsid w:val="00251145"/>
    <w:rsid w:val="0025481F"/>
    <w:rsid w:val="00255999"/>
    <w:rsid w:val="00272FE6"/>
    <w:rsid w:val="00274D9C"/>
    <w:rsid w:val="002750C4"/>
    <w:rsid w:val="00275831"/>
    <w:rsid w:val="002845E5"/>
    <w:rsid w:val="002862D7"/>
    <w:rsid w:val="002930E2"/>
    <w:rsid w:val="002966CE"/>
    <w:rsid w:val="00296828"/>
    <w:rsid w:val="002A059D"/>
    <w:rsid w:val="002A09FB"/>
    <w:rsid w:val="002A2F63"/>
    <w:rsid w:val="002B6805"/>
    <w:rsid w:val="002C2ADF"/>
    <w:rsid w:val="002C5BC4"/>
    <w:rsid w:val="002D3B02"/>
    <w:rsid w:val="002D682B"/>
    <w:rsid w:val="002E037A"/>
    <w:rsid w:val="002E1686"/>
    <w:rsid w:val="002E48AC"/>
    <w:rsid w:val="002F2A09"/>
    <w:rsid w:val="002F7EFE"/>
    <w:rsid w:val="00302D52"/>
    <w:rsid w:val="00305A3C"/>
    <w:rsid w:val="00310DDF"/>
    <w:rsid w:val="003151BF"/>
    <w:rsid w:val="00316B18"/>
    <w:rsid w:val="00317C67"/>
    <w:rsid w:val="003236C3"/>
    <w:rsid w:val="003239B5"/>
    <w:rsid w:val="00330E71"/>
    <w:rsid w:val="00344D56"/>
    <w:rsid w:val="00353663"/>
    <w:rsid w:val="003540EB"/>
    <w:rsid w:val="00354B86"/>
    <w:rsid w:val="00360763"/>
    <w:rsid w:val="003608C7"/>
    <w:rsid w:val="00373D3A"/>
    <w:rsid w:val="003745DA"/>
    <w:rsid w:val="00375CBF"/>
    <w:rsid w:val="00375EFC"/>
    <w:rsid w:val="003837CC"/>
    <w:rsid w:val="003904B9"/>
    <w:rsid w:val="0039115A"/>
    <w:rsid w:val="00394187"/>
    <w:rsid w:val="00395CFE"/>
    <w:rsid w:val="003A16E1"/>
    <w:rsid w:val="003A2748"/>
    <w:rsid w:val="003A30F3"/>
    <w:rsid w:val="003A587F"/>
    <w:rsid w:val="003A7478"/>
    <w:rsid w:val="003B5AB1"/>
    <w:rsid w:val="003C143B"/>
    <w:rsid w:val="003C31D3"/>
    <w:rsid w:val="003C39F4"/>
    <w:rsid w:val="003C72EF"/>
    <w:rsid w:val="003E77FB"/>
    <w:rsid w:val="003F1961"/>
    <w:rsid w:val="00401438"/>
    <w:rsid w:val="004064CD"/>
    <w:rsid w:val="00414440"/>
    <w:rsid w:val="00414AB9"/>
    <w:rsid w:val="00421F98"/>
    <w:rsid w:val="0043066B"/>
    <w:rsid w:val="004309BF"/>
    <w:rsid w:val="00430D5A"/>
    <w:rsid w:val="0044064A"/>
    <w:rsid w:val="004427DC"/>
    <w:rsid w:val="004445E7"/>
    <w:rsid w:val="00451D22"/>
    <w:rsid w:val="00452391"/>
    <w:rsid w:val="004558CC"/>
    <w:rsid w:val="0046312A"/>
    <w:rsid w:val="00473B7B"/>
    <w:rsid w:val="00474670"/>
    <w:rsid w:val="00484F2D"/>
    <w:rsid w:val="004855CE"/>
    <w:rsid w:val="00492CF0"/>
    <w:rsid w:val="00495E2E"/>
    <w:rsid w:val="00496CF9"/>
    <w:rsid w:val="00497C10"/>
    <w:rsid w:val="004A3CCB"/>
    <w:rsid w:val="004B49CA"/>
    <w:rsid w:val="004B7518"/>
    <w:rsid w:val="004C6A8D"/>
    <w:rsid w:val="004C74D5"/>
    <w:rsid w:val="004D17B8"/>
    <w:rsid w:val="004E0FF2"/>
    <w:rsid w:val="004F5D25"/>
    <w:rsid w:val="0050064B"/>
    <w:rsid w:val="005014C6"/>
    <w:rsid w:val="00506C72"/>
    <w:rsid w:val="00521B13"/>
    <w:rsid w:val="005247A2"/>
    <w:rsid w:val="00541F9A"/>
    <w:rsid w:val="0054346E"/>
    <w:rsid w:val="00545E3C"/>
    <w:rsid w:val="0055081D"/>
    <w:rsid w:val="005555DD"/>
    <w:rsid w:val="00563AD8"/>
    <w:rsid w:val="00564BE8"/>
    <w:rsid w:val="00567ABC"/>
    <w:rsid w:val="00570E5B"/>
    <w:rsid w:val="00573F9B"/>
    <w:rsid w:val="005A1443"/>
    <w:rsid w:val="005A5966"/>
    <w:rsid w:val="005A717E"/>
    <w:rsid w:val="005C6E04"/>
    <w:rsid w:val="005D2811"/>
    <w:rsid w:val="005D5EAF"/>
    <w:rsid w:val="005E2A78"/>
    <w:rsid w:val="005E2E03"/>
    <w:rsid w:val="005E4894"/>
    <w:rsid w:val="005E5FCE"/>
    <w:rsid w:val="005F1581"/>
    <w:rsid w:val="005F3D90"/>
    <w:rsid w:val="005F5578"/>
    <w:rsid w:val="00600E89"/>
    <w:rsid w:val="0060402C"/>
    <w:rsid w:val="00604CB9"/>
    <w:rsid w:val="00614DC0"/>
    <w:rsid w:val="006151EF"/>
    <w:rsid w:val="00615C49"/>
    <w:rsid w:val="00624657"/>
    <w:rsid w:val="00626A17"/>
    <w:rsid w:val="006278C7"/>
    <w:rsid w:val="00631387"/>
    <w:rsid w:val="00631607"/>
    <w:rsid w:val="00633068"/>
    <w:rsid w:val="006334AF"/>
    <w:rsid w:val="0063494B"/>
    <w:rsid w:val="00640B91"/>
    <w:rsid w:val="006548CE"/>
    <w:rsid w:val="00656957"/>
    <w:rsid w:val="00656F2D"/>
    <w:rsid w:val="0066195C"/>
    <w:rsid w:val="00666190"/>
    <w:rsid w:val="00672B97"/>
    <w:rsid w:val="006817B0"/>
    <w:rsid w:val="00684273"/>
    <w:rsid w:val="006A2568"/>
    <w:rsid w:val="006B50B3"/>
    <w:rsid w:val="006B7A75"/>
    <w:rsid w:val="006C4904"/>
    <w:rsid w:val="006D0A5E"/>
    <w:rsid w:val="006D4CD9"/>
    <w:rsid w:val="006D56EB"/>
    <w:rsid w:val="006E6549"/>
    <w:rsid w:val="006E6B2B"/>
    <w:rsid w:val="006F20AD"/>
    <w:rsid w:val="006F29EA"/>
    <w:rsid w:val="006F5DDA"/>
    <w:rsid w:val="00703C67"/>
    <w:rsid w:val="007054C1"/>
    <w:rsid w:val="007066F4"/>
    <w:rsid w:val="00707B2F"/>
    <w:rsid w:val="00710792"/>
    <w:rsid w:val="00710C4E"/>
    <w:rsid w:val="00711BA5"/>
    <w:rsid w:val="0071276E"/>
    <w:rsid w:val="00716190"/>
    <w:rsid w:val="0071799F"/>
    <w:rsid w:val="00717CCA"/>
    <w:rsid w:val="007202C6"/>
    <w:rsid w:val="007253E1"/>
    <w:rsid w:val="007276D4"/>
    <w:rsid w:val="00735B3F"/>
    <w:rsid w:val="00740720"/>
    <w:rsid w:val="00741461"/>
    <w:rsid w:val="00747563"/>
    <w:rsid w:val="00757301"/>
    <w:rsid w:val="00760E64"/>
    <w:rsid w:val="00762F1A"/>
    <w:rsid w:val="00762F7B"/>
    <w:rsid w:val="00764333"/>
    <w:rsid w:val="00770FFA"/>
    <w:rsid w:val="00772EB1"/>
    <w:rsid w:val="00781227"/>
    <w:rsid w:val="00782E55"/>
    <w:rsid w:val="00782F13"/>
    <w:rsid w:val="00784DEB"/>
    <w:rsid w:val="00790818"/>
    <w:rsid w:val="007915F0"/>
    <w:rsid w:val="00792B10"/>
    <w:rsid w:val="00796928"/>
    <w:rsid w:val="00797FB5"/>
    <w:rsid w:val="007A5734"/>
    <w:rsid w:val="007A6B7D"/>
    <w:rsid w:val="007B2F9D"/>
    <w:rsid w:val="007B565F"/>
    <w:rsid w:val="007B6C8C"/>
    <w:rsid w:val="007C7E2D"/>
    <w:rsid w:val="007D495A"/>
    <w:rsid w:val="007E0CDD"/>
    <w:rsid w:val="007F40C6"/>
    <w:rsid w:val="007F7CF1"/>
    <w:rsid w:val="00800C88"/>
    <w:rsid w:val="00801849"/>
    <w:rsid w:val="008022EE"/>
    <w:rsid w:val="0080667D"/>
    <w:rsid w:val="00811E1F"/>
    <w:rsid w:val="0081539B"/>
    <w:rsid w:val="00821666"/>
    <w:rsid w:val="008367EE"/>
    <w:rsid w:val="00836F27"/>
    <w:rsid w:val="0084202F"/>
    <w:rsid w:val="00863B40"/>
    <w:rsid w:val="00865ECE"/>
    <w:rsid w:val="00870C47"/>
    <w:rsid w:val="00873044"/>
    <w:rsid w:val="00881E07"/>
    <w:rsid w:val="008825D8"/>
    <w:rsid w:val="00882783"/>
    <w:rsid w:val="00895131"/>
    <w:rsid w:val="0089667D"/>
    <w:rsid w:val="008A13BF"/>
    <w:rsid w:val="008A2BF8"/>
    <w:rsid w:val="008A7A8E"/>
    <w:rsid w:val="008B5634"/>
    <w:rsid w:val="008B6874"/>
    <w:rsid w:val="008C0829"/>
    <w:rsid w:val="008C1818"/>
    <w:rsid w:val="008C2CE3"/>
    <w:rsid w:val="008C6F4C"/>
    <w:rsid w:val="008D2C44"/>
    <w:rsid w:val="008D5E13"/>
    <w:rsid w:val="008D6770"/>
    <w:rsid w:val="008E0225"/>
    <w:rsid w:val="008E3D60"/>
    <w:rsid w:val="008E685C"/>
    <w:rsid w:val="008F5161"/>
    <w:rsid w:val="008F66B6"/>
    <w:rsid w:val="008F693E"/>
    <w:rsid w:val="008F7087"/>
    <w:rsid w:val="008F75DB"/>
    <w:rsid w:val="00901F7C"/>
    <w:rsid w:val="009045BB"/>
    <w:rsid w:val="009058B1"/>
    <w:rsid w:val="00911012"/>
    <w:rsid w:val="00914262"/>
    <w:rsid w:val="00915954"/>
    <w:rsid w:val="00916721"/>
    <w:rsid w:val="00921E7A"/>
    <w:rsid w:val="00923049"/>
    <w:rsid w:val="009230CE"/>
    <w:rsid w:val="00923E6C"/>
    <w:rsid w:val="00925313"/>
    <w:rsid w:val="0092631C"/>
    <w:rsid w:val="00933DB2"/>
    <w:rsid w:val="00935EDD"/>
    <w:rsid w:val="00943BDE"/>
    <w:rsid w:val="00953DE9"/>
    <w:rsid w:val="00957D59"/>
    <w:rsid w:val="00962941"/>
    <w:rsid w:val="00964369"/>
    <w:rsid w:val="00967971"/>
    <w:rsid w:val="00986CF3"/>
    <w:rsid w:val="00995019"/>
    <w:rsid w:val="00995685"/>
    <w:rsid w:val="009A4DB9"/>
    <w:rsid w:val="009B3ECA"/>
    <w:rsid w:val="009B583F"/>
    <w:rsid w:val="009B7C91"/>
    <w:rsid w:val="009C1A5A"/>
    <w:rsid w:val="009C3565"/>
    <w:rsid w:val="009C6CD0"/>
    <w:rsid w:val="009D1131"/>
    <w:rsid w:val="009D6148"/>
    <w:rsid w:val="009E15D6"/>
    <w:rsid w:val="009E1F96"/>
    <w:rsid w:val="009E2C7E"/>
    <w:rsid w:val="009F15D6"/>
    <w:rsid w:val="00A0006A"/>
    <w:rsid w:val="00A1086E"/>
    <w:rsid w:val="00A160AE"/>
    <w:rsid w:val="00A2743E"/>
    <w:rsid w:val="00A27C06"/>
    <w:rsid w:val="00A27D94"/>
    <w:rsid w:val="00A33D8A"/>
    <w:rsid w:val="00A3593E"/>
    <w:rsid w:val="00A36B46"/>
    <w:rsid w:val="00A36E4A"/>
    <w:rsid w:val="00A41024"/>
    <w:rsid w:val="00A4619E"/>
    <w:rsid w:val="00A473C0"/>
    <w:rsid w:val="00A609CE"/>
    <w:rsid w:val="00A66B3A"/>
    <w:rsid w:val="00A672AE"/>
    <w:rsid w:val="00A67A25"/>
    <w:rsid w:val="00A74B9C"/>
    <w:rsid w:val="00A76E14"/>
    <w:rsid w:val="00A83434"/>
    <w:rsid w:val="00A93CAF"/>
    <w:rsid w:val="00A95F79"/>
    <w:rsid w:val="00AA2619"/>
    <w:rsid w:val="00AA5609"/>
    <w:rsid w:val="00AB4E7B"/>
    <w:rsid w:val="00AB54BD"/>
    <w:rsid w:val="00AC56B8"/>
    <w:rsid w:val="00AD11FA"/>
    <w:rsid w:val="00AD29CB"/>
    <w:rsid w:val="00AD2E14"/>
    <w:rsid w:val="00AD31A8"/>
    <w:rsid w:val="00AD72CC"/>
    <w:rsid w:val="00AE03FA"/>
    <w:rsid w:val="00AE0C8F"/>
    <w:rsid w:val="00AE2C4D"/>
    <w:rsid w:val="00AF2BAA"/>
    <w:rsid w:val="00AF63AC"/>
    <w:rsid w:val="00B027ED"/>
    <w:rsid w:val="00B04857"/>
    <w:rsid w:val="00B137EC"/>
    <w:rsid w:val="00B37A15"/>
    <w:rsid w:val="00B420A1"/>
    <w:rsid w:val="00B503C2"/>
    <w:rsid w:val="00B51FB6"/>
    <w:rsid w:val="00B52E6C"/>
    <w:rsid w:val="00B55C0F"/>
    <w:rsid w:val="00B56B93"/>
    <w:rsid w:val="00B603C8"/>
    <w:rsid w:val="00B6173A"/>
    <w:rsid w:val="00B655D9"/>
    <w:rsid w:val="00B675DA"/>
    <w:rsid w:val="00B675E8"/>
    <w:rsid w:val="00B72AB0"/>
    <w:rsid w:val="00B81D9F"/>
    <w:rsid w:val="00BA4AFF"/>
    <w:rsid w:val="00BA6C8D"/>
    <w:rsid w:val="00BB6106"/>
    <w:rsid w:val="00BC0E1F"/>
    <w:rsid w:val="00BC22D1"/>
    <w:rsid w:val="00BC3728"/>
    <w:rsid w:val="00BC4F1C"/>
    <w:rsid w:val="00BC73EA"/>
    <w:rsid w:val="00BC7EAD"/>
    <w:rsid w:val="00BD19DB"/>
    <w:rsid w:val="00BD24AA"/>
    <w:rsid w:val="00BD5819"/>
    <w:rsid w:val="00BD6DDE"/>
    <w:rsid w:val="00C011A3"/>
    <w:rsid w:val="00C034A5"/>
    <w:rsid w:val="00C03B3C"/>
    <w:rsid w:val="00C03F19"/>
    <w:rsid w:val="00C067EE"/>
    <w:rsid w:val="00C313B7"/>
    <w:rsid w:val="00C34EF4"/>
    <w:rsid w:val="00C351D8"/>
    <w:rsid w:val="00C36028"/>
    <w:rsid w:val="00C36E8A"/>
    <w:rsid w:val="00C41F42"/>
    <w:rsid w:val="00C44B43"/>
    <w:rsid w:val="00C45BF3"/>
    <w:rsid w:val="00C47364"/>
    <w:rsid w:val="00C55B62"/>
    <w:rsid w:val="00C57EAF"/>
    <w:rsid w:val="00C753B8"/>
    <w:rsid w:val="00C80CDA"/>
    <w:rsid w:val="00C83784"/>
    <w:rsid w:val="00C848F1"/>
    <w:rsid w:val="00C87A58"/>
    <w:rsid w:val="00C90BE3"/>
    <w:rsid w:val="00C92FC4"/>
    <w:rsid w:val="00C94C20"/>
    <w:rsid w:val="00CA2F15"/>
    <w:rsid w:val="00CA6034"/>
    <w:rsid w:val="00CA7054"/>
    <w:rsid w:val="00CB5505"/>
    <w:rsid w:val="00CB5840"/>
    <w:rsid w:val="00CB7FB8"/>
    <w:rsid w:val="00CC05DB"/>
    <w:rsid w:val="00CC73FE"/>
    <w:rsid w:val="00CD1FBD"/>
    <w:rsid w:val="00CD3386"/>
    <w:rsid w:val="00CD7E4A"/>
    <w:rsid w:val="00CE324D"/>
    <w:rsid w:val="00CF0CE2"/>
    <w:rsid w:val="00CF2B15"/>
    <w:rsid w:val="00CF33F6"/>
    <w:rsid w:val="00CF34D6"/>
    <w:rsid w:val="00D02383"/>
    <w:rsid w:val="00D03047"/>
    <w:rsid w:val="00D233F0"/>
    <w:rsid w:val="00D23A3D"/>
    <w:rsid w:val="00D30FA8"/>
    <w:rsid w:val="00D34831"/>
    <w:rsid w:val="00D3670C"/>
    <w:rsid w:val="00D46F34"/>
    <w:rsid w:val="00D60133"/>
    <w:rsid w:val="00D61055"/>
    <w:rsid w:val="00D653CC"/>
    <w:rsid w:val="00D659B1"/>
    <w:rsid w:val="00D672EF"/>
    <w:rsid w:val="00D67C11"/>
    <w:rsid w:val="00D90D2C"/>
    <w:rsid w:val="00DA005C"/>
    <w:rsid w:val="00DB01B4"/>
    <w:rsid w:val="00DB6309"/>
    <w:rsid w:val="00DB79C6"/>
    <w:rsid w:val="00DC1019"/>
    <w:rsid w:val="00DC2B59"/>
    <w:rsid w:val="00DC3BE7"/>
    <w:rsid w:val="00DD39C9"/>
    <w:rsid w:val="00DE4BEE"/>
    <w:rsid w:val="00DF0536"/>
    <w:rsid w:val="00E0237F"/>
    <w:rsid w:val="00E03B00"/>
    <w:rsid w:val="00E10C67"/>
    <w:rsid w:val="00E135DE"/>
    <w:rsid w:val="00E21B4C"/>
    <w:rsid w:val="00E23938"/>
    <w:rsid w:val="00E23B0C"/>
    <w:rsid w:val="00E31823"/>
    <w:rsid w:val="00E3428B"/>
    <w:rsid w:val="00E40E9F"/>
    <w:rsid w:val="00E41CFD"/>
    <w:rsid w:val="00E42726"/>
    <w:rsid w:val="00E5390E"/>
    <w:rsid w:val="00E618DC"/>
    <w:rsid w:val="00E640D1"/>
    <w:rsid w:val="00E736EA"/>
    <w:rsid w:val="00E86AE1"/>
    <w:rsid w:val="00E9393A"/>
    <w:rsid w:val="00E96A82"/>
    <w:rsid w:val="00EA23C9"/>
    <w:rsid w:val="00EA47A3"/>
    <w:rsid w:val="00EB0F54"/>
    <w:rsid w:val="00EB6E73"/>
    <w:rsid w:val="00EC43E2"/>
    <w:rsid w:val="00EE3779"/>
    <w:rsid w:val="00EE39C5"/>
    <w:rsid w:val="00EE5935"/>
    <w:rsid w:val="00EE5E04"/>
    <w:rsid w:val="00EE6EBB"/>
    <w:rsid w:val="00EF1F3E"/>
    <w:rsid w:val="00EF30E3"/>
    <w:rsid w:val="00F0141D"/>
    <w:rsid w:val="00F05C05"/>
    <w:rsid w:val="00F06B55"/>
    <w:rsid w:val="00F11390"/>
    <w:rsid w:val="00F16D44"/>
    <w:rsid w:val="00F23FA9"/>
    <w:rsid w:val="00F24FB0"/>
    <w:rsid w:val="00F274F6"/>
    <w:rsid w:val="00F3516A"/>
    <w:rsid w:val="00F3645B"/>
    <w:rsid w:val="00F41FFD"/>
    <w:rsid w:val="00F47169"/>
    <w:rsid w:val="00F52E2A"/>
    <w:rsid w:val="00F55323"/>
    <w:rsid w:val="00F6199A"/>
    <w:rsid w:val="00F666F0"/>
    <w:rsid w:val="00F7468D"/>
    <w:rsid w:val="00F768C6"/>
    <w:rsid w:val="00F81408"/>
    <w:rsid w:val="00F83935"/>
    <w:rsid w:val="00F84CA9"/>
    <w:rsid w:val="00F90A6F"/>
    <w:rsid w:val="00F963FF"/>
    <w:rsid w:val="00FA0124"/>
    <w:rsid w:val="00FB0186"/>
    <w:rsid w:val="00FB0545"/>
    <w:rsid w:val="00FB2878"/>
    <w:rsid w:val="00FB2CF8"/>
    <w:rsid w:val="00FB37FE"/>
    <w:rsid w:val="00FB701C"/>
    <w:rsid w:val="00FC205F"/>
    <w:rsid w:val="00FC5279"/>
    <w:rsid w:val="00FC6E2C"/>
    <w:rsid w:val="00FC7840"/>
    <w:rsid w:val="00FD16BE"/>
    <w:rsid w:val="00FE077A"/>
    <w:rsid w:val="00FE2BB2"/>
    <w:rsid w:val="00FF1C55"/>
    <w:rsid w:val="00FF6261"/>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13E2E"/>
  <w15:docId w15:val="{B290B0B0-8BA9-4DC9-8077-6FAAABB2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67D"/>
    <w:pPr>
      <w:spacing w:before="160" w:line="336" w:lineRule="auto"/>
    </w:pPr>
    <w:rPr>
      <w:lang w:val="en-AU"/>
    </w:rPr>
  </w:style>
  <w:style w:type="paragraph" w:styleId="Heading1">
    <w:name w:val="heading 1"/>
    <w:basedOn w:val="Normal"/>
    <w:next w:val="Normal"/>
    <w:link w:val="Heading1Char"/>
    <w:uiPriority w:val="9"/>
    <w:qFormat/>
    <w:rsid w:val="00A95F79"/>
    <w:pPr>
      <w:keepNext/>
      <w:keepLines/>
      <w:pageBreakBefore/>
      <w:spacing w:before="240" w:after="320"/>
      <w:outlineLvl w:val="0"/>
    </w:pPr>
    <w:rPr>
      <w:rFonts w:ascii="Tahoma" w:eastAsiaTheme="majorEastAsia" w:hAnsi="Tahoma" w:cstheme="majorBidi"/>
      <w:color w:val="CE0058" w:themeColor="accent2"/>
      <w:sz w:val="40"/>
      <w:szCs w:val="32"/>
    </w:rPr>
  </w:style>
  <w:style w:type="paragraph" w:styleId="Heading2">
    <w:name w:val="heading 2"/>
    <w:basedOn w:val="Normal"/>
    <w:next w:val="Normal"/>
    <w:link w:val="Heading2Char"/>
    <w:uiPriority w:val="9"/>
    <w:unhideWhenUsed/>
    <w:qFormat/>
    <w:rsid w:val="00A95F79"/>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A95F79"/>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A95F79"/>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C55B62"/>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BC22D1"/>
    <w:rPr>
      <w:lang w:val="en-AU"/>
    </w:rPr>
  </w:style>
  <w:style w:type="paragraph" w:styleId="Footer">
    <w:name w:val="footer"/>
    <w:basedOn w:val="Normal"/>
    <w:link w:val="FooterChar"/>
    <w:uiPriority w:val="99"/>
    <w:unhideWhenUsed/>
    <w:rsid w:val="00CF34D6"/>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CF34D6"/>
    <w:rPr>
      <w:color w:val="75787B" w:themeColor="background2"/>
    </w:rPr>
  </w:style>
  <w:style w:type="paragraph" w:styleId="Title">
    <w:name w:val="Title"/>
    <w:basedOn w:val="Normal"/>
    <w:next w:val="Normal"/>
    <w:link w:val="TitleChar"/>
    <w:uiPriority w:val="10"/>
    <w:semiHidden/>
    <w:qFormat/>
    <w:rsid w:val="00A95F79"/>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BC22D1"/>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CE0058" w:themeFill="accent2"/>
      <w:vAlign w:val="center"/>
    </w:tcPr>
    <w:tblStylePr w:type="firstCol">
      <w:tblPr/>
      <w:tcPr>
        <w:shd w:val="clear" w:color="auto" w:fill="CE0058" w:themeFill="accent2"/>
      </w:tcPr>
    </w:tblStylePr>
  </w:style>
  <w:style w:type="character" w:customStyle="1" w:styleId="Heading1Char">
    <w:name w:val="Heading 1 Char"/>
    <w:basedOn w:val="DefaultParagraphFont"/>
    <w:link w:val="Heading1"/>
    <w:uiPriority w:val="9"/>
    <w:rsid w:val="00A95F79"/>
    <w:rPr>
      <w:rFonts w:ascii="Tahoma" w:eastAsiaTheme="majorEastAsia" w:hAnsi="Tahoma" w:cstheme="majorBidi"/>
      <w:color w:val="CE0058" w:themeColor="accent2"/>
      <w:sz w:val="40"/>
      <w:szCs w:val="32"/>
    </w:rPr>
  </w:style>
  <w:style w:type="character" w:customStyle="1" w:styleId="Heading2Char">
    <w:name w:val="Heading 2 Char"/>
    <w:basedOn w:val="DefaultParagraphFont"/>
    <w:link w:val="Heading2"/>
    <w:uiPriority w:val="9"/>
    <w:rsid w:val="00A95F79"/>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BC22D1"/>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CE0058"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A95F79"/>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6278C7"/>
    <w:pPr>
      <w:ind w:left="568" w:hanging="284"/>
    </w:pPr>
    <w:rPr>
      <w:b w:val="0"/>
      <w:noProof/>
    </w:rPr>
  </w:style>
  <w:style w:type="paragraph" w:styleId="TOC1">
    <w:name w:val="toc 1"/>
    <w:basedOn w:val="Normal"/>
    <w:next w:val="Normal"/>
    <w:autoRedefine/>
    <w:uiPriority w:val="39"/>
    <w:semiHidden/>
    <w:rsid w:val="006278C7"/>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762F1A"/>
    <w:rPr>
      <w:color w:val="0000FF"/>
      <w:u w:val="single"/>
    </w:rPr>
  </w:style>
  <w:style w:type="paragraph" w:styleId="TOCHeading">
    <w:name w:val="TOC Heading"/>
    <w:next w:val="Normal"/>
    <w:uiPriority w:val="39"/>
    <w:unhideWhenUsed/>
    <w:qFormat/>
    <w:rsid w:val="00A95F79"/>
    <w:pPr>
      <w:spacing w:before="240" w:after="320" w:line="240" w:lineRule="auto"/>
    </w:pPr>
    <w:rPr>
      <w:rFonts w:ascii="Tahoma" w:eastAsiaTheme="majorEastAsia" w:hAnsi="Tahoma" w:cstheme="majorBidi"/>
      <w:color w:val="CE0058"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CF34D6"/>
    <w:pPr>
      <w:numPr>
        <w:numId w:val="32"/>
      </w:numPr>
      <w:spacing w:line="33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CF34D6"/>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BC22D1"/>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rsid w:val="006278C7"/>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style>
  <w:style w:type="character" w:customStyle="1" w:styleId="TableListNumber2Char">
    <w:name w:val="Table List Number 2 Char"/>
    <w:basedOn w:val="TableListNumberChar"/>
    <w:link w:val="TableListNumber2"/>
    <w:rsid w:val="00E03B00"/>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CF34D6"/>
    <w:pPr>
      <w:numPr>
        <w:ilvl w:val="3"/>
        <w:numId w:val="30"/>
      </w:numPr>
      <w:spacing w:before="120" w:after="120" w:line="432"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CF34D6"/>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A95F79"/>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semiHidden/>
    <w:rsid w:val="006278C7"/>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6278C7"/>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6278C7"/>
    <w:pPr>
      <w:tabs>
        <w:tab w:val="right" w:pos="9582"/>
      </w:tabs>
      <w:spacing w:before="40" w:after="40" w:line="288" w:lineRule="auto"/>
      <w:ind w:left="1702" w:right="567" w:hanging="851"/>
    </w:pPr>
  </w:style>
  <w:style w:type="paragraph" w:customStyle="1" w:styleId="Pull-outheading0">
    <w:name w:val="Pull-out heading"/>
    <w:basedOn w:val="Pull-out"/>
    <w:semiHidden/>
    <w:qFormat/>
    <w:rsid w:val="00F06B55"/>
    <w:rPr>
      <w:rFonts w:ascii="Tahoma" w:hAnsi="Tahoma"/>
      <w:b/>
    </w:rPr>
  </w:style>
  <w:style w:type="character" w:customStyle="1" w:styleId="Heading5Char">
    <w:name w:val="Heading 5 Char"/>
    <w:basedOn w:val="DefaultParagraphFont"/>
    <w:link w:val="Heading5"/>
    <w:uiPriority w:val="9"/>
    <w:semiHidden/>
    <w:rsid w:val="00C55B62"/>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FB0186"/>
    <w:rPr>
      <w:color w:val="FF4895" w:themeColor="accent2" w:themeTint="99"/>
    </w:rPr>
  </w:style>
  <w:style w:type="paragraph" w:styleId="TOC7">
    <w:name w:val="toc 7"/>
    <w:basedOn w:val="Normal"/>
    <w:next w:val="Normal"/>
    <w:autoRedefine/>
    <w:uiPriority w:val="39"/>
    <w:semiHidden/>
    <w:unhideWhenUsed/>
    <w:rsid w:val="006278C7"/>
    <w:pPr>
      <w:spacing w:before="40" w:after="40" w:line="288" w:lineRule="auto"/>
      <w:ind w:left="1321"/>
    </w:pPr>
  </w:style>
  <w:style w:type="paragraph" w:styleId="TOC8">
    <w:name w:val="toc 8"/>
    <w:basedOn w:val="Normal"/>
    <w:next w:val="Normal"/>
    <w:autoRedefine/>
    <w:uiPriority w:val="39"/>
    <w:semiHidden/>
    <w:unhideWhenUsed/>
    <w:rsid w:val="006278C7"/>
    <w:pPr>
      <w:spacing w:before="40" w:after="40" w:line="288" w:lineRule="auto"/>
      <w:ind w:left="1542"/>
    </w:pPr>
  </w:style>
  <w:style w:type="paragraph" w:styleId="TOC9">
    <w:name w:val="toc 9"/>
    <w:basedOn w:val="Normal"/>
    <w:next w:val="Normal"/>
    <w:autoRedefine/>
    <w:uiPriority w:val="39"/>
    <w:semiHidden/>
    <w:unhideWhenUsed/>
    <w:rsid w:val="006278C7"/>
    <w:pPr>
      <w:spacing w:before="40" w:after="40" w:line="288" w:lineRule="auto"/>
      <w:ind w:left="1758"/>
    </w:pPr>
  </w:style>
  <w:style w:type="character" w:styleId="UnresolvedMention">
    <w:name w:val="Unresolved Mention"/>
    <w:basedOn w:val="DefaultParagraphFont"/>
    <w:uiPriority w:val="99"/>
    <w:semiHidden/>
    <w:unhideWhenUsed/>
    <w:rsid w:val="00915954"/>
    <w:rPr>
      <w:color w:val="605E5C"/>
      <w:shd w:val="clear" w:color="auto" w:fill="E1DFDD"/>
    </w:rPr>
  </w:style>
  <w:style w:type="paragraph" w:styleId="Revision">
    <w:name w:val="Revision"/>
    <w:hidden/>
    <w:uiPriority w:val="99"/>
    <w:semiHidden/>
    <w:rsid w:val="00B55C0F"/>
    <w:pPr>
      <w:spacing w:after="0" w:line="240" w:lineRule="auto"/>
    </w:pPr>
    <w:rPr>
      <w:lang w:val="en-AU"/>
    </w:rPr>
  </w:style>
  <w:style w:type="character" w:styleId="CommentReference">
    <w:name w:val="annotation reference"/>
    <w:basedOn w:val="DefaultParagraphFont"/>
    <w:uiPriority w:val="99"/>
    <w:semiHidden/>
    <w:unhideWhenUsed/>
    <w:rsid w:val="00782F13"/>
    <w:rPr>
      <w:sz w:val="16"/>
      <w:szCs w:val="16"/>
    </w:rPr>
  </w:style>
  <w:style w:type="paragraph" w:styleId="CommentText">
    <w:name w:val="annotation text"/>
    <w:basedOn w:val="Normal"/>
    <w:link w:val="CommentTextChar"/>
    <w:uiPriority w:val="99"/>
    <w:unhideWhenUsed/>
    <w:rsid w:val="00782F13"/>
    <w:pPr>
      <w:spacing w:line="240" w:lineRule="auto"/>
    </w:pPr>
    <w:rPr>
      <w:sz w:val="20"/>
      <w:szCs w:val="20"/>
    </w:rPr>
  </w:style>
  <w:style w:type="character" w:customStyle="1" w:styleId="CommentTextChar">
    <w:name w:val="Comment Text Char"/>
    <w:basedOn w:val="DefaultParagraphFont"/>
    <w:link w:val="CommentText"/>
    <w:uiPriority w:val="99"/>
    <w:rsid w:val="00782F13"/>
    <w:rPr>
      <w:sz w:val="20"/>
      <w:szCs w:val="20"/>
      <w:lang w:val="en-AU"/>
    </w:rPr>
  </w:style>
  <w:style w:type="paragraph" w:styleId="CommentSubject">
    <w:name w:val="annotation subject"/>
    <w:basedOn w:val="CommentText"/>
    <w:next w:val="CommentText"/>
    <w:link w:val="CommentSubjectChar"/>
    <w:uiPriority w:val="99"/>
    <w:semiHidden/>
    <w:unhideWhenUsed/>
    <w:rsid w:val="00782F13"/>
    <w:rPr>
      <w:b/>
      <w:bCs/>
    </w:rPr>
  </w:style>
  <w:style w:type="character" w:customStyle="1" w:styleId="CommentSubjectChar">
    <w:name w:val="Comment Subject Char"/>
    <w:basedOn w:val="CommentTextChar"/>
    <w:link w:val="CommentSubject"/>
    <w:uiPriority w:val="99"/>
    <w:semiHidden/>
    <w:rsid w:val="00782F13"/>
    <w:rPr>
      <w:b/>
      <w:bCs/>
      <w:sz w:val="20"/>
      <w:szCs w:val="20"/>
      <w:lang w:val="en-AU"/>
    </w:rPr>
  </w:style>
  <w:style w:type="character" w:styleId="FollowedHyperlink">
    <w:name w:val="FollowedHyperlink"/>
    <w:basedOn w:val="DefaultParagraphFont"/>
    <w:uiPriority w:val="99"/>
    <w:semiHidden/>
    <w:unhideWhenUsed/>
    <w:rsid w:val="00C57EAF"/>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5.sv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sc.vic.gov.au/electricity-and-gas/codes-guidelines-and-policies/gas-distribution-system-code-practice/reviewing-gas-distribution-system-code-practice" TargetMode="External"/><Relationship Id="rId20" Type="http://schemas.openxmlformats.org/officeDocument/2006/relationships/image" Target="media/image7.sv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sc.vic.gov.au/sites/default/files/documents/Draft%20decision%20-%20Gas%20Distribution%20Code%20of%20Practice%20review%20%20-%2020231114_0.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c.vic.gov.au/sites/default/files/documents/Gas%20Distribution%20System%20Code%20of%20Practice%20review%20-%20Issues%20Paper_0.pdf" TargetMode="External"/><Relationship Id="rId22" Type="http://schemas.openxmlformats.org/officeDocument/2006/relationships/image" Target="media/image9.sv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98D85C82905B4AB3B16EABB2039E40" ma:contentTypeVersion="6" ma:contentTypeDescription="Create a new document." ma:contentTypeScope="" ma:versionID="2b787a4eb143c1ec2a484c773fb4452e">
  <xsd:schema xmlns:xsd="http://www.w3.org/2001/XMLSchema" xmlns:xs="http://www.w3.org/2001/XMLSchema" xmlns:p="http://schemas.microsoft.com/office/2006/metadata/properties" xmlns:ns2="78cb739f-ba0b-4c00-b1c7-25b42d6e027d" xmlns:ns3="7880b107-4737-4d98-9ffb-0dfe747dca39" targetNamespace="http://schemas.microsoft.com/office/2006/metadata/properties" ma:root="true" ma:fieldsID="c7af7ae68ddc7eaa6e9ab224446a79f7" ns2:_="" ns3:_="">
    <xsd:import namespace="78cb739f-ba0b-4c00-b1c7-25b42d6e027d"/>
    <xsd:import namespace="7880b107-4737-4d98-9ffb-0dfe747dca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b739f-ba0b-4c00-b1c7-25b42d6e0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80b107-4737-4d98-9ffb-0dfe747dca3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60ED9B-F36D-4EA2-857A-A3E527A7AFD5}">
  <ds:schemaRefs>
    <ds:schemaRef ds:uri="http://schemas.openxmlformats.org/officeDocument/2006/bibliography"/>
  </ds:schemaRefs>
</ds:datastoreItem>
</file>

<file path=customXml/itemProps2.xml><?xml version="1.0" encoding="utf-8"?>
<ds:datastoreItem xmlns:ds="http://schemas.openxmlformats.org/officeDocument/2006/customXml" ds:itemID="{745E6AEC-F2B8-4B9C-B0BE-BE55339F7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b739f-ba0b-4c00-b1c7-25b42d6e027d"/>
    <ds:schemaRef ds:uri="7880b107-4737-4d98-9ffb-0dfe747dca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62D3C1-A49B-49AF-8373-6539DD5E7166}">
  <ds:schemaRefs>
    <ds:schemaRef ds:uri="http://schemas.microsoft.com/sharepoint/v3/contenttype/forms"/>
  </ds:schemaRefs>
</ds:datastoreItem>
</file>

<file path=customXml/itemProps4.xml><?xml version="1.0" encoding="utf-8"?>
<ds:datastoreItem xmlns:ds="http://schemas.openxmlformats.org/officeDocument/2006/customXml" ds:itemID="{FA257D78-0B66-4459-95F9-711A3BF0A425}">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78cb739f-ba0b-4c00-b1c7-25b42d6e027d"/>
    <ds:schemaRef ds:uri="http://schemas.microsoft.com/office/infopath/2007/PartnerControls"/>
    <ds:schemaRef ds:uri="7880b107-4737-4d98-9ffb-0dfe747dca3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750</Words>
  <Characters>4288</Characters>
  <Application>Microsoft Office Word</Application>
  <DocSecurity>0</DocSecurity>
  <Lines>115</Lines>
  <Paragraphs>64</Paragraphs>
  <ScaleCrop>false</ScaleCrop>
  <HeadingPairs>
    <vt:vector size="2" baseType="variant">
      <vt:variant>
        <vt:lpstr>Title</vt:lpstr>
      </vt:variant>
      <vt:variant>
        <vt:i4>1</vt:i4>
      </vt:variant>
    </vt:vector>
  </HeadingPairs>
  <TitlesOfParts>
    <vt:vector size="1" baseType="lpstr">
      <vt:lpstr>Public engagement summary: Reviewing the Gas Distribution System Code of Practice</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engagement summary: Reviewing the Gas Distribution System Code of Practice</dc:title>
  <dc:subject/>
  <dc:creator>Samraansh Sharma (ESC)</dc:creator>
  <cp:keywords>[SEC=OFFICIAL]</cp:keywords>
  <dc:description/>
  <cp:lastModifiedBy>Luis Bogliolo (ESC)</cp:lastModifiedBy>
  <cp:revision>8</cp:revision>
  <cp:lastPrinted>2024-04-23T22:56:00Z</cp:lastPrinted>
  <dcterms:created xsi:type="dcterms:W3CDTF">2024-04-23T22:56:00Z</dcterms:created>
  <dcterms:modified xsi:type="dcterms:W3CDTF">2024-05-02T23:55:00Z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F482DBBD47DB40B5B9B92D76C122F0ED</vt:lpwstr>
  </property>
  <property fmtid="{D5CDD505-2E9C-101B-9397-08002B2CF9AE}" pid="9" name="PM_ProtectiveMarkingValue_Footer">
    <vt:lpwstr>OFFICIAL</vt:lpwstr>
  </property>
  <property fmtid="{D5CDD505-2E9C-101B-9397-08002B2CF9AE}" pid="10" name="PM_OriginationTimeStamp">
    <vt:lpwstr>2024-03-19T03:16:28Z</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2019.2.1.vic.gov.au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Uuid">
    <vt:lpwstr>v=2022.2;d=vic.gov.au;g=0BC0AFEB-CD42-5391-A624-A890967918FF</vt:lpwstr>
  </property>
  <property fmtid="{D5CDD505-2E9C-101B-9397-08002B2CF9AE}" pid="19" name="PM_Hash_Version">
    <vt:lpwstr>2022.1</vt:lpwstr>
  </property>
  <property fmtid="{D5CDD505-2E9C-101B-9397-08002B2CF9AE}" pid="20" name="PM_OriginatorDomainName_SHA256">
    <vt:lpwstr>9E5929A2B0C9364118E50F7972B6A4AA763F815A803675E11226272E392AE99C</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ContentTypeId">
    <vt:lpwstr>0x0101005498D85C82905B4AB3B16EABB2039E40</vt:lpwstr>
  </property>
  <property fmtid="{D5CDD505-2E9C-101B-9397-08002B2CF9AE}" pid="24" name="PM_Originator_Hash_SHA1">
    <vt:lpwstr>680CA605E0DEE2123BFD2A419FC5CBC9D2CBE003</vt:lpwstr>
  </property>
  <property fmtid="{D5CDD505-2E9C-101B-9397-08002B2CF9AE}" pid="25" name="PM_Hash_Salt_Prev">
    <vt:lpwstr>A2E2FB294799D847FAE847544A22CDB9</vt:lpwstr>
  </property>
  <property fmtid="{D5CDD505-2E9C-101B-9397-08002B2CF9AE}" pid="26" name="PM_Hash_Salt">
    <vt:lpwstr>2C087D062C342F1CC567B92EF7037404</vt:lpwstr>
  </property>
  <property fmtid="{D5CDD505-2E9C-101B-9397-08002B2CF9AE}" pid="27" name="PM_Hash_SHA1">
    <vt:lpwstr>6C6E2340D82937D59CF3797EC59AFECE1B126DD5</vt:lpwstr>
  </property>
  <property fmtid="{D5CDD505-2E9C-101B-9397-08002B2CF9AE}" pid="28" name="PM_OriginatorUserAccountName_SHA256">
    <vt:lpwstr>DAAFB4421AB1265D20F30716DF1E90A95E09E238BE8D4FFD91A01182AF524E96</vt:lpwstr>
  </property>
  <property fmtid="{D5CDD505-2E9C-101B-9397-08002B2CF9AE}" pid="29" name="PMHMAC">
    <vt:lpwstr>v=2022.1;a=SHA256;h=78BF921DCA2A79DDD5782EAE374D62F757042907AB68190D418735EBB289224F</vt:lpwstr>
  </property>
</Properties>
</file>