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1DC73" w14:textId="2F4625CB" w:rsidR="00440B1F" w:rsidRDefault="00E44522" w:rsidP="00440B1F">
      <w:pPr>
        <w:pStyle w:val="Heading1"/>
      </w:pPr>
      <w:bookmarkStart w:id="1" w:name="_Toc480988882"/>
      <w:bookmarkStart w:id="2" w:name="_Toc481138193"/>
      <w:bookmarkStart w:id="3" w:name="_Toc481138401"/>
      <w:bookmarkStart w:id="4" w:name="_Toc482348009"/>
      <w:r>
        <w:t xml:space="preserve">Appendix </w:t>
      </w:r>
      <w:r w:rsidR="003D448E">
        <w:t>A</w:t>
      </w:r>
      <w:r>
        <w:t xml:space="preserve"> </w:t>
      </w:r>
      <w:bookmarkEnd w:id="1"/>
      <w:bookmarkEnd w:id="2"/>
      <w:bookmarkEnd w:id="3"/>
      <w:bookmarkEnd w:id="4"/>
    </w:p>
    <w:p w14:paraId="4184392E" w14:textId="632BB1BC" w:rsidR="00E44522" w:rsidRPr="00E44522" w:rsidRDefault="00E44522" w:rsidP="00E44522">
      <w:pPr>
        <w:pStyle w:val="Heading2"/>
      </w:pPr>
      <w:r>
        <w:t xml:space="preserve">Summary Table </w:t>
      </w:r>
      <w:r w:rsidR="00384544">
        <w:t xml:space="preserve">of Analysis </w:t>
      </w:r>
      <w:r>
        <w:t>– Public Lighting Code</w:t>
      </w:r>
      <w:r w:rsidR="00F23A1D">
        <w:t xml:space="preserve"> of Practice</w:t>
      </w:r>
    </w:p>
    <w:p w14:paraId="4E5E4C21" w14:textId="586F022A" w:rsidR="00E44522" w:rsidRPr="002670D0" w:rsidRDefault="00E44522" w:rsidP="00E44522">
      <w:r w:rsidRPr="002670D0">
        <w:t xml:space="preserve">Below is a summary of </w:t>
      </w:r>
      <w:r w:rsidR="00384544">
        <w:t xml:space="preserve">the </w:t>
      </w:r>
      <w:r w:rsidRPr="002670D0">
        <w:t xml:space="preserve">commission’s analysis of the </w:t>
      </w:r>
      <w:r w:rsidR="002670D0" w:rsidRPr="002670D0">
        <w:t xml:space="preserve">Public Lighting Code of Practice </w:t>
      </w:r>
      <w:r w:rsidRPr="002670D0">
        <w:t>prepared for the sole purpose of aiding this consultation.</w:t>
      </w:r>
    </w:p>
    <w:p w14:paraId="129B7E02" w14:textId="6D39531E" w:rsidR="00E44522" w:rsidRDefault="00E44522" w:rsidP="00E44522">
      <w:r w:rsidRPr="002670D0">
        <w:t xml:space="preserve">We propose to revoke the </w:t>
      </w:r>
      <w:r w:rsidR="002670D0" w:rsidRPr="002670D0">
        <w:t>Public Lighting Code of Practice in</w:t>
      </w:r>
      <w:r w:rsidRPr="002670D0">
        <w:t xml:space="preserve"> its entirety. </w:t>
      </w:r>
      <w:r w:rsidR="004D5A05">
        <w:t>Obligations</w:t>
      </w:r>
      <w:r w:rsidR="002670D0" w:rsidRPr="002670D0">
        <w:t xml:space="preserve"> </w:t>
      </w:r>
      <w:r w:rsidR="00384544">
        <w:t xml:space="preserve">we are proposing to </w:t>
      </w:r>
      <w:r w:rsidRPr="002670D0">
        <w:t xml:space="preserve">retain </w:t>
      </w:r>
      <w:r w:rsidR="00384544">
        <w:t xml:space="preserve">will transfer </w:t>
      </w:r>
      <w:r w:rsidRPr="002670D0">
        <w:t xml:space="preserve">to </w:t>
      </w:r>
      <w:r w:rsidR="00153CB5">
        <w:t xml:space="preserve">the </w:t>
      </w:r>
      <w:r w:rsidRPr="002670D0">
        <w:t>Electricity Distribution Code of Practice</w:t>
      </w:r>
      <w:r w:rsidR="00077E03">
        <w:t xml:space="preserve"> and </w:t>
      </w:r>
      <w:r w:rsidR="00A26B50">
        <w:t xml:space="preserve">could </w:t>
      </w:r>
      <w:r w:rsidR="002014C7">
        <w:t xml:space="preserve">be </w:t>
      </w:r>
      <w:r w:rsidRPr="002670D0">
        <w:t xml:space="preserve">subject to the </w:t>
      </w:r>
      <w:r w:rsidR="006404EC">
        <w:t>applicable</w:t>
      </w:r>
      <w:r w:rsidRPr="002670D0">
        <w:t xml:space="preserve"> enforcement powers.</w:t>
      </w:r>
    </w:p>
    <w:p w14:paraId="41B49619" w14:textId="12EDAF7A" w:rsidR="00E44522" w:rsidRPr="00E44522" w:rsidRDefault="00E44522" w:rsidP="00E44522">
      <w:pPr>
        <w:pStyle w:val="Heading3"/>
      </w:pPr>
      <w:r w:rsidRPr="00E44522">
        <w:t xml:space="preserve">Table 1 – Public Lighting Code </w:t>
      </w:r>
      <w:r w:rsidRPr="00E44522">
        <w:rPr>
          <w:rStyle w:val="Figure-Table-BoxSubtitleChar"/>
          <w:rFonts w:ascii="Tahoma" w:hAnsi="Tahoma"/>
        </w:rPr>
        <w:t xml:space="preserve">– Clause </w:t>
      </w:r>
      <w:r w:rsidR="00F82A59">
        <w:rPr>
          <w:rStyle w:val="Figure-Table-BoxSubtitleChar"/>
          <w:rFonts w:ascii="Tahoma" w:hAnsi="Tahoma"/>
        </w:rPr>
        <w:t xml:space="preserve">analysis </w:t>
      </w:r>
      <w:r w:rsidRPr="00E44522">
        <w:rPr>
          <w:rStyle w:val="Figure-Table-BoxSubtitleChar"/>
          <w:rFonts w:ascii="Tahoma" w:hAnsi="Tahoma"/>
        </w:rPr>
        <w:t>and our reasons for revocation</w:t>
      </w:r>
    </w:p>
    <w:tbl>
      <w:tblPr>
        <w:tblStyle w:val="TableGrid"/>
        <w:tblW w:w="14712" w:type="dxa"/>
        <w:tblLook w:val="04A0" w:firstRow="1" w:lastRow="0" w:firstColumn="1" w:lastColumn="0" w:noHBand="0" w:noVBand="1"/>
      </w:tblPr>
      <w:tblGrid>
        <w:gridCol w:w="7371"/>
        <w:gridCol w:w="7341"/>
      </w:tblGrid>
      <w:tr w:rsidR="00E44522" w:rsidRPr="00E44522" w14:paraId="6CF0B98F" w14:textId="77777777" w:rsidTr="00223042">
        <w:trPr>
          <w:cnfStyle w:val="100000000000" w:firstRow="1" w:lastRow="0" w:firstColumn="0" w:lastColumn="0" w:oddVBand="0" w:evenVBand="0" w:oddHBand="0" w:evenHBand="0" w:firstRowFirstColumn="0" w:firstRowLastColumn="0" w:lastRowFirstColumn="0" w:lastRowLastColumn="0"/>
          <w:cantSplit/>
          <w:trHeight w:val="300"/>
          <w:tblHeader/>
        </w:trPr>
        <w:tc>
          <w:tcPr>
            <w:tcW w:w="7371" w:type="dxa"/>
          </w:tcPr>
          <w:p w14:paraId="77B82717" w14:textId="77777777" w:rsidR="00E44522" w:rsidRPr="002670D0" w:rsidRDefault="00E44522" w:rsidP="006C0CA8">
            <w:pPr>
              <w:pStyle w:val="TableBold"/>
              <w:jc w:val="center"/>
              <w:rPr>
                <w:b/>
              </w:rPr>
            </w:pPr>
            <w:r w:rsidRPr="002670D0">
              <w:rPr>
                <w:b/>
              </w:rPr>
              <w:t>Clause</w:t>
            </w:r>
          </w:p>
        </w:tc>
        <w:tc>
          <w:tcPr>
            <w:tcW w:w="7341" w:type="dxa"/>
          </w:tcPr>
          <w:p w14:paraId="6EC093BD" w14:textId="77777777" w:rsidR="00E44522" w:rsidRPr="002670D0" w:rsidRDefault="00E44522" w:rsidP="006C0CA8">
            <w:pPr>
              <w:pStyle w:val="TableBold"/>
              <w:jc w:val="center"/>
              <w:rPr>
                <w:b/>
              </w:rPr>
            </w:pPr>
            <w:r w:rsidRPr="002670D0">
              <w:rPr>
                <w:b/>
              </w:rPr>
              <w:t>Analysis</w:t>
            </w:r>
          </w:p>
        </w:tc>
      </w:tr>
      <w:tr w:rsidR="00E44522" w:rsidRPr="00E44522" w14:paraId="5BDADCC6" w14:textId="77777777" w:rsidTr="00223042">
        <w:trPr>
          <w:cnfStyle w:val="000000100000" w:firstRow="0" w:lastRow="0" w:firstColumn="0" w:lastColumn="0" w:oddVBand="0" w:evenVBand="0" w:oddHBand="1" w:evenHBand="0" w:firstRowFirstColumn="0" w:firstRowLastColumn="0" w:lastRowFirstColumn="0" w:lastRowLastColumn="0"/>
          <w:cantSplit/>
          <w:trHeight w:val="300"/>
        </w:trPr>
        <w:tc>
          <w:tcPr>
            <w:tcW w:w="14712" w:type="dxa"/>
            <w:gridSpan w:val="2"/>
          </w:tcPr>
          <w:p w14:paraId="6A0BA58C" w14:textId="192676A7" w:rsidR="00E44522" w:rsidRPr="00E44522" w:rsidRDefault="00E44522" w:rsidP="006C0CA8">
            <w:pPr>
              <w:pStyle w:val="TableBold"/>
              <w:jc w:val="center"/>
              <w:rPr>
                <w:highlight w:val="yellow"/>
              </w:rPr>
            </w:pPr>
            <w:r w:rsidRPr="002670D0">
              <w:t>1</w:t>
            </w:r>
            <w:r w:rsidR="00F90E93">
              <w:t>.</w:t>
            </w:r>
            <w:r w:rsidRPr="002670D0">
              <w:t xml:space="preserve"> INTRODUCTION</w:t>
            </w:r>
          </w:p>
        </w:tc>
      </w:tr>
      <w:tr w:rsidR="00E44522" w:rsidRPr="00E44522" w14:paraId="6C0D58CB" w14:textId="77777777" w:rsidTr="00223042">
        <w:trPr>
          <w:cnfStyle w:val="000000010000" w:firstRow="0" w:lastRow="0" w:firstColumn="0" w:lastColumn="0" w:oddVBand="0" w:evenVBand="0" w:oddHBand="0" w:evenHBand="1" w:firstRowFirstColumn="0" w:firstRowLastColumn="0" w:lastRowFirstColumn="0" w:lastRowLastColumn="0"/>
          <w:cantSplit/>
          <w:trHeight w:val="300"/>
        </w:trPr>
        <w:tc>
          <w:tcPr>
            <w:tcW w:w="7371" w:type="dxa"/>
          </w:tcPr>
          <w:p w14:paraId="76548DDD" w14:textId="7E0E51FC" w:rsidR="00E44522" w:rsidRPr="00E44522" w:rsidRDefault="00E44522" w:rsidP="006C0CA8">
            <w:pPr>
              <w:pStyle w:val="TableBody"/>
              <w:rPr>
                <w:b/>
                <w:highlight w:val="yellow"/>
              </w:rPr>
            </w:pPr>
            <w:r w:rsidRPr="002670D0">
              <w:rPr>
                <w:b/>
              </w:rPr>
              <w:t>1.1 Purpose</w:t>
            </w:r>
            <w:r w:rsidRPr="00E44522">
              <w:rPr>
                <w:b/>
                <w:highlight w:val="yellow"/>
              </w:rPr>
              <w:br/>
            </w:r>
            <w:r w:rsidRPr="00E44522">
              <w:rPr>
                <w:b/>
                <w:highlight w:val="yellow"/>
              </w:rPr>
              <w:br/>
            </w:r>
            <w:r w:rsidR="002670D0" w:rsidRPr="002670D0">
              <w:rPr>
                <w:color w:val="000000"/>
                <w:lang w:val="en-AU"/>
              </w:rPr>
              <w:t xml:space="preserve">The purpose of this Code is to regulate the provision of public lighting or the arrangements for such provision by specifying minimum standards and certain obligations of </w:t>
            </w:r>
            <w:r w:rsidR="002670D0" w:rsidRPr="00371962">
              <w:rPr>
                <w:b/>
                <w:bCs/>
                <w:color w:val="000000"/>
                <w:lang w:val="en-AU"/>
              </w:rPr>
              <w:t>distributors</w:t>
            </w:r>
            <w:r w:rsidR="002670D0" w:rsidRPr="002670D0">
              <w:rPr>
                <w:color w:val="000000"/>
                <w:lang w:val="en-AU"/>
              </w:rPr>
              <w:t xml:space="preserve"> and </w:t>
            </w:r>
            <w:r w:rsidR="002670D0" w:rsidRPr="00371962">
              <w:rPr>
                <w:b/>
                <w:bCs/>
                <w:color w:val="000000"/>
                <w:lang w:val="en-AU"/>
              </w:rPr>
              <w:t>public lighting customers</w:t>
            </w:r>
            <w:r w:rsidR="002670D0" w:rsidRPr="002670D0">
              <w:rPr>
                <w:color w:val="000000"/>
                <w:lang w:val="en-AU"/>
              </w:rPr>
              <w:t>. The objective of such regulation is to provide a safe visual environment for pedestrian and vehicular movement during times of inadequate natural light.</w:t>
            </w:r>
          </w:p>
        </w:tc>
        <w:tc>
          <w:tcPr>
            <w:tcW w:w="7341" w:type="dxa"/>
          </w:tcPr>
          <w:p w14:paraId="24D353BE" w14:textId="77777777" w:rsidR="00E44522" w:rsidRPr="00E44522" w:rsidRDefault="00E44522" w:rsidP="006C0CA8">
            <w:pPr>
              <w:pStyle w:val="TableBody"/>
              <w:rPr>
                <w:b/>
                <w:highlight w:val="yellow"/>
              </w:rPr>
            </w:pPr>
          </w:p>
          <w:p w14:paraId="5A406E9F" w14:textId="77777777" w:rsidR="00E44522" w:rsidRPr="00E44522" w:rsidRDefault="00E44522" w:rsidP="006C0CA8">
            <w:pPr>
              <w:pStyle w:val="TableBody"/>
              <w:rPr>
                <w:b/>
                <w:highlight w:val="yellow"/>
              </w:rPr>
            </w:pPr>
          </w:p>
          <w:p w14:paraId="68FF756A" w14:textId="2128989D" w:rsidR="005F08BE" w:rsidRDefault="00420F95" w:rsidP="006C0CA8">
            <w:pPr>
              <w:pStyle w:val="TableBody"/>
              <w:rPr>
                <w:highlight w:val="yellow"/>
              </w:rPr>
            </w:pPr>
            <w:r w:rsidRPr="00420F95">
              <w:t>We consider this clause to be redundant, or superseded by other regulations</w:t>
            </w:r>
            <w:r w:rsidR="002C609D">
              <w:t>.</w:t>
            </w:r>
          </w:p>
          <w:p w14:paraId="41D715F6" w14:textId="77777777" w:rsidR="00FA1008" w:rsidRDefault="00FA1008" w:rsidP="006C0CA8">
            <w:pPr>
              <w:pStyle w:val="TableBody"/>
              <w:rPr>
                <w:highlight w:val="yellow"/>
              </w:rPr>
            </w:pPr>
          </w:p>
          <w:p w14:paraId="74E0B85A" w14:textId="30D63B12" w:rsidR="005F08BE" w:rsidRPr="00E44522" w:rsidRDefault="00151397" w:rsidP="006C0CA8">
            <w:pPr>
              <w:pStyle w:val="TableBody"/>
              <w:rPr>
                <w:highlight w:val="yellow"/>
              </w:rPr>
            </w:pPr>
            <w:r>
              <w:t>We propose to amend s</w:t>
            </w:r>
            <w:r w:rsidR="00176C0C" w:rsidRPr="00176C0C">
              <w:t xml:space="preserve">ection 19 of the </w:t>
            </w:r>
            <w:hyperlink r:id="rId8" w:history="1">
              <w:r w:rsidR="008444CA" w:rsidRPr="00BC6BD5">
                <w:rPr>
                  <w:rStyle w:val="Hyperlink"/>
                </w:rPr>
                <w:t>Elec</w:t>
              </w:r>
              <w:r w:rsidR="0009343F" w:rsidRPr="00BC6BD5">
                <w:rPr>
                  <w:rStyle w:val="Hyperlink"/>
                </w:rPr>
                <w:t>tricity Distribution Code of Practice</w:t>
              </w:r>
            </w:hyperlink>
            <w:r w:rsidR="0009343F">
              <w:t xml:space="preserve"> </w:t>
            </w:r>
            <w:r>
              <w:t>t</w:t>
            </w:r>
            <w:r w:rsidR="00153CB5">
              <w:t xml:space="preserve">o </w:t>
            </w:r>
            <w:r>
              <w:t xml:space="preserve">include public lighting </w:t>
            </w:r>
            <w:r w:rsidR="00BC6BD5">
              <w:t>asset managements</w:t>
            </w:r>
            <w:r w:rsidR="00153CB5">
              <w:t xml:space="preserve"> and minimum standards</w:t>
            </w:r>
            <w:r>
              <w:t xml:space="preserve"> obligations</w:t>
            </w:r>
            <w:r w:rsidR="00BC6BD5">
              <w:t xml:space="preserve">. </w:t>
            </w:r>
          </w:p>
        </w:tc>
      </w:tr>
      <w:tr w:rsidR="00E44522" w:rsidRPr="00E44522" w14:paraId="1FE54156" w14:textId="77777777" w:rsidTr="00223042">
        <w:trPr>
          <w:cnfStyle w:val="000000100000" w:firstRow="0" w:lastRow="0" w:firstColumn="0" w:lastColumn="0" w:oddVBand="0" w:evenVBand="0" w:oddHBand="1" w:evenHBand="0" w:firstRowFirstColumn="0" w:firstRowLastColumn="0" w:lastRowFirstColumn="0" w:lastRowLastColumn="0"/>
          <w:cantSplit/>
          <w:trHeight w:val="300"/>
        </w:trPr>
        <w:tc>
          <w:tcPr>
            <w:tcW w:w="7371" w:type="dxa"/>
          </w:tcPr>
          <w:p w14:paraId="57144693" w14:textId="77777777" w:rsidR="00E44522" w:rsidRPr="002670D0" w:rsidRDefault="00E44522" w:rsidP="006C0CA8">
            <w:pPr>
              <w:pStyle w:val="TableBody"/>
              <w:rPr>
                <w:b/>
                <w:color w:val="000000"/>
              </w:rPr>
            </w:pPr>
            <w:r w:rsidRPr="002670D0">
              <w:rPr>
                <w:b/>
                <w:color w:val="000000"/>
              </w:rPr>
              <w:lastRenderedPageBreak/>
              <w:t>1.2 Date of effect</w:t>
            </w:r>
          </w:p>
          <w:p w14:paraId="3FE465B8" w14:textId="77777777" w:rsidR="00E44522" w:rsidRPr="002670D0" w:rsidRDefault="00E44522" w:rsidP="006C0CA8">
            <w:pPr>
              <w:pStyle w:val="TableBody"/>
              <w:rPr>
                <w:color w:val="000000"/>
              </w:rPr>
            </w:pPr>
          </w:p>
          <w:p w14:paraId="381F2866" w14:textId="07A1C068" w:rsidR="00E44522" w:rsidRPr="00E44522" w:rsidRDefault="002670D0" w:rsidP="006C0CA8">
            <w:pPr>
              <w:pStyle w:val="TableBody"/>
              <w:rPr>
                <w:color w:val="000000"/>
                <w:highlight w:val="yellow"/>
              </w:rPr>
            </w:pPr>
            <w:r w:rsidRPr="002670D0">
              <w:rPr>
                <w:color w:val="000000"/>
                <w:lang w:val="en-AU"/>
              </w:rPr>
              <w:t>This Code replaces the Public Lighting Code published in September 2001 with effect from 1 July 2005.</w:t>
            </w:r>
          </w:p>
        </w:tc>
        <w:tc>
          <w:tcPr>
            <w:tcW w:w="7341" w:type="dxa"/>
          </w:tcPr>
          <w:p w14:paraId="1E5DA1C1" w14:textId="77777777" w:rsidR="00E44522" w:rsidRPr="002670D0" w:rsidRDefault="00E44522" w:rsidP="006C0CA8">
            <w:pPr>
              <w:pStyle w:val="TableBody"/>
              <w:rPr>
                <w:b/>
                <w:color w:val="000000"/>
              </w:rPr>
            </w:pPr>
          </w:p>
          <w:p w14:paraId="091334A5" w14:textId="77777777" w:rsidR="00E44522" w:rsidRPr="002670D0" w:rsidRDefault="00E44522" w:rsidP="006C0CA8">
            <w:pPr>
              <w:pStyle w:val="TableBody"/>
              <w:rPr>
                <w:b/>
                <w:color w:val="000000"/>
              </w:rPr>
            </w:pPr>
          </w:p>
          <w:p w14:paraId="40D75504" w14:textId="27ED94FF" w:rsidR="00E44522" w:rsidRPr="002670D0" w:rsidRDefault="00420F95" w:rsidP="006C0CA8">
            <w:pPr>
              <w:pStyle w:val="TableBody"/>
              <w:rPr>
                <w:color w:val="000000"/>
              </w:rPr>
            </w:pPr>
            <w:r w:rsidRPr="00420F95">
              <w:t xml:space="preserve">We consider this clause to be </w:t>
            </w:r>
            <w:r w:rsidR="00690B16" w:rsidRPr="00420F95">
              <w:t>redundant or</w:t>
            </w:r>
            <w:r w:rsidRPr="00420F95">
              <w:t xml:space="preserve"> superseded by other regulations</w:t>
            </w:r>
            <w:r w:rsidR="002C609D">
              <w:t>.</w:t>
            </w:r>
          </w:p>
        </w:tc>
      </w:tr>
      <w:tr w:rsidR="00E44522" w:rsidRPr="00E44522" w14:paraId="6782376A" w14:textId="77777777" w:rsidTr="00223042">
        <w:trPr>
          <w:cnfStyle w:val="000000010000" w:firstRow="0" w:lastRow="0" w:firstColumn="0" w:lastColumn="0" w:oddVBand="0" w:evenVBand="0" w:oddHBand="0" w:evenHBand="1" w:firstRowFirstColumn="0" w:firstRowLastColumn="0" w:lastRowFirstColumn="0" w:lastRowLastColumn="0"/>
          <w:cantSplit/>
          <w:trHeight w:val="300"/>
        </w:trPr>
        <w:tc>
          <w:tcPr>
            <w:tcW w:w="7371" w:type="dxa"/>
          </w:tcPr>
          <w:p w14:paraId="390853A3" w14:textId="77777777" w:rsidR="00E44522" w:rsidRPr="002670D0" w:rsidRDefault="00E44522" w:rsidP="006C0CA8">
            <w:pPr>
              <w:pStyle w:val="TableBody"/>
              <w:rPr>
                <w:b/>
              </w:rPr>
            </w:pPr>
            <w:r w:rsidRPr="002670D0">
              <w:rPr>
                <w:b/>
              </w:rPr>
              <w:t>1.3 To whom and how this Code applies</w:t>
            </w:r>
          </w:p>
          <w:p w14:paraId="0F7D746D" w14:textId="77777777" w:rsidR="00E44522" w:rsidRPr="002670D0" w:rsidRDefault="00E44522" w:rsidP="006C0CA8">
            <w:pPr>
              <w:pStyle w:val="TableBody"/>
            </w:pPr>
          </w:p>
          <w:p w14:paraId="20DFA76F" w14:textId="6995BA0E" w:rsidR="00E44522" w:rsidRPr="002670D0" w:rsidRDefault="002670D0" w:rsidP="006C0CA8">
            <w:pPr>
              <w:pStyle w:val="TableBody"/>
            </w:pPr>
            <w:r w:rsidRPr="002670D0">
              <w:rPr>
                <w:lang w:val="en-AU"/>
              </w:rPr>
              <w:t xml:space="preserve">This Code applies to each </w:t>
            </w:r>
            <w:r w:rsidRPr="001B79FC">
              <w:rPr>
                <w:b/>
                <w:bCs/>
                <w:lang w:val="en-AU"/>
              </w:rPr>
              <w:t>distributor</w:t>
            </w:r>
            <w:r w:rsidRPr="002670D0">
              <w:rPr>
                <w:lang w:val="en-AU"/>
              </w:rPr>
              <w:t xml:space="preserve"> under its </w:t>
            </w:r>
            <w:r w:rsidRPr="001B79FC">
              <w:rPr>
                <w:b/>
                <w:bCs/>
                <w:lang w:val="en-AU"/>
              </w:rPr>
              <w:t>distribution licence</w:t>
            </w:r>
            <w:r w:rsidRPr="002670D0">
              <w:rPr>
                <w:lang w:val="en-AU"/>
              </w:rPr>
              <w:t xml:space="preserve"> only in respect of the </w:t>
            </w:r>
            <w:r w:rsidRPr="006A039B">
              <w:rPr>
                <w:b/>
                <w:bCs/>
                <w:lang w:val="en-AU"/>
              </w:rPr>
              <w:t>public lighting assets</w:t>
            </w:r>
            <w:r w:rsidRPr="002670D0">
              <w:rPr>
                <w:lang w:val="en-AU"/>
              </w:rPr>
              <w:t xml:space="preserve"> owned by that </w:t>
            </w:r>
            <w:r w:rsidRPr="006A039B">
              <w:rPr>
                <w:b/>
                <w:bCs/>
                <w:lang w:val="en-AU"/>
              </w:rPr>
              <w:t>distributor</w:t>
            </w:r>
            <w:r w:rsidRPr="002670D0">
              <w:rPr>
                <w:lang w:val="en-AU"/>
              </w:rPr>
              <w:t>.</w:t>
            </w:r>
          </w:p>
        </w:tc>
        <w:tc>
          <w:tcPr>
            <w:tcW w:w="7341" w:type="dxa"/>
          </w:tcPr>
          <w:p w14:paraId="75FFCB27" w14:textId="7BEF3F65" w:rsidR="00E44522" w:rsidRPr="002670D0" w:rsidRDefault="00E44522" w:rsidP="006C0CA8">
            <w:pPr>
              <w:pStyle w:val="TableBody"/>
              <w:rPr>
                <w:color w:val="000000"/>
              </w:rPr>
            </w:pPr>
            <w:r w:rsidRPr="002670D0">
              <w:br/>
            </w:r>
          </w:p>
          <w:p w14:paraId="58198EA5" w14:textId="3C07476F" w:rsidR="00E44522" w:rsidRPr="002670D0" w:rsidRDefault="00420F95" w:rsidP="006C0CA8">
            <w:pPr>
              <w:pStyle w:val="TableBody"/>
              <w:rPr>
                <w:color w:val="000000"/>
              </w:rPr>
            </w:pPr>
            <w:r w:rsidRPr="00420F95">
              <w:t xml:space="preserve">We consider this clause to be </w:t>
            </w:r>
            <w:r w:rsidR="00690B16" w:rsidRPr="00420F95">
              <w:t>redundant or</w:t>
            </w:r>
            <w:r w:rsidRPr="00420F95">
              <w:t xml:space="preserve"> superseded by other regulations</w:t>
            </w:r>
            <w:r w:rsidR="002C609D">
              <w:t>.</w:t>
            </w:r>
          </w:p>
        </w:tc>
      </w:tr>
      <w:tr w:rsidR="00E659B4" w:rsidRPr="00E44522" w14:paraId="073CDD31" w14:textId="77777777" w:rsidTr="00223042">
        <w:trPr>
          <w:cnfStyle w:val="000000100000" w:firstRow="0" w:lastRow="0" w:firstColumn="0" w:lastColumn="0" w:oddVBand="0" w:evenVBand="0" w:oddHBand="1" w:evenHBand="0" w:firstRowFirstColumn="0" w:firstRowLastColumn="0" w:lastRowFirstColumn="0" w:lastRowLastColumn="0"/>
          <w:cantSplit/>
          <w:trHeight w:val="300"/>
        </w:trPr>
        <w:tc>
          <w:tcPr>
            <w:tcW w:w="7371" w:type="dxa"/>
          </w:tcPr>
          <w:p w14:paraId="2E274B02" w14:textId="3863A349" w:rsidR="00E659B4" w:rsidRPr="002670D0" w:rsidRDefault="00E659B4" w:rsidP="00E659B4">
            <w:pPr>
              <w:pStyle w:val="TableBody"/>
              <w:rPr>
                <w:b/>
                <w:color w:val="000000"/>
                <w:lang w:val="en-AU"/>
              </w:rPr>
            </w:pPr>
            <w:r w:rsidRPr="001E3D70">
              <w:rPr>
                <w:b/>
                <w:color w:val="000000"/>
                <w:lang w:val="en-AU"/>
              </w:rPr>
              <w:t>1.4 Variation by written agreement</w:t>
            </w:r>
          </w:p>
          <w:p w14:paraId="623D7311" w14:textId="77777777" w:rsidR="00E659B4" w:rsidRPr="002670D0" w:rsidRDefault="00E659B4" w:rsidP="00E659B4">
            <w:pPr>
              <w:pStyle w:val="TableBody"/>
              <w:rPr>
                <w:b/>
                <w:color w:val="000000"/>
              </w:rPr>
            </w:pPr>
          </w:p>
          <w:p w14:paraId="72A192A7" w14:textId="77777777" w:rsidR="00E659B4" w:rsidRPr="002670D0" w:rsidRDefault="00E659B4" w:rsidP="00E659B4">
            <w:pPr>
              <w:pStyle w:val="TableBody"/>
              <w:rPr>
                <w:lang w:val="en-AU"/>
              </w:rPr>
            </w:pPr>
            <w:r w:rsidRPr="006C0CA8">
              <w:rPr>
                <w:b/>
                <w:bCs/>
                <w:lang w:val="en-AU"/>
              </w:rPr>
              <w:t>1.4.1</w:t>
            </w:r>
            <w:r w:rsidRPr="002670D0">
              <w:rPr>
                <w:lang w:val="en-AU"/>
              </w:rPr>
              <w:t xml:space="preserve"> A </w:t>
            </w:r>
            <w:r w:rsidRPr="006A039B">
              <w:rPr>
                <w:b/>
                <w:bCs/>
                <w:lang w:val="en-AU"/>
              </w:rPr>
              <w:t>distributor</w:t>
            </w:r>
            <w:r w:rsidRPr="002670D0">
              <w:rPr>
                <w:lang w:val="en-AU"/>
              </w:rPr>
              <w:t xml:space="preserve"> or a </w:t>
            </w:r>
            <w:r w:rsidRPr="0018187C">
              <w:rPr>
                <w:b/>
                <w:bCs/>
                <w:lang w:val="en-AU"/>
              </w:rPr>
              <w:t>public lighting customer</w:t>
            </w:r>
            <w:r w:rsidRPr="002670D0">
              <w:rPr>
                <w:lang w:val="en-AU"/>
              </w:rPr>
              <w:t xml:space="preserve"> may seek a written agreement with the other party to expressly vary their respective rights and obligations under this Code. </w:t>
            </w:r>
          </w:p>
          <w:p w14:paraId="554E63C2" w14:textId="77777777" w:rsidR="00E659B4" w:rsidRPr="002670D0" w:rsidRDefault="00E659B4" w:rsidP="00E659B4">
            <w:pPr>
              <w:pStyle w:val="TableBody"/>
              <w:rPr>
                <w:lang w:val="en-AU"/>
              </w:rPr>
            </w:pPr>
          </w:p>
          <w:p w14:paraId="6E2F1421" w14:textId="5ABBD32F" w:rsidR="00E659B4" w:rsidRPr="00E44522" w:rsidRDefault="00E659B4" w:rsidP="00E659B4">
            <w:pPr>
              <w:pStyle w:val="TableBody"/>
              <w:rPr>
                <w:color w:val="000000"/>
                <w:highlight w:val="yellow"/>
                <w:lang w:val="en-AU"/>
              </w:rPr>
            </w:pPr>
            <w:r w:rsidRPr="006C0CA8">
              <w:rPr>
                <w:b/>
                <w:bCs/>
                <w:lang w:val="en-AU"/>
              </w:rPr>
              <w:t>1.4.2</w:t>
            </w:r>
            <w:r w:rsidRPr="002670D0">
              <w:rPr>
                <w:lang w:val="en-AU"/>
              </w:rPr>
              <w:t xml:space="preserve"> If such an agreement is sought, the </w:t>
            </w:r>
            <w:r w:rsidRPr="0018187C">
              <w:rPr>
                <w:b/>
                <w:bCs/>
                <w:lang w:val="en-AU"/>
              </w:rPr>
              <w:t>public lighting customer</w:t>
            </w:r>
            <w:r w:rsidRPr="002670D0">
              <w:rPr>
                <w:lang w:val="en-AU"/>
              </w:rPr>
              <w:t xml:space="preserve"> and the </w:t>
            </w:r>
            <w:r w:rsidRPr="0018187C">
              <w:rPr>
                <w:b/>
                <w:bCs/>
                <w:lang w:val="en-AU"/>
              </w:rPr>
              <w:t>distributor</w:t>
            </w:r>
            <w:r w:rsidRPr="002670D0">
              <w:rPr>
                <w:lang w:val="en-AU"/>
              </w:rPr>
              <w:t xml:space="preserve"> must negotiate in good faith.</w:t>
            </w:r>
          </w:p>
        </w:tc>
        <w:tc>
          <w:tcPr>
            <w:tcW w:w="7341" w:type="dxa"/>
          </w:tcPr>
          <w:p w14:paraId="7F01CBBE" w14:textId="4E58D32E" w:rsidR="007277EE" w:rsidRDefault="007A2CB5" w:rsidP="00E659B4">
            <w:pPr>
              <w:pStyle w:val="TableBody"/>
              <w:rPr>
                <w:lang w:val="en-AU"/>
              </w:rPr>
            </w:pPr>
            <w:r w:rsidRPr="62027685">
              <w:rPr>
                <w:color w:val="000000" w:themeColor="text1"/>
                <w:lang w:val="en-AU"/>
              </w:rPr>
              <w:t xml:space="preserve">We consider this clause to be </w:t>
            </w:r>
            <w:r w:rsidR="00690B16" w:rsidRPr="62027685">
              <w:rPr>
                <w:color w:val="000000" w:themeColor="text1"/>
                <w:lang w:val="en-AU"/>
              </w:rPr>
              <w:t>redundant or</w:t>
            </w:r>
            <w:r w:rsidRPr="62027685">
              <w:rPr>
                <w:color w:val="000000" w:themeColor="text1"/>
                <w:lang w:val="en-AU"/>
              </w:rPr>
              <w:t xml:space="preserve"> superseded by other regulations</w:t>
            </w:r>
            <w:r w:rsidR="004115F0" w:rsidRPr="62027685">
              <w:rPr>
                <w:color w:val="000000" w:themeColor="text1"/>
                <w:lang w:val="en-AU"/>
              </w:rPr>
              <w:t>.</w:t>
            </w:r>
            <w:r w:rsidR="00F63D61" w:rsidRPr="62027685">
              <w:rPr>
                <w:lang w:val="en-AU"/>
              </w:rPr>
              <w:t xml:space="preserve"> </w:t>
            </w:r>
          </w:p>
          <w:p w14:paraId="751A7315" w14:textId="456D0557" w:rsidR="00E659B4" w:rsidRPr="002670D0" w:rsidRDefault="007277EE" w:rsidP="00E659B4">
            <w:pPr>
              <w:pStyle w:val="TableBody"/>
              <w:rPr>
                <w:b/>
                <w:color w:val="000000"/>
                <w:lang w:val="en-AU"/>
              </w:rPr>
            </w:pPr>
            <w:r>
              <w:rPr>
                <w:lang w:val="en-AU"/>
              </w:rPr>
              <w:t>We note o</w:t>
            </w:r>
            <w:r w:rsidR="00EB7040" w:rsidRPr="62027685">
              <w:rPr>
                <w:lang w:val="en-AU"/>
              </w:rPr>
              <w:t>ther</w:t>
            </w:r>
            <w:r w:rsidR="00EF0D7C" w:rsidRPr="62027685">
              <w:rPr>
                <w:lang w:val="en-AU"/>
              </w:rPr>
              <w:t xml:space="preserve"> provisions </w:t>
            </w:r>
            <w:r w:rsidR="00EB7040" w:rsidRPr="62027685">
              <w:rPr>
                <w:lang w:val="en-AU"/>
              </w:rPr>
              <w:t xml:space="preserve">available </w:t>
            </w:r>
            <w:r w:rsidR="00EF0D7C" w:rsidRPr="62027685">
              <w:rPr>
                <w:lang w:val="en-AU"/>
              </w:rPr>
              <w:t xml:space="preserve">under the Victorian and national framework enable </w:t>
            </w:r>
            <w:r w:rsidR="00153CB5" w:rsidRPr="62027685">
              <w:rPr>
                <w:lang w:val="en-AU"/>
              </w:rPr>
              <w:t xml:space="preserve">agreement </w:t>
            </w:r>
            <w:r w:rsidR="00EF0D7C" w:rsidRPr="62027685">
              <w:rPr>
                <w:lang w:val="en-AU"/>
              </w:rPr>
              <w:t>variations</w:t>
            </w:r>
            <w:r>
              <w:rPr>
                <w:lang w:val="en-AU"/>
              </w:rPr>
              <w:t xml:space="preserve"> such as:</w:t>
            </w:r>
            <w:r w:rsidR="00EF0D7C" w:rsidRPr="62027685">
              <w:rPr>
                <w:lang w:val="en-AU"/>
              </w:rPr>
              <w:t xml:space="preserve"> </w:t>
            </w:r>
          </w:p>
          <w:p w14:paraId="6442A93A" w14:textId="57C964E4" w:rsidR="00151397" w:rsidRDefault="00384544" w:rsidP="00FD7FB5">
            <w:pPr>
              <w:pStyle w:val="TableBody"/>
              <w:numPr>
                <w:ilvl w:val="0"/>
                <w:numId w:val="19"/>
              </w:numPr>
              <w:rPr>
                <w:color w:val="000000"/>
                <w:lang w:val="en-AU"/>
              </w:rPr>
            </w:pPr>
            <w:r>
              <w:rPr>
                <w:color w:val="000000"/>
                <w:lang w:val="en-AU"/>
              </w:rPr>
              <w:t xml:space="preserve">Electricity Distribution Code of Practice clause 1.5 (Permitted variation for large customers) enables </w:t>
            </w:r>
            <w:r w:rsidR="00EF0D7C">
              <w:rPr>
                <w:color w:val="000000"/>
                <w:lang w:val="en-AU"/>
              </w:rPr>
              <w:t xml:space="preserve">distributors and larger customers (such as a public lighting customers) to vary their agreements. </w:t>
            </w:r>
          </w:p>
          <w:p w14:paraId="7CD4A610" w14:textId="0ED71B92" w:rsidR="00151397" w:rsidRDefault="00EF0D7C" w:rsidP="00FD7FB5">
            <w:pPr>
              <w:pStyle w:val="TableBody"/>
              <w:numPr>
                <w:ilvl w:val="0"/>
                <w:numId w:val="19"/>
              </w:numPr>
              <w:rPr>
                <w:color w:val="000000"/>
                <w:lang w:val="en-AU"/>
              </w:rPr>
            </w:pPr>
            <w:r w:rsidRPr="00151397">
              <w:rPr>
                <w:color w:val="000000"/>
                <w:lang w:val="en-AU"/>
              </w:rPr>
              <w:t xml:space="preserve">National Electricity (Victoria) Act 2005, Schedule 2 </w:t>
            </w:r>
            <w:r w:rsidR="00151397">
              <w:rPr>
                <w:color w:val="000000"/>
                <w:lang w:val="en-AU"/>
              </w:rPr>
              <w:t>(</w:t>
            </w:r>
            <w:r w:rsidR="00151397" w:rsidRPr="00151397">
              <w:rPr>
                <w:color w:val="000000"/>
                <w:lang w:val="en-AU"/>
              </w:rPr>
              <w:t xml:space="preserve">which </w:t>
            </w:r>
            <w:r w:rsidR="00151397">
              <w:rPr>
                <w:color w:val="000000"/>
                <w:lang w:val="en-AU"/>
              </w:rPr>
              <w:t>is</w:t>
            </w:r>
            <w:r w:rsidR="00151397" w:rsidRPr="00151397">
              <w:rPr>
                <w:color w:val="000000"/>
                <w:lang w:val="en-AU"/>
              </w:rPr>
              <w:t xml:space="preserve"> the Victorian adoption of the National Electricity Rules, chapter 5A</w:t>
            </w:r>
            <w:r w:rsidR="00151397">
              <w:rPr>
                <w:color w:val="000000"/>
                <w:lang w:val="en-AU"/>
              </w:rPr>
              <w:t xml:space="preserve"> - </w:t>
            </w:r>
            <w:hyperlink r:id="rId9" w:history="1">
              <w:r w:rsidR="00151397" w:rsidRPr="00151397">
                <w:rPr>
                  <w:rStyle w:val="Hyperlink"/>
                  <w:lang w:val="en-AU"/>
                </w:rPr>
                <w:t>Negotiated connection framework</w:t>
              </w:r>
            </w:hyperlink>
            <w:r w:rsidR="00151397" w:rsidRPr="00151397">
              <w:rPr>
                <w:color w:val="000000"/>
                <w:lang w:val="en-AU"/>
              </w:rPr>
              <w:t xml:space="preserve">) </w:t>
            </w:r>
          </w:p>
          <w:p w14:paraId="60A0557D" w14:textId="77777777" w:rsidR="00151397" w:rsidRDefault="00EF0D7C" w:rsidP="00FD7FB5">
            <w:pPr>
              <w:pStyle w:val="TableBody"/>
              <w:numPr>
                <w:ilvl w:val="1"/>
                <w:numId w:val="19"/>
              </w:numPr>
              <w:rPr>
                <w:color w:val="000000"/>
                <w:lang w:val="en-AU"/>
              </w:rPr>
            </w:pPr>
            <w:r w:rsidRPr="00151397">
              <w:rPr>
                <w:color w:val="000000"/>
                <w:lang w:val="en-AU"/>
              </w:rPr>
              <w:t>c</w:t>
            </w:r>
            <w:r w:rsidR="006C29D7" w:rsidRPr="00151397">
              <w:rPr>
                <w:color w:val="000000"/>
                <w:lang w:val="en-AU"/>
              </w:rPr>
              <w:t>lause</w:t>
            </w:r>
            <w:r w:rsidR="0019442B" w:rsidRPr="00151397">
              <w:rPr>
                <w:color w:val="000000"/>
                <w:lang w:val="en-AU"/>
              </w:rPr>
              <w:t>s</w:t>
            </w:r>
            <w:r w:rsidR="006C29D7" w:rsidRPr="00151397">
              <w:rPr>
                <w:color w:val="000000"/>
                <w:lang w:val="en-AU"/>
              </w:rPr>
              <w:t xml:space="preserve"> </w:t>
            </w:r>
            <w:r w:rsidR="0019442B" w:rsidRPr="00151397">
              <w:rPr>
                <w:color w:val="000000"/>
                <w:lang w:val="en-AU"/>
              </w:rPr>
              <w:t xml:space="preserve">5A.C.1 and </w:t>
            </w:r>
            <w:r w:rsidR="00FD7FB5" w:rsidRPr="00151397">
              <w:rPr>
                <w:color w:val="000000"/>
                <w:lang w:val="en-AU"/>
              </w:rPr>
              <w:t>5A.C.3</w:t>
            </w:r>
            <w:r w:rsidR="0019442B" w:rsidRPr="00151397">
              <w:rPr>
                <w:color w:val="000000"/>
                <w:lang w:val="en-AU"/>
              </w:rPr>
              <w:t xml:space="preserve"> </w:t>
            </w:r>
            <w:r w:rsidR="009522D0" w:rsidRPr="00151397">
              <w:rPr>
                <w:color w:val="000000"/>
                <w:lang w:val="en-AU"/>
              </w:rPr>
              <w:t>provides</w:t>
            </w:r>
            <w:r w:rsidR="001E1C49" w:rsidRPr="00151397">
              <w:rPr>
                <w:color w:val="000000"/>
                <w:lang w:val="en-AU"/>
              </w:rPr>
              <w:t xml:space="preserve"> rules for </w:t>
            </w:r>
            <w:r w:rsidR="00FD7FB5" w:rsidRPr="00151397">
              <w:rPr>
                <w:color w:val="000000"/>
                <w:lang w:val="en-AU"/>
              </w:rPr>
              <w:t xml:space="preserve">negotiation between </w:t>
            </w:r>
            <w:r w:rsidR="00153CB5" w:rsidRPr="00151397">
              <w:rPr>
                <w:color w:val="000000"/>
                <w:lang w:val="en-AU"/>
              </w:rPr>
              <w:t>distributors</w:t>
            </w:r>
            <w:r w:rsidR="00D23B04" w:rsidRPr="00151397">
              <w:rPr>
                <w:color w:val="000000"/>
                <w:lang w:val="en-AU"/>
              </w:rPr>
              <w:t xml:space="preserve"> and </w:t>
            </w:r>
            <w:r w:rsidR="00FD7FB5" w:rsidRPr="00151397">
              <w:rPr>
                <w:color w:val="000000"/>
                <w:lang w:val="en-AU"/>
              </w:rPr>
              <w:t>customer</w:t>
            </w:r>
            <w:r w:rsidR="00D23B04" w:rsidRPr="00151397">
              <w:rPr>
                <w:color w:val="000000"/>
                <w:lang w:val="en-AU"/>
              </w:rPr>
              <w:t>s</w:t>
            </w:r>
            <w:r w:rsidR="00FD7FB5" w:rsidRPr="00151397">
              <w:rPr>
                <w:color w:val="000000"/>
                <w:lang w:val="en-AU"/>
              </w:rPr>
              <w:t xml:space="preserve">. </w:t>
            </w:r>
          </w:p>
          <w:p w14:paraId="179D43C0" w14:textId="36053366" w:rsidR="00FD7FB5" w:rsidRPr="00151397" w:rsidRDefault="00F622D0" w:rsidP="00FD7FB5">
            <w:pPr>
              <w:pStyle w:val="TableBody"/>
              <w:numPr>
                <w:ilvl w:val="1"/>
                <w:numId w:val="19"/>
              </w:numPr>
              <w:rPr>
                <w:color w:val="000000"/>
                <w:lang w:val="en-AU"/>
              </w:rPr>
            </w:pPr>
            <w:r w:rsidRPr="00151397">
              <w:rPr>
                <w:color w:val="000000"/>
                <w:lang w:val="en-AU"/>
              </w:rPr>
              <w:t>c</w:t>
            </w:r>
            <w:r w:rsidR="00BC681B" w:rsidRPr="00151397">
              <w:rPr>
                <w:color w:val="000000"/>
                <w:lang w:val="en-AU"/>
              </w:rPr>
              <w:t xml:space="preserve">lause </w:t>
            </w:r>
            <w:r w:rsidR="00FD7FB5" w:rsidRPr="00151397">
              <w:rPr>
                <w:color w:val="000000"/>
                <w:lang w:val="en-AU"/>
              </w:rPr>
              <w:t>5A.C.3(a)(1)</w:t>
            </w:r>
            <w:r w:rsidR="009900DE" w:rsidRPr="00151397">
              <w:rPr>
                <w:color w:val="000000"/>
                <w:lang w:val="en-AU"/>
              </w:rPr>
              <w:t xml:space="preserve"> </w:t>
            </w:r>
            <w:r w:rsidR="00151397">
              <w:rPr>
                <w:color w:val="000000"/>
                <w:lang w:val="en-AU"/>
              </w:rPr>
              <w:t>i</w:t>
            </w:r>
            <w:r w:rsidR="00954D15" w:rsidRPr="00151397">
              <w:rPr>
                <w:color w:val="000000"/>
                <w:lang w:val="en-AU"/>
              </w:rPr>
              <w:t xml:space="preserve">ncludes </w:t>
            </w:r>
            <w:r w:rsidR="00FD7FB5" w:rsidRPr="00151397">
              <w:rPr>
                <w:color w:val="000000"/>
                <w:lang w:val="en-AU"/>
              </w:rPr>
              <w:t xml:space="preserve">good faith provision </w:t>
            </w:r>
            <w:r w:rsidR="00EE1B5D" w:rsidRPr="00151397">
              <w:rPr>
                <w:color w:val="000000"/>
                <w:lang w:val="en-AU"/>
              </w:rPr>
              <w:t>for</w:t>
            </w:r>
            <w:r w:rsidR="00FD7FB5" w:rsidRPr="00151397">
              <w:rPr>
                <w:color w:val="000000"/>
                <w:lang w:val="en-AU"/>
              </w:rPr>
              <w:t xml:space="preserve"> </w:t>
            </w:r>
            <w:r w:rsidR="00FA1047" w:rsidRPr="00151397">
              <w:rPr>
                <w:color w:val="000000"/>
                <w:lang w:val="en-AU"/>
              </w:rPr>
              <w:t>negotiations</w:t>
            </w:r>
            <w:r w:rsidR="00FD7FB5" w:rsidRPr="00151397">
              <w:rPr>
                <w:color w:val="000000"/>
                <w:lang w:val="en-AU"/>
              </w:rPr>
              <w:t>.</w:t>
            </w:r>
          </w:p>
        </w:tc>
      </w:tr>
      <w:tr w:rsidR="00E659B4" w:rsidRPr="00E44522" w14:paraId="70B947D4" w14:textId="77777777" w:rsidTr="00223042">
        <w:trPr>
          <w:cnfStyle w:val="000000010000" w:firstRow="0" w:lastRow="0" w:firstColumn="0" w:lastColumn="0" w:oddVBand="0" w:evenVBand="0" w:oddHBand="0" w:evenHBand="1" w:firstRowFirstColumn="0" w:firstRowLastColumn="0" w:lastRowFirstColumn="0" w:lastRowLastColumn="0"/>
          <w:cantSplit/>
          <w:trHeight w:val="300"/>
        </w:trPr>
        <w:tc>
          <w:tcPr>
            <w:tcW w:w="7371" w:type="dxa"/>
          </w:tcPr>
          <w:p w14:paraId="203D5586" w14:textId="77777777" w:rsidR="00E659B4" w:rsidRPr="006C0CA8" w:rsidRDefault="00E659B4" w:rsidP="00E659B4">
            <w:pPr>
              <w:pStyle w:val="TableBody"/>
              <w:rPr>
                <w:b/>
                <w:lang w:val="en-AU"/>
              </w:rPr>
            </w:pPr>
            <w:r w:rsidRPr="006C0CA8">
              <w:rPr>
                <w:b/>
                <w:lang w:val="en-AU"/>
              </w:rPr>
              <w:lastRenderedPageBreak/>
              <w:t xml:space="preserve">1.5 Amendment of Code </w:t>
            </w:r>
          </w:p>
          <w:p w14:paraId="67A76AB1" w14:textId="77777777" w:rsidR="006C0CA8" w:rsidRPr="006C0CA8" w:rsidRDefault="006C0CA8" w:rsidP="00E659B4">
            <w:pPr>
              <w:pStyle w:val="TableBody"/>
              <w:rPr>
                <w:bCs/>
                <w:lang w:val="en-AU"/>
              </w:rPr>
            </w:pPr>
          </w:p>
          <w:p w14:paraId="67E6109A" w14:textId="77777777" w:rsidR="006C0CA8" w:rsidRPr="006C0CA8" w:rsidRDefault="006C0CA8" w:rsidP="00E659B4">
            <w:pPr>
              <w:pStyle w:val="TableBody"/>
              <w:rPr>
                <w:bCs/>
                <w:lang w:val="en-AU"/>
              </w:rPr>
            </w:pPr>
            <w:r w:rsidRPr="006C0CA8">
              <w:rPr>
                <w:b/>
                <w:lang w:val="en-AU"/>
              </w:rPr>
              <w:t>1.5.1</w:t>
            </w:r>
            <w:r w:rsidRPr="006C0CA8">
              <w:rPr>
                <w:bCs/>
                <w:lang w:val="en-AU"/>
              </w:rPr>
              <w:t xml:space="preserve"> The </w:t>
            </w:r>
            <w:r w:rsidRPr="0018187C">
              <w:rPr>
                <w:b/>
                <w:lang w:val="en-AU"/>
              </w:rPr>
              <w:t>Commission</w:t>
            </w:r>
            <w:r w:rsidRPr="006C0CA8">
              <w:rPr>
                <w:bCs/>
                <w:lang w:val="en-AU"/>
              </w:rPr>
              <w:t xml:space="preserve"> may amend this Code on its own initiative or in response to a proposal by a </w:t>
            </w:r>
            <w:r w:rsidRPr="00492142">
              <w:rPr>
                <w:b/>
                <w:lang w:val="en-AU"/>
              </w:rPr>
              <w:t>distributor</w:t>
            </w:r>
            <w:r w:rsidRPr="006C0CA8">
              <w:rPr>
                <w:bCs/>
                <w:lang w:val="en-AU"/>
              </w:rPr>
              <w:t xml:space="preserve">, a </w:t>
            </w:r>
            <w:r w:rsidRPr="00492142">
              <w:rPr>
                <w:b/>
                <w:lang w:val="en-AU"/>
              </w:rPr>
              <w:t>public lighting customer</w:t>
            </w:r>
            <w:r w:rsidRPr="006C0CA8">
              <w:rPr>
                <w:bCs/>
                <w:lang w:val="en-AU"/>
              </w:rPr>
              <w:t xml:space="preserve"> or other interested persons if it considers the amendment would better achieve the </w:t>
            </w:r>
            <w:r w:rsidRPr="00492142">
              <w:rPr>
                <w:b/>
                <w:lang w:val="en-AU"/>
              </w:rPr>
              <w:t>Commission’s</w:t>
            </w:r>
            <w:r w:rsidRPr="006C0CA8">
              <w:rPr>
                <w:bCs/>
                <w:lang w:val="en-AU"/>
              </w:rPr>
              <w:t xml:space="preserve"> objective in the Essential Services Commission Act 2001(Vic) or the </w:t>
            </w:r>
            <w:r w:rsidRPr="00492142">
              <w:rPr>
                <w:b/>
                <w:lang w:val="en-AU"/>
              </w:rPr>
              <w:t>Act</w:t>
            </w:r>
            <w:r w:rsidRPr="006C0CA8">
              <w:rPr>
                <w:bCs/>
                <w:lang w:val="en-AU"/>
              </w:rPr>
              <w:t xml:space="preserve"> or any relevant statement of government policy. </w:t>
            </w:r>
          </w:p>
          <w:p w14:paraId="2DE92AE0" w14:textId="77777777" w:rsidR="006C0CA8" w:rsidRPr="006C0CA8" w:rsidRDefault="006C0CA8" w:rsidP="00E659B4">
            <w:pPr>
              <w:pStyle w:val="TableBody"/>
              <w:rPr>
                <w:bCs/>
                <w:lang w:val="en-AU"/>
              </w:rPr>
            </w:pPr>
          </w:p>
          <w:p w14:paraId="657D6F90" w14:textId="77777777" w:rsidR="006C0CA8" w:rsidRPr="006C0CA8" w:rsidRDefault="006C0CA8" w:rsidP="00E659B4">
            <w:pPr>
              <w:pStyle w:val="TableBody"/>
              <w:rPr>
                <w:bCs/>
                <w:lang w:val="en-AU"/>
              </w:rPr>
            </w:pPr>
            <w:r w:rsidRPr="006C0CA8">
              <w:rPr>
                <w:b/>
                <w:lang w:val="en-AU"/>
              </w:rPr>
              <w:t>1.5.2</w:t>
            </w:r>
            <w:r w:rsidRPr="006C0CA8">
              <w:rPr>
                <w:bCs/>
                <w:lang w:val="en-AU"/>
              </w:rPr>
              <w:t xml:space="preserve"> The </w:t>
            </w:r>
            <w:r w:rsidRPr="00215E00">
              <w:rPr>
                <w:b/>
                <w:lang w:val="en-AU"/>
              </w:rPr>
              <w:t>Commission</w:t>
            </w:r>
            <w:r w:rsidRPr="006C0CA8">
              <w:rPr>
                <w:bCs/>
                <w:lang w:val="en-AU"/>
              </w:rPr>
              <w:t xml:space="preserve"> will effect an amendment by applying the </w:t>
            </w:r>
            <w:r w:rsidRPr="00215E00">
              <w:rPr>
                <w:b/>
                <w:lang w:val="en-AU"/>
              </w:rPr>
              <w:t>Commission’s</w:t>
            </w:r>
            <w:r w:rsidRPr="006C0CA8">
              <w:rPr>
                <w:bCs/>
                <w:lang w:val="en-AU"/>
              </w:rPr>
              <w:t xml:space="preserve"> common seal to a document detailing the amendment. </w:t>
            </w:r>
          </w:p>
          <w:p w14:paraId="30FE2852" w14:textId="77777777" w:rsidR="006C0CA8" w:rsidRPr="006C0CA8" w:rsidRDefault="006C0CA8" w:rsidP="00E659B4">
            <w:pPr>
              <w:pStyle w:val="TableBody"/>
              <w:rPr>
                <w:bCs/>
                <w:lang w:val="en-AU"/>
              </w:rPr>
            </w:pPr>
          </w:p>
          <w:p w14:paraId="116885B0" w14:textId="77777777" w:rsidR="006C0CA8" w:rsidRDefault="006C0CA8" w:rsidP="00E659B4">
            <w:pPr>
              <w:pStyle w:val="TableBody"/>
              <w:rPr>
                <w:bCs/>
                <w:lang w:val="en-AU"/>
              </w:rPr>
            </w:pPr>
            <w:r w:rsidRPr="006C0CA8">
              <w:rPr>
                <w:b/>
                <w:lang w:val="en-AU"/>
              </w:rPr>
              <w:t>1.5.3</w:t>
            </w:r>
            <w:r w:rsidRPr="006C0CA8">
              <w:rPr>
                <w:bCs/>
                <w:lang w:val="en-AU"/>
              </w:rPr>
              <w:t xml:space="preserve"> Unless the </w:t>
            </w:r>
            <w:r w:rsidRPr="00215E00">
              <w:rPr>
                <w:b/>
                <w:lang w:val="en-AU"/>
              </w:rPr>
              <w:t>Commission</w:t>
            </w:r>
            <w:r w:rsidRPr="006C0CA8">
              <w:rPr>
                <w:bCs/>
                <w:lang w:val="en-AU"/>
              </w:rPr>
              <w:t xml:space="preserve"> is satisfied on reasonable grounds that an amendment is urgently required, the </w:t>
            </w:r>
            <w:r w:rsidRPr="00215E00">
              <w:rPr>
                <w:b/>
                <w:lang w:val="en-AU"/>
              </w:rPr>
              <w:t>Commission</w:t>
            </w:r>
            <w:r w:rsidRPr="006C0CA8">
              <w:rPr>
                <w:bCs/>
                <w:lang w:val="en-AU"/>
              </w:rPr>
              <w:t xml:space="preserve"> will not amend this Code unless and until: </w:t>
            </w:r>
          </w:p>
          <w:p w14:paraId="575BF16B" w14:textId="77777777" w:rsidR="006C0CA8" w:rsidRDefault="006C0CA8" w:rsidP="006C0CA8">
            <w:pPr>
              <w:pStyle w:val="TableBody"/>
              <w:ind w:left="720"/>
              <w:rPr>
                <w:bCs/>
                <w:lang w:val="en-AU"/>
              </w:rPr>
            </w:pPr>
            <w:r w:rsidRPr="003B45C1">
              <w:rPr>
                <w:bCs/>
                <w:lang w:val="en-AU"/>
              </w:rPr>
              <w:t>(a)</w:t>
            </w:r>
            <w:r w:rsidRPr="006C0CA8">
              <w:rPr>
                <w:bCs/>
                <w:lang w:val="en-AU"/>
              </w:rPr>
              <w:t xml:space="preserve"> all </w:t>
            </w:r>
            <w:r w:rsidRPr="00215E00">
              <w:rPr>
                <w:b/>
                <w:lang w:val="en-AU"/>
              </w:rPr>
              <w:t>distributors</w:t>
            </w:r>
            <w:r w:rsidRPr="006C0CA8">
              <w:rPr>
                <w:bCs/>
                <w:lang w:val="en-AU"/>
              </w:rPr>
              <w:t xml:space="preserve">, all </w:t>
            </w:r>
            <w:r w:rsidRPr="00215E00">
              <w:rPr>
                <w:b/>
                <w:lang w:val="en-AU"/>
              </w:rPr>
              <w:t>public lighting customers</w:t>
            </w:r>
            <w:r w:rsidRPr="006C0CA8">
              <w:rPr>
                <w:bCs/>
                <w:lang w:val="en-AU"/>
              </w:rPr>
              <w:t xml:space="preserve"> and other interested persons have been given a reasonable opportunity to make representations to the </w:t>
            </w:r>
            <w:r w:rsidRPr="00215E00">
              <w:rPr>
                <w:b/>
                <w:lang w:val="en-AU"/>
              </w:rPr>
              <w:t>Commission</w:t>
            </w:r>
            <w:r w:rsidRPr="006C0CA8">
              <w:rPr>
                <w:bCs/>
                <w:lang w:val="en-AU"/>
              </w:rPr>
              <w:t xml:space="preserve"> concerning the amendment; and </w:t>
            </w:r>
          </w:p>
          <w:p w14:paraId="1F776938" w14:textId="71DD7199" w:rsidR="006C0CA8" w:rsidRPr="006C0CA8" w:rsidRDefault="006C0CA8" w:rsidP="006C0CA8">
            <w:pPr>
              <w:pStyle w:val="TableBody"/>
              <w:ind w:left="720"/>
              <w:rPr>
                <w:bCs/>
                <w:lang w:val="en-AU"/>
              </w:rPr>
            </w:pPr>
            <w:r w:rsidRPr="003B45C1">
              <w:rPr>
                <w:bCs/>
                <w:lang w:val="en-AU"/>
              </w:rPr>
              <w:t>(b)</w:t>
            </w:r>
            <w:r w:rsidRPr="006C0CA8">
              <w:rPr>
                <w:bCs/>
                <w:lang w:val="en-AU"/>
              </w:rPr>
              <w:t xml:space="preserve"> those representations have been taken into account. </w:t>
            </w:r>
          </w:p>
          <w:p w14:paraId="47581808" w14:textId="77777777" w:rsidR="006C0CA8" w:rsidRPr="006C0CA8" w:rsidRDefault="006C0CA8" w:rsidP="00E659B4">
            <w:pPr>
              <w:pStyle w:val="TableBody"/>
              <w:rPr>
                <w:bCs/>
                <w:lang w:val="en-AU"/>
              </w:rPr>
            </w:pPr>
          </w:p>
          <w:p w14:paraId="793F7874" w14:textId="77777777" w:rsidR="006C0CA8" w:rsidRPr="006C0CA8" w:rsidRDefault="006C0CA8" w:rsidP="00E659B4">
            <w:pPr>
              <w:pStyle w:val="TableBody"/>
              <w:rPr>
                <w:bCs/>
                <w:lang w:val="en-AU"/>
              </w:rPr>
            </w:pPr>
            <w:r w:rsidRPr="006C0CA8">
              <w:rPr>
                <w:b/>
                <w:lang w:val="en-AU"/>
              </w:rPr>
              <w:t>1.</w:t>
            </w:r>
            <w:r w:rsidRPr="00954F32">
              <w:rPr>
                <w:b/>
                <w:lang w:val="en-AU"/>
              </w:rPr>
              <w:t>5.4</w:t>
            </w:r>
            <w:r w:rsidRPr="00954F32">
              <w:rPr>
                <w:bCs/>
                <w:lang w:val="en-AU"/>
              </w:rPr>
              <w:t xml:space="preserve"> The date specified on the amendment must not be earlier than the date on which the amendment is made without prior agreement from </w:t>
            </w:r>
            <w:r w:rsidRPr="00954F32">
              <w:rPr>
                <w:b/>
                <w:lang w:val="en-AU"/>
              </w:rPr>
              <w:t>distributors</w:t>
            </w:r>
            <w:r w:rsidRPr="00954F32">
              <w:rPr>
                <w:bCs/>
                <w:lang w:val="en-AU"/>
              </w:rPr>
              <w:t xml:space="preserve"> and </w:t>
            </w:r>
            <w:r w:rsidRPr="00954F32">
              <w:rPr>
                <w:b/>
                <w:lang w:val="en-AU"/>
              </w:rPr>
              <w:t>public lighting customers</w:t>
            </w:r>
            <w:r w:rsidRPr="00954F32">
              <w:rPr>
                <w:bCs/>
                <w:lang w:val="en-AU"/>
              </w:rPr>
              <w:t>.</w:t>
            </w:r>
            <w:r w:rsidRPr="006C0CA8">
              <w:rPr>
                <w:bCs/>
                <w:lang w:val="en-AU"/>
              </w:rPr>
              <w:t xml:space="preserve"> </w:t>
            </w:r>
          </w:p>
          <w:p w14:paraId="0EB24CFE" w14:textId="77777777" w:rsidR="006C0CA8" w:rsidRPr="006C0CA8" w:rsidRDefault="006C0CA8" w:rsidP="00E659B4">
            <w:pPr>
              <w:pStyle w:val="TableBody"/>
              <w:rPr>
                <w:bCs/>
                <w:lang w:val="en-AU"/>
              </w:rPr>
            </w:pPr>
          </w:p>
          <w:p w14:paraId="1C37D69F" w14:textId="77777777" w:rsidR="00E659B4" w:rsidRDefault="006C0CA8" w:rsidP="00E659B4">
            <w:pPr>
              <w:pStyle w:val="TableBody"/>
              <w:rPr>
                <w:bCs/>
                <w:lang w:val="en-AU"/>
              </w:rPr>
            </w:pPr>
            <w:r w:rsidRPr="006C0CA8">
              <w:rPr>
                <w:b/>
                <w:lang w:val="en-AU"/>
              </w:rPr>
              <w:t>1.5.5</w:t>
            </w:r>
            <w:r w:rsidRPr="006C0CA8">
              <w:rPr>
                <w:bCs/>
                <w:lang w:val="en-AU"/>
              </w:rPr>
              <w:t xml:space="preserve"> The </w:t>
            </w:r>
            <w:r w:rsidRPr="000C74C8">
              <w:rPr>
                <w:b/>
                <w:lang w:val="en-AU"/>
              </w:rPr>
              <w:t>Commission</w:t>
            </w:r>
            <w:r w:rsidRPr="006C0CA8">
              <w:rPr>
                <w:bCs/>
                <w:lang w:val="en-AU"/>
              </w:rPr>
              <w:t xml:space="preserve"> will notify all </w:t>
            </w:r>
            <w:r w:rsidRPr="000C74C8">
              <w:rPr>
                <w:b/>
                <w:lang w:val="en-AU"/>
              </w:rPr>
              <w:t>distributors</w:t>
            </w:r>
            <w:r w:rsidRPr="006C0CA8">
              <w:rPr>
                <w:bCs/>
                <w:lang w:val="en-AU"/>
              </w:rPr>
              <w:t xml:space="preserve">, </w:t>
            </w:r>
            <w:r w:rsidRPr="000C74C8">
              <w:rPr>
                <w:b/>
                <w:lang w:val="en-AU"/>
              </w:rPr>
              <w:t>all public lighting customers</w:t>
            </w:r>
            <w:r w:rsidRPr="006C0CA8">
              <w:rPr>
                <w:bCs/>
                <w:lang w:val="en-AU"/>
              </w:rPr>
              <w:t xml:space="preserve"> and other interested persons of any amendment the </w:t>
            </w:r>
            <w:r w:rsidRPr="000C74C8">
              <w:rPr>
                <w:b/>
                <w:lang w:val="en-AU"/>
              </w:rPr>
              <w:t>Commission</w:t>
            </w:r>
            <w:r w:rsidRPr="006C0CA8">
              <w:rPr>
                <w:bCs/>
                <w:lang w:val="en-AU"/>
              </w:rPr>
              <w:t xml:space="preserve"> makes to this Code.</w:t>
            </w:r>
          </w:p>
          <w:p w14:paraId="6EA741EA" w14:textId="77777777" w:rsidR="00E14963" w:rsidRDefault="00E14963" w:rsidP="00E659B4">
            <w:pPr>
              <w:pStyle w:val="TableBody"/>
              <w:rPr>
                <w:bCs/>
                <w:lang w:val="en-AU"/>
              </w:rPr>
            </w:pPr>
          </w:p>
          <w:p w14:paraId="78D62592" w14:textId="77777777" w:rsidR="00E14963" w:rsidRDefault="00E14963" w:rsidP="00E659B4">
            <w:pPr>
              <w:pStyle w:val="TableBody"/>
              <w:rPr>
                <w:bCs/>
                <w:lang w:val="en-AU"/>
              </w:rPr>
            </w:pPr>
          </w:p>
          <w:p w14:paraId="34BC32F7" w14:textId="77777777" w:rsidR="00E14963" w:rsidRDefault="00E14963" w:rsidP="00E659B4">
            <w:pPr>
              <w:pStyle w:val="TableBody"/>
              <w:rPr>
                <w:bCs/>
                <w:lang w:val="en-AU"/>
              </w:rPr>
            </w:pPr>
          </w:p>
          <w:p w14:paraId="065A04A4" w14:textId="77777777" w:rsidR="00E14963" w:rsidRDefault="00E14963" w:rsidP="00E659B4">
            <w:pPr>
              <w:pStyle w:val="TableBody"/>
              <w:rPr>
                <w:bCs/>
                <w:lang w:val="en-AU"/>
              </w:rPr>
            </w:pPr>
          </w:p>
          <w:p w14:paraId="6F9F246B" w14:textId="77777777" w:rsidR="00E14963" w:rsidRDefault="00E14963" w:rsidP="00E659B4">
            <w:pPr>
              <w:pStyle w:val="TableBody"/>
              <w:rPr>
                <w:bCs/>
                <w:lang w:val="en-AU"/>
              </w:rPr>
            </w:pPr>
          </w:p>
          <w:p w14:paraId="1F73A6D8" w14:textId="12FCFE3E" w:rsidR="00E14963" w:rsidRPr="006C0CA8" w:rsidRDefault="00E14963" w:rsidP="00E659B4">
            <w:pPr>
              <w:pStyle w:val="TableBody"/>
              <w:rPr>
                <w:bCs/>
              </w:rPr>
            </w:pPr>
          </w:p>
        </w:tc>
        <w:tc>
          <w:tcPr>
            <w:tcW w:w="7341" w:type="dxa"/>
          </w:tcPr>
          <w:p w14:paraId="32D47A8C" w14:textId="77777777" w:rsidR="00E659B4" w:rsidRPr="00E44522" w:rsidRDefault="00E659B4" w:rsidP="00E659B4">
            <w:pPr>
              <w:pStyle w:val="TableBody"/>
              <w:rPr>
                <w:b/>
                <w:highlight w:val="yellow"/>
              </w:rPr>
            </w:pPr>
          </w:p>
          <w:p w14:paraId="1C6E0AAD" w14:textId="77777777" w:rsidR="00E659B4" w:rsidRPr="00E44522" w:rsidRDefault="00E659B4" w:rsidP="00E659B4">
            <w:pPr>
              <w:pStyle w:val="TableBody"/>
              <w:rPr>
                <w:b/>
                <w:highlight w:val="yellow"/>
              </w:rPr>
            </w:pPr>
          </w:p>
          <w:p w14:paraId="1FFB3A7E" w14:textId="7A30C996" w:rsidR="00FA1008" w:rsidRDefault="00A01B9C" w:rsidP="00E659B4">
            <w:pPr>
              <w:pStyle w:val="TableBody"/>
            </w:pPr>
            <w:r w:rsidRPr="00A01B9C">
              <w:t xml:space="preserve">We consider this clause to be </w:t>
            </w:r>
            <w:r w:rsidR="00690B16" w:rsidRPr="00A01B9C">
              <w:t>redundant or</w:t>
            </w:r>
            <w:r w:rsidRPr="00A01B9C">
              <w:t xml:space="preserve"> superseded by other regulations</w:t>
            </w:r>
            <w:r w:rsidR="002C609D">
              <w:t>.</w:t>
            </w:r>
          </w:p>
          <w:p w14:paraId="3B67FB68" w14:textId="77777777" w:rsidR="002E399E" w:rsidRDefault="002E399E" w:rsidP="00E659B4">
            <w:pPr>
              <w:pStyle w:val="TableBody"/>
            </w:pPr>
          </w:p>
          <w:p w14:paraId="76D6E1EF" w14:textId="47814849" w:rsidR="00E659B4" w:rsidRDefault="00153CB5" w:rsidP="00E659B4">
            <w:pPr>
              <w:pStyle w:val="TableBody"/>
            </w:pPr>
            <w:r>
              <w:t xml:space="preserve">For the Victorian framework, where </w:t>
            </w:r>
            <w:r w:rsidR="006C0CA8">
              <w:t xml:space="preserve">provisions </w:t>
            </w:r>
            <w:r>
              <w:t>are transferred t</w:t>
            </w:r>
            <w:r w:rsidR="006C0CA8">
              <w:t xml:space="preserve">o other codes of practice, </w:t>
            </w:r>
            <w:hyperlink r:id="rId10" w:history="1">
              <w:r w:rsidR="006C0CA8" w:rsidRPr="00D10F6B">
                <w:rPr>
                  <w:rStyle w:val="Hyperlink"/>
                </w:rPr>
                <w:t>the rules about amending that co</w:t>
              </w:r>
              <w:r w:rsidR="00030F62">
                <w:rPr>
                  <w:rStyle w:val="Hyperlink"/>
                </w:rPr>
                <w:t>de of practice</w:t>
              </w:r>
            </w:hyperlink>
            <w:r w:rsidR="006C0CA8">
              <w:t xml:space="preserve"> will relate to the </w:t>
            </w:r>
            <w:r>
              <w:t>transferred</w:t>
            </w:r>
            <w:r w:rsidR="006C0CA8">
              <w:t xml:space="preserve"> provision. </w:t>
            </w:r>
          </w:p>
          <w:p w14:paraId="0C027B89" w14:textId="77777777" w:rsidR="00FA1047" w:rsidRDefault="00FA1047" w:rsidP="00E659B4">
            <w:pPr>
              <w:pStyle w:val="TableBody"/>
              <w:rPr>
                <w:highlight w:val="yellow"/>
              </w:rPr>
            </w:pPr>
          </w:p>
          <w:p w14:paraId="6A9BA942" w14:textId="25C097C0" w:rsidR="00FA1047" w:rsidRPr="00E44522" w:rsidRDefault="00153CB5" w:rsidP="00E659B4">
            <w:pPr>
              <w:pStyle w:val="TableBody"/>
              <w:rPr>
                <w:highlight w:val="yellow"/>
              </w:rPr>
            </w:pPr>
            <w:r>
              <w:t>For the national framework, s</w:t>
            </w:r>
            <w:r w:rsidR="00FA1047" w:rsidRPr="00FA1047">
              <w:t xml:space="preserve">takeholders may </w:t>
            </w:r>
            <w:r w:rsidR="003125BE">
              <w:t>consider</w:t>
            </w:r>
            <w:r w:rsidR="00FA1047" w:rsidRPr="00FA1047">
              <w:t xml:space="preserve"> </w:t>
            </w:r>
            <w:r w:rsidR="003125BE">
              <w:t xml:space="preserve">the </w:t>
            </w:r>
            <w:r w:rsidR="00FA1047" w:rsidRPr="00FA1047">
              <w:t>N</w:t>
            </w:r>
            <w:r w:rsidR="00B9507B">
              <w:t xml:space="preserve">ational </w:t>
            </w:r>
            <w:r w:rsidR="00B9507B" w:rsidRPr="00FA1047">
              <w:t>E</w:t>
            </w:r>
            <w:r w:rsidR="00B9507B">
              <w:t xml:space="preserve">lectricity </w:t>
            </w:r>
            <w:r w:rsidR="00FA1047" w:rsidRPr="00FA1047">
              <w:t>R</w:t>
            </w:r>
            <w:r w:rsidR="00B9507B">
              <w:t>ule</w:t>
            </w:r>
            <w:r w:rsidR="00FA1047" w:rsidRPr="00FA1047">
              <w:t xml:space="preserve"> rules changes through the </w:t>
            </w:r>
            <w:hyperlink r:id="rId11" w:history="1">
              <w:r w:rsidR="00FA1047" w:rsidRPr="001E3D70">
                <w:rPr>
                  <w:rStyle w:val="Hyperlink"/>
                </w:rPr>
                <w:t>AEMC</w:t>
              </w:r>
              <w:r w:rsidR="00B9507B" w:rsidRPr="001E3D70">
                <w:rPr>
                  <w:rStyle w:val="Hyperlink"/>
                </w:rPr>
                <w:t xml:space="preserve">’s rule </w:t>
              </w:r>
              <w:r w:rsidR="001E3D70" w:rsidRPr="001E3D70">
                <w:rPr>
                  <w:rStyle w:val="Hyperlink"/>
                </w:rPr>
                <w:t>change</w:t>
              </w:r>
              <w:r w:rsidR="00FA1047" w:rsidRPr="001E3D70">
                <w:rPr>
                  <w:rStyle w:val="Hyperlink"/>
                </w:rPr>
                <w:t xml:space="preserve"> process</w:t>
              </w:r>
            </w:hyperlink>
            <w:r w:rsidR="00FA1047" w:rsidRPr="00FA1047">
              <w:t>.</w:t>
            </w:r>
          </w:p>
        </w:tc>
      </w:tr>
      <w:tr w:rsidR="00316352" w:rsidRPr="00E44522" w14:paraId="3A088EC2" w14:textId="77777777" w:rsidTr="00223042">
        <w:trPr>
          <w:cnfStyle w:val="000000100000" w:firstRow="0" w:lastRow="0" w:firstColumn="0" w:lastColumn="0" w:oddVBand="0" w:evenVBand="0" w:oddHBand="1" w:evenHBand="0" w:firstRowFirstColumn="0" w:firstRowLastColumn="0" w:lastRowFirstColumn="0" w:lastRowLastColumn="0"/>
          <w:cantSplit/>
          <w:trHeight w:val="300"/>
        </w:trPr>
        <w:tc>
          <w:tcPr>
            <w:tcW w:w="14712" w:type="dxa"/>
            <w:gridSpan w:val="2"/>
            <w:vAlign w:val="center"/>
          </w:tcPr>
          <w:p w14:paraId="27105E90" w14:textId="1C14B874" w:rsidR="00316352" w:rsidRPr="00E44522" w:rsidRDefault="00316352" w:rsidP="00316352">
            <w:pPr>
              <w:pStyle w:val="TableBody"/>
              <w:jc w:val="center"/>
              <w:rPr>
                <w:b/>
                <w:highlight w:val="yellow"/>
              </w:rPr>
            </w:pPr>
            <w:r w:rsidRPr="00F90E93">
              <w:rPr>
                <w:b/>
              </w:rPr>
              <w:lastRenderedPageBreak/>
              <w:t>2</w:t>
            </w:r>
            <w:r w:rsidR="00F90E93" w:rsidRPr="00F90E93">
              <w:rPr>
                <w:b/>
              </w:rPr>
              <w:t xml:space="preserve">. </w:t>
            </w:r>
            <w:r w:rsidR="00131D0F" w:rsidRPr="00131D0F">
              <w:rPr>
                <w:b/>
              </w:rPr>
              <w:t>ASSET MANAGEMENT</w:t>
            </w:r>
          </w:p>
        </w:tc>
      </w:tr>
      <w:tr w:rsidR="00316352" w:rsidRPr="00E44522" w14:paraId="0F1F59BE" w14:textId="77777777" w:rsidTr="00223042">
        <w:trPr>
          <w:cnfStyle w:val="000000010000" w:firstRow="0" w:lastRow="0" w:firstColumn="0" w:lastColumn="0" w:oddVBand="0" w:evenVBand="0" w:oddHBand="0" w:evenHBand="1" w:firstRowFirstColumn="0" w:firstRowLastColumn="0" w:lastRowFirstColumn="0" w:lastRowLastColumn="0"/>
          <w:cantSplit/>
          <w:trHeight w:val="300"/>
        </w:trPr>
        <w:tc>
          <w:tcPr>
            <w:tcW w:w="7371" w:type="dxa"/>
          </w:tcPr>
          <w:p w14:paraId="2D94977D" w14:textId="77777777" w:rsidR="00316352" w:rsidRDefault="005B1964" w:rsidP="00CB316D">
            <w:pPr>
              <w:pStyle w:val="TableBody"/>
              <w:rPr>
                <w:b/>
                <w:lang w:val="en-AU"/>
              </w:rPr>
            </w:pPr>
            <w:r w:rsidRPr="005B1964">
              <w:rPr>
                <w:b/>
                <w:lang w:val="en-AU"/>
              </w:rPr>
              <w:t>2.1 Good asset management</w:t>
            </w:r>
          </w:p>
          <w:p w14:paraId="51DAA383" w14:textId="74A5ACAE" w:rsidR="00031538" w:rsidRDefault="00F3617D" w:rsidP="00CB316D">
            <w:pPr>
              <w:pStyle w:val="Pull-out"/>
              <w:spacing w:before="0" w:line="240" w:lineRule="auto"/>
              <w:ind w:left="0" w:right="0"/>
            </w:pPr>
            <w:r w:rsidRPr="00EB7EC8">
              <w:rPr>
                <w:b/>
                <w:bCs/>
              </w:rPr>
              <w:t>EXPLANATORY NOTE</w:t>
            </w:r>
            <w:r w:rsidRPr="00EB7EC8">
              <w:t xml:space="preserve">: This clause defines elements of good asset management which are designed to encourage innovation in the provision of </w:t>
            </w:r>
            <w:r w:rsidRPr="00EB7EC8">
              <w:rPr>
                <w:b/>
                <w:bCs/>
              </w:rPr>
              <w:t>public lighting</w:t>
            </w:r>
            <w:r w:rsidRPr="00EB7EC8">
              <w:t xml:space="preserve"> services and not prescribe </w:t>
            </w:r>
            <w:r w:rsidRPr="00EB7EC8">
              <w:rPr>
                <w:b/>
                <w:bCs/>
              </w:rPr>
              <w:t>distributor</w:t>
            </w:r>
            <w:r w:rsidRPr="00EB7EC8">
              <w:t xml:space="preserve">’s practices in detail. The </w:t>
            </w:r>
            <w:r w:rsidRPr="00EB7EC8">
              <w:rPr>
                <w:b/>
                <w:bCs/>
              </w:rPr>
              <w:t>Commission</w:t>
            </w:r>
            <w:r w:rsidRPr="00EB7EC8">
              <w:t xml:space="preserve"> may, however, undertake detailed examination of a </w:t>
            </w:r>
            <w:r w:rsidRPr="00EB7EC8">
              <w:rPr>
                <w:b/>
                <w:bCs/>
              </w:rPr>
              <w:t>distributor</w:t>
            </w:r>
            <w:r w:rsidRPr="00EB7EC8">
              <w:t>’s practices if there is a substantial decline in the quality or reliability of services or evidence of a significant risk that such a decline may occur in the future when compared to the licensee’s historical performance and its performance targets.</w:t>
            </w:r>
          </w:p>
          <w:p w14:paraId="05A4B0F5" w14:textId="77777777" w:rsidR="002B1BD9" w:rsidRDefault="002B1BD9" w:rsidP="00CB316D">
            <w:pPr>
              <w:spacing w:before="0" w:line="240" w:lineRule="auto"/>
            </w:pPr>
            <w:r>
              <w:t xml:space="preserve">A </w:t>
            </w:r>
            <w:r w:rsidRPr="000C74C8">
              <w:rPr>
                <w:b/>
                <w:bCs/>
              </w:rPr>
              <w:t>distributor</w:t>
            </w:r>
            <w:r>
              <w:t xml:space="preserve"> must use best endeavours to: </w:t>
            </w:r>
          </w:p>
          <w:p w14:paraId="23BFACDF" w14:textId="3CE862D7" w:rsidR="002B1BD9" w:rsidRDefault="002B1BD9" w:rsidP="00CB316D">
            <w:pPr>
              <w:spacing w:before="0" w:line="240" w:lineRule="auto"/>
            </w:pPr>
            <w:r>
              <w:t xml:space="preserve">(a) record the type, </w:t>
            </w:r>
            <w:r w:rsidRPr="000C74C8">
              <w:rPr>
                <w:b/>
                <w:bCs/>
              </w:rPr>
              <w:t>rated power</w:t>
            </w:r>
            <w:r>
              <w:t xml:space="preserve"> and location of its </w:t>
            </w:r>
            <w:r w:rsidRPr="000C74C8">
              <w:rPr>
                <w:b/>
                <w:bCs/>
              </w:rPr>
              <w:t>luminaires</w:t>
            </w:r>
            <w:r>
              <w:t xml:space="preserve"> and identify the relevant </w:t>
            </w:r>
            <w:r w:rsidRPr="000C74C8">
              <w:rPr>
                <w:b/>
                <w:bCs/>
              </w:rPr>
              <w:t>public lighting customer(s)</w:t>
            </w:r>
            <w:r>
              <w:t xml:space="preserve"> for each </w:t>
            </w:r>
            <w:r w:rsidRPr="000C74C8">
              <w:rPr>
                <w:b/>
                <w:bCs/>
              </w:rPr>
              <w:t>luminaire</w:t>
            </w:r>
            <w:r>
              <w:t>;</w:t>
            </w:r>
          </w:p>
          <w:p w14:paraId="0B579ADE" w14:textId="77777777" w:rsidR="002B1BD9" w:rsidRDefault="002B1BD9" w:rsidP="00CB316D">
            <w:pPr>
              <w:spacing w:before="0" w:line="240" w:lineRule="auto"/>
            </w:pPr>
            <w:r>
              <w:t xml:space="preserve">(b) assess and monitor the condition and performance of </w:t>
            </w:r>
            <w:r w:rsidRPr="00C61440">
              <w:rPr>
                <w:b/>
                <w:bCs/>
              </w:rPr>
              <w:t>public lighting assets</w:t>
            </w:r>
            <w:r>
              <w:t>;</w:t>
            </w:r>
          </w:p>
          <w:p w14:paraId="464E3379" w14:textId="09204F23" w:rsidR="002B1BD9" w:rsidRDefault="002B1BD9" w:rsidP="00CB316D">
            <w:pPr>
              <w:spacing w:before="0" w:line="240" w:lineRule="auto"/>
            </w:pPr>
            <w:r>
              <w:t>(c) develop and implement plans for the operation, maintenance, refurbishment, replacement, repair and disposal of its public lighting assets:</w:t>
            </w:r>
          </w:p>
          <w:p w14:paraId="5ADF1542" w14:textId="5FAFFEE8" w:rsidR="002B1BD9" w:rsidRDefault="002B1BD9" w:rsidP="001E3E57">
            <w:pPr>
              <w:pStyle w:val="ListParagraph"/>
              <w:numPr>
                <w:ilvl w:val="0"/>
                <w:numId w:val="12"/>
              </w:numPr>
              <w:spacing w:before="0" w:line="240" w:lineRule="auto"/>
            </w:pPr>
            <w:r>
              <w:t xml:space="preserve">to comply with the laws and other performance obligations which apply to the provision of </w:t>
            </w:r>
            <w:r w:rsidRPr="003D7674">
              <w:rPr>
                <w:b/>
                <w:bCs/>
              </w:rPr>
              <w:t>public lighting services</w:t>
            </w:r>
            <w:r>
              <w:t xml:space="preserve"> including those</w:t>
            </w:r>
            <w:r w:rsidR="000B3DF0">
              <w:t xml:space="preserve"> </w:t>
            </w:r>
            <w:r>
              <w:t xml:space="preserve">contained or referred to in this Code; </w:t>
            </w:r>
          </w:p>
          <w:p w14:paraId="0B9ACD47" w14:textId="3066C5C5" w:rsidR="002B1BD9" w:rsidRDefault="002B1BD9" w:rsidP="001E3E57">
            <w:pPr>
              <w:pStyle w:val="ListParagraph"/>
              <w:numPr>
                <w:ilvl w:val="0"/>
                <w:numId w:val="12"/>
              </w:numPr>
              <w:spacing w:before="0" w:line="240" w:lineRule="auto"/>
            </w:pPr>
            <w:r>
              <w:t xml:space="preserve">to minimise the risks associated with the failure or reduced performance of </w:t>
            </w:r>
            <w:r w:rsidRPr="003D7674">
              <w:rPr>
                <w:b/>
                <w:bCs/>
              </w:rPr>
              <w:t>public lighting assets</w:t>
            </w:r>
            <w:r>
              <w:t xml:space="preserve">; and </w:t>
            </w:r>
          </w:p>
          <w:p w14:paraId="2EC509D7" w14:textId="3AA6EF7D" w:rsidR="00F3617D" w:rsidRPr="00EB7EC8" w:rsidRDefault="002B1BD9" w:rsidP="001E3E57">
            <w:pPr>
              <w:pStyle w:val="ListParagraph"/>
              <w:numPr>
                <w:ilvl w:val="0"/>
                <w:numId w:val="12"/>
              </w:numPr>
              <w:spacing w:before="0" w:line="240" w:lineRule="auto"/>
            </w:pPr>
            <w:r>
              <w:t xml:space="preserve">in a way which minimises costs to </w:t>
            </w:r>
            <w:r w:rsidRPr="003D7674">
              <w:rPr>
                <w:b/>
                <w:bCs/>
              </w:rPr>
              <w:t>public lighting customers</w:t>
            </w:r>
            <w:r>
              <w:t>.</w:t>
            </w:r>
          </w:p>
        </w:tc>
        <w:tc>
          <w:tcPr>
            <w:tcW w:w="7341" w:type="dxa"/>
          </w:tcPr>
          <w:p w14:paraId="749C3CBD" w14:textId="77777777" w:rsidR="0017584C" w:rsidRDefault="0017584C" w:rsidP="0017584C">
            <w:pPr>
              <w:pStyle w:val="TableBody"/>
              <w:rPr>
                <w:bCs/>
              </w:rPr>
            </w:pPr>
          </w:p>
          <w:p w14:paraId="468A73A6" w14:textId="77777777" w:rsidR="0017584C" w:rsidRDefault="0017584C" w:rsidP="0017584C">
            <w:pPr>
              <w:pStyle w:val="TableBody"/>
              <w:rPr>
                <w:bCs/>
              </w:rPr>
            </w:pPr>
          </w:p>
          <w:p w14:paraId="79C7458C" w14:textId="77777777" w:rsidR="0017584C" w:rsidRDefault="0017584C" w:rsidP="0017584C">
            <w:pPr>
              <w:pStyle w:val="TableBody"/>
              <w:rPr>
                <w:bCs/>
              </w:rPr>
            </w:pPr>
          </w:p>
          <w:p w14:paraId="37887990" w14:textId="77777777" w:rsidR="0017584C" w:rsidRDefault="0017584C" w:rsidP="0017584C">
            <w:pPr>
              <w:pStyle w:val="TableBody"/>
              <w:rPr>
                <w:bCs/>
              </w:rPr>
            </w:pPr>
          </w:p>
          <w:p w14:paraId="359E1E41" w14:textId="77777777" w:rsidR="0017584C" w:rsidRDefault="0017584C" w:rsidP="0017584C">
            <w:pPr>
              <w:pStyle w:val="TableBody"/>
              <w:rPr>
                <w:bCs/>
              </w:rPr>
            </w:pPr>
          </w:p>
          <w:p w14:paraId="031CE76C" w14:textId="77777777" w:rsidR="0017584C" w:rsidRDefault="0017584C" w:rsidP="0017584C">
            <w:pPr>
              <w:pStyle w:val="TableBody"/>
              <w:rPr>
                <w:bCs/>
              </w:rPr>
            </w:pPr>
          </w:p>
          <w:p w14:paraId="5E439E3D" w14:textId="77777777" w:rsidR="0017584C" w:rsidRDefault="0017584C" w:rsidP="0017584C">
            <w:pPr>
              <w:pStyle w:val="TableBody"/>
              <w:rPr>
                <w:bCs/>
              </w:rPr>
            </w:pPr>
          </w:p>
          <w:p w14:paraId="0AD8F75B" w14:textId="77777777" w:rsidR="0017584C" w:rsidRDefault="0017584C" w:rsidP="0017584C">
            <w:pPr>
              <w:pStyle w:val="TableBody"/>
              <w:rPr>
                <w:bCs/>
              </w:rPr>
            </w:pPr>
          </w:p>
          <w:p w14:paraId="59031CBE" w14:textId="77777777" w:rsidR="0017584C" w:rsidRDefault="0017584C" w:rsidP="0017584C">
            <w:pPr>
              <w:pStyle w:val="TableBody"/>
              <w:rPr>
                <w:bCs/>
              </w:rPr>
            </w:pPr>
          </w:p>
          <w:p w14:paraId="2E151A7C" w14:textId="77777777" w:rsidR="0017584C" w:rsidRDefault="0017584C" w:rsidP="0017584C">
            <w:pPr>
              <w:pStyle w:val="TableBody"/>
              <w:rPr>
                <w:bCs/>
              </w:rPr>
            </w:pPr>
          </w:p>
          <w:p w14:paraId="1419D4AF" w14:textId="77777777" w:rsidR="00EB7EC8" w:rsidRPr="001512A5" w:rsidRDefault="00EB7EC8" w:rsidP="00E659B4">
            <w:pPr>
              <w:pStyle w:val="TableBody"/>
              <w:rPr>
                <w:b/>
              </w:rPr>
            </w:pPr>
          </w:p>
          <w:p w14:paraId="0A7ED676" w14:textId="3FA4AB61" w:rsidR="003E3788" w:rsidRDefault="00176B56" w:rsidP="003E3788">
            <w:pPr>
              <w:pStyle w:val="TableBody"/>
              <w:rPr>
                <w:bCs/>
              </w:rPr>
            </w:pPr>
            <w:r>
              <w:rPr>
                <w:bCs/>
              </w:rPr>
              <w:t>We proposed to revoke c</w:t>
            </w:r>
            <w:r w:rsidR="005B7B5E">
              <w:rPr>
                <w:bCs/>
              </w:rPr>
              <w:t>lause</w:t>
            </w:r>
            <w:r w:rsidR="00D70BA3">
              <w:rPr>
                <w:bCs/>
              </w:rPr>
              <w:t>s</w:t>
            </w:r>
            <w:r w:rsidR="001000B3" w:rsidRPr="00846C3C">
              <w:rPr>
                <w:bCs/>
              </w:rPr>
              <w:t xml:space="preserve"> 2</w:t>
            </w:r>
            <w:r w:rsidR="003E3788" w:rsidRPr="00846C3C">
              <w:rPr>
                <w:bCs/>
              </w:rPr>
              <w:t xml:space="preserve">.1(a) and (b) </w:t>
            </w:r>
            <w:r w:rsidR="001000B3" w:rsidRPr="00846C3C">
              <w:rPr>
                <w:bCs/>
              </w:rPr>
              <w:t>of the Public Lighting Code of Practice</w:t>
            </w:r>
            <w:r w:rsidR="00CD11BD">
              <w:rPr>
                <w:bCs/>
              </w:rPr>
              <w:t>.</w:t>
            </w:r>
            <w:r w:rsidR="001000B3" w:rsidRPr="00846C3C">
              <w:rPr>
                <w:bCs/>
              </w:rPr>
              <w:t xml:space="preserve"> </w:t>
            </w:r>
            <w:r w:rsidR="00CD11BD">
              <w:rPr>
                <w:bCs/>
              </w:rPr>
              <w:t>T</w:t>
            </w:r>
            <w:r w:rsidR="00F632B0">
              <w:rPr>
                <w:bCs/>
              </w:rPr>
              <w:t>h</w:t>
            </w:r>
            <w:r w:rsidR="00153CB5">
              <w:rPr>
                <w:bCs/>
              </w:rPr>
              <w:t xml:space="preserve">ese are </w:t>
            </w:r>
            <w:r w:rsidR="003125BE">
              <w:rPr>
                <w:bCs/>
              </w:rPr>
              <w:t>considered sub elements</w:t>
            </w:r>
            <w:r w:rsidR="00153CB5">
              <w:rPr>
                <w:bCs/>
              </w:rPr>
              <w:t xml:space="preserve"> of </w:t>
            </w:r>
            <w:r w:rsidR="005B7B5E">
              <w:rPr>
                <w:bCs/>
              </w:rPr>
              <w:t xml:space="preserve">the broader asset category </w:t>
            </w:r>
            <w:r w:rsidR="00991E01">
              <w:rPr>
                <w:bCs/>
              </w:rPr>
              <w:t xml:space="preserve">of </w:t>
            </w:r>
            <w:r w:rsidR="003125BE">
              <w:rPr>
                <w:bCs/>
              </w:rPr>
              <w:t xml:space="preserve">information and asset management function for </w:t>
            </w:r>
            <w:r w:rsidR="00153CB5">
              <w:rPr>
                <w:bCs/>
              </w:rPr>
              <w:t xml:space="preserve">the </w:t>
            </w:r>
            <w:r w:rsidR="003125BE">
              <w:rPr>
                <w:bCs/>
              </w:rPr>
              <w:t xml:space="preserve">whole </w:t>
            </w:r>
            <w:r w:rsidR="005B7B5E">
              <w:rPr>
                <w:bCs/>
              </w:rPr>
              <w:t>distribution system</w:t>
            </w:r>
            <w:r w:rsidR="00E269EC">
              <w:rPr>
                <w:bCs/>
              </w:rPr>
              <w:t xml:space="preserve"> under the </w:t>
            </w:r>
            <w:hyperlink r:id="rId12" w:history="1">
              <w:r w:rsidR="00E269EC" w:rsidRPr="00005310">
                <w:rPr>
                  <w:rStyle w:val="Hyperlink"/>
                  <w:bCs/>
                </w:rPr>
                <w:t>Electricity Distribution Code of Practice</w:t>
              </w:r>
            </w:hyperlink>
            <w:r w:rsidR="00E269EC">
              <w:rPr>
                <w:bCs/>
              </w:rPr>
              <w:t>, clause 19.2.1</w:t>
            </w:r>
            <w:r w:rsidR="006E43F1">
              <w:rPr>
                <w:bCs/>
              </w:rPr>
              <w:t>.</w:t>
            </w:r>
            <w:r w:rsidR="00E269EC">
              <w:rPr>
                <w:bCs/>
              </w:rPr>
              <w:t xml:space="preserve"> </w:t>
            </w:r>
            <w:r w:rsidR="005B7B5E">
              <w:rPr>
                <w:bCs/>
              </w:rPr>
              <w:t xml:space="preserve"> </w:t>
            </w:r>
          </w:p>
          <w:p w14:paraId="045E4FE7" w14:textId="77777777" w:rsidR="006B3101" w:rsidRDefault="006B3101" w:rsidP="003E3788">
            <w:pPr>
              <w:pStyle w:val="TableBody"/>
              <w:rPr>
                <w:bCs/>
              </w:rPr>
            </w:pPr>
          </w:p>
          <w:p w14:paraId="289D0BF7" w14:textId="26D31789" w:rsidR="00B34A30" w:rsidRPr="001512A5" w:rsidRDefault="003A0384" w:rsidP="00B34A30">
            <w:pPr>
              <w:pStyle w:val="TableBody"/>
              <w:rPr>
                <w:bCs/>
              </w:rPr>
            </w:pPr>
            <w:r w:rsidRPr="62027685">
              <w:rPr>
                <w:lang w:val="en-AU"/>
              </w:rPr>
              <w:t>We proposed to revoke c</w:t>
            </w:r>
            <w:r w:rsidR="00B34A30" w:rsidRPr="62027685">
              <w:rPr>
                <w:lang w:val="en-AU"/>
              </w:rPr>
              <w:t xml:space="preserve">lause 2.1 (c) </w:t>
            </w:r>
            <w:r w:rsidR="006D27F2" w:rsidRPr="62027685">
              <w:rPr>
                <w:lang w:val="en-AU"/>
              </w:rPr>
              <w:t>as th</w:t>
            </w:r>
            <w:r w:rsidR="006C6D7A" w:rsidRPr="62027685">
              <w:rPr>
                <w:lang w:val="en-AU"/>
              </w:rPr>
              <w:t>is is</w:t>
            </w:r>
            <w:r w:rsidR="00B34A30" w:rsidRPr="62027685">
              <w:rPr>
                <w:lang w:val="en-AU"/>
              </w:rPr>
              <w:t xml:space="preserve"> duplicated under the </w:t>
            </w:r>
            <w:hyperlink r:id="rId13">
              <w:r w:rsidR="00B34A30" w:rsidRPr="62027685">
                <w:rPr>
                  <w:rStyle w:val="Hyperlink"/>
                  <w:lang w:val="en-AU"/>
                </w:rPr>
                <w:t>Electricity Distribution Code of Practice</w:t>
              </w:r>
            </w:hyperlink>
            <w:r w:rsidR="00B34A30" w:rsidRPr="62027685">
              <w:rPr>
                <w:lang w:val="en-AU"/>
              </w:rPr>
              <w:t>, clause 19.2.1 (b)(i)</w:t>
            </w:r>
            <w:r w:rsidR="004C364E" w:rsidRPr="62027685">
              <w:rPr>
                <w:lang w:val="en-AU"/>
              </w:rPr>
              <w:t>(ii)(iii)</w:t>
            </w:r>
            <w:r w:rsidR="00B34A30" w:rsidRPr="62027685">
              <w:rPr>
                <w:lang w:val="en-AU"/>
              </w:rPr>
              <w:t xml:space="preserve">. </w:t>
            </w:r>
          </w:p>
          <w:p w14:paraId="6A26E188" w14:textId="77777777" w:rsidR="00B34A30" w:rsidRDefault="00B34A30" w:rsidP="00E659B4">
            <w:pPr>
              <w:pStyle w:val="TableBody"/>
              <w:rPr>
                <w:bCs/>
              </w:rPr>
            </w:pPr>
          </w:p>
          <w:p w14:paraId="7D57C868" w14:textId="34BBB384" w:rsidR="00F3617D" w:rsidRPr="00DC7B4C" w:rsidRDefault="00CE6B09" w:rsidP="00E659B4">
            <w:pPr>
              <w:pStyle w:val="TableBody"/>
              <w:rPr>
                <w:bCs/>
              </w:rPr>
            </w:pPr>
            <w:r>
              <w:rPr>
                <w:bCs/>
              </w:rPr>
              <w:t xml:space="preserve">We </w:t>
            </w:r>
            <w:r w:rsidR="00A148D9">
              <w:rPr>
                <w:bCs/>
              </w:rPr>
              <w:t xml:space="preserve">also </w:t>
            </w:r>
            <w:r>
              <w:rPr>
                <w:bCs/>
              </w:rPr>
              <w:t xml:space="preserve">note </w:t>
            </w:r>
            <w:r w:rsidR="00BA1ED0">
              <w:rPr>
                <w:bCs/>
              </w:rPr>
              <w:t xml:space="preserve">the </w:t>
            </w:r>
            <w:r w:rsidR="008811FC">
              <w:rPr>
                <w:bCs/>
              </w:rPr>
              <w:t xml:space="preserve">intent of </w:t>
            </w:r>
            <w:r>
              <w:rPr>
                <w:bCs/>
              </w:rPr>
              <w:t>c</w:t>
            </w:r>
            <w:r w:rsidR="005B7B5E">
              <w:rPr>
                <w:bCs/>
              </w:rPr>
              <w:t>lauses</w:t>
            </w:r>
            <w:r w:rsidR="00A13CE7" w:rsidRPr="007D4062">
              <w:rPr>
                <w:bCs/>
              </w:rPr>
              <w:t xml:space="preserve"> 2</w:t>
            </w:r>
            <w:r w:rsidR="003E3788" w:rsidRPr="007D4062">
              <w:rPr>
                <w:bCs/>
              </w:rPr>
              <w:t>.1(c</w:t>
            </w:r>
            <w:r w:rsidR="009A2AFD">
              <w:rPr>
                <w:bCs/>
              </w:rPr>
              <w:t>)</w:t>
            </w:r>
            <w:r w:rsidR="009A2AFD" w:rsidRPr="007D4062">
              <w:rPr>
                <w:bCs/>
              </w:rPr>
              <w:t xml:space="preserve">(ii) and </w:t>
            </w:r>
            <w:r w:rsidR="003E3788" w:rsidRPr="007D4062">
              <w:rPr>
                <w:bCs/>
              </w:rPr>
              <w:t xml:space="preserve">(iii) are </w:t>
            </w:r>
            <w:r w:rsidR="00CE655C">
              <w:rPr>
                <w:bCs/>
              </w:rPr>
              <w:t>effectively</w:t>
            </w:r>
            <w:r w:rsidR="008811FC">
              <w:rPr>
                <w:bCs/>
              </w:rPr>
              <w:t xml:space="preserve"> addressed through </w:t>
            </w:r>
            <w:r w:rsidR="00B34A30">
              <w:rPr>
                <w:bCs/>
              </w:rPr>
              <w:t>the economic regulation of distribution under the National Electricity Rules, chapter 6. T</w:t>
            </w:r>
            <w:r w:rsidR="00464AB5" w:rsidRPr="007D4062">
              <w:rPr>
                <w:bCs/>
              </w:rPr>
              <w:t xml:space="preserve">he Australian Energy Regulator </w:t>
            </w:r>
            <w:r w:rsidR="00B34A30">
              <w:rPr>
                <w:bCs/>
              </w:rPr>
              <w:t xml:space="preserve">regulates this </w:t>
            </w:r>
            <w:r w:rsidR="007D4062" w:rsidRPr="007D4062">
              <w:rPr>
                <w:bCs/>
              </w:rPr>
              <w:t xml:space="preserve">through their </w:t>
            </w:r>
            <w:r w:rsidR="00005310">
              <w:rPr>
                <w:bCs/>
              </w:rPr>
              <w:t xml:space="preserve">electricity distribution </w:t>
            </w:r>
            <w:r w:rsidR="007D4062" w:rsidRPr="007D4062">
              <w:rPr>
                <w:bCs/>
              </w:rPr>
              <w:t xml:space="preserve">pricing determination process. </w:t>
            </w:r>
          </w:p>
          <w:p w14:paraId="581740D7" w14:textId="77777777" w:rsidR="00EB7EC8" w:rsidRPr="001512A5" w:rsidRDefault="00EB7EC8" w:rsidP="00E659B4">
            <w:pPr>
              <w:pStyle w:val="TableBody"/>
              <w:rPr>
                <w:b/>
              </w:rPr>
            </w:pPr>
          </w:p>
        </w:tc>
      </w:tr>
      <w:tr w:rsidR="00316352" w:rsidRPr="00E44522" w14:paraId="6B8FB850" w14:textId="77777777" w:rsidTr="00223042">
        <w:trPr>
          <w:cnfStyle w:val="000000100000" w:firstRow="0" w:lastRow="0" w:firstColumn="0" w:lastColumn="0" w:oddVBand="0" w:evenVBand="0" w:oddHBand="1" w:evenHBand="0" w:firstRowFirstColumn="0" w:firstRowLastColumn="0" w:lastRowFirstColumn="0" w:lastRowLastColumn="0"/>
          <w:cantSplit/>
          <w:trHeight w:val="300"/>
        </w:trPr>
        <w:tc>
          <w:tcPr>
            <w:tcW w:w="7371" w:type="dxa"/>
          </w:tcPr>
          <w:p w14:paraId="6C7D5A1C" w14:textId="77777777" w:rsidR="008C121C" w:rsidRDefault="008C121C" w:rsidP="00CB316D">
            <w:pPr>
              <w:pStyle w:val="TableBody"/>
              <w:rPr>
                <w:b/>
                <w:lang w:val="en-AU"/>
              </w:rPr>
            </w:pPr>
            <w:r w:rsidRPr="008C121C">
              <w:rPr>
                <w:b/>
                <w:lang w:val="en-AU"/>
              </w:rPr>
              <w:t xml:space="preserve">2.2 Use of distribution system </w:t>
            </w:r>
          </w:p>
          <w:p w14:paraId="53457A6A" w14:textId="06119B3E" w:rsidR="00316352" w:rsidRPr="006C0CA8" w:rsidRDefault="008C121C" w:rsidP="00CB316D">
            <w:pPr>
              <w:spacing w:before="0" w:line="240" w:lineRule="auto"/>
              <w:rPr>
                <w:b/>
              </w:rPr>
            </w:pPr>
            <w:bookmarkStart w:id="5" w:name="_Hlk201653342"/>
            <w:r w:rsidRPr="008C121C">
              <w:t xml:space="preserve">A </w:t>
            </w:r>
            <w:r w:rsidRPr="008C121C">
              <w:rPr>
                <w:b/>
                <w:bCs/>
              </w:rPr>
              <w:t>distributor</w:t>
            </w:r>
            <w:r w:rsidRPr="008C121C">
              <w:t xml:space="preserve"> must use best endeavours to ensure that </w:t>
            </w:r>
            <w:r w:rsidRPr="008C121C">
              <w:rPr>
                <w:b/>
                <w:bCs/>
              </w:rPr>
              <w:t>public lighting assets</w:t>
            </w:r>
            <w:r w:rsidRPr="008C121C">
              <w:t xml:space="preserve"> remain connected to the </w:t>
            </w:r>
            <w:r w:rsidRPr="008C121C">
              <w:rPr>
                <w:b/>
                <w:bCs/>
              </w:rPr>
              <w:t>distributor’s distribution system</w:t>
            </w:r>
            <w:r w:rsidRPr="008C121C">
              <w:t xml:space="preserve"> to enable the supply of energy for their operation</w:t>
            </w:r>
            <w:bookmarkEnd w:id="5"/>
            <w:r w:rsidRPr="008C121C">
              <w:t>.</w:t>
            </w:r>
          </w:p>
        </w:tc>
        <w:tc>
          <w:tcPr>
            <w:tcW w:w="7341" w:type="dxa"/>
          </w:tcPr>
          <w:p w14:paraId="5793FA7B" w14:textId="08CB8A55" w:rsidR="003E3788" w:rsidRDefault="003E3788" w:rsidP="003E3788">
            <w:pPr>
              <w:pStyle w:val="TableBody"/>
            </w:pPr>
          </w:p>
          <w:p w14:paraId="72A9543A" w14:textId="77777777" w:rsidR="00CE1326" w:rsidRDefault="00CE1326" w:rsidP="003E3788">
            <w:pPr>
              <w:pStyle w:val="TableBody"/>
            </w:pPr>
          </w:p>
          <w:p w14:paraId="2B7611A5" w14:textId="216C7E36" w:rsidR="00316352" w:rsidRPr="00EB1E11" w:rsidRDefault="003943DA" w:rsidP="003E3788">
            <w:pPr>
              <w:pStyle w:val="TableBody"/>
            </w:pPr>
            <w:r w:rsidRPr="62027685">
              <w:rPr>
                <w:lang w:val="en-AU"/>
              </w:rPr>
              <w:t>We propose to insert new c</w:t>
            </w:r>
            <w:r w:rsidR="00A95F49" w:rsidRPr="62027685">
              <w:rPr>
                <w:lang w:val="en-AU"/>
              </w:rPr>
              <w:t xml:space="preserve">lause </w:t>
            </w:r>
            <w:r w:rsidRPr="62027685">
              <w:rPr>
                <w:lang w:val="en-AU"/>
              </w:rPr>
              <w:t>19.8</w:t>
            </w:r>
            <w:r w:rsidR="00A95F49" w:rsidRPr="62027685">
              <w:rPr>
                <w:lang w:val="en-AU"/>
              </w:rPr>
              <w:t xml:space="preserve"> </w:t>
            </w:r>
            <w:r w:rsidRPr="62027685">
              <w:rPr>
                <w:lang w:val="en-AU"/>
              </w:rPr>
              <w:t xml:space="preserve">in </w:t>
            </w:r>
            <w:r w:rsidR="00A95F49" w:rsidRPr="62027685">
              <w:rPr>
                <w:lang w:val="en-AU"/>
              </w:rPr>
              <w:t xml:space="preserve">the </w:t>
            </w:r>
            <w:hyperlink r:id="rId14">
              <w:r w:rsidR="00A95F49" w:rsidRPr="62027685">
                <w:rPr>
                  <w:rStyle w:val="Hyperlink"/>
                  <w:lang w:val="en-AU"/>
                </w:rPr>
                <w:t>Electricity Distribution Code of Practice</w:t>
              </w:r>
            </w:hyperlink>
            <w:r w:rsidR="002705FE" w:rsidRPr="62027685">
              <w:rPr>
                <w:lang w:val="en-AU"/>
              </w:rPr>
              <w:t xml:space="preserve"> </w:t>
            </w:r>
            <w:r w:rsidRPr="62027685">
              <w:rPr>
                <w:lang w:val="en-AU"/>
              </w:rPr>
              <w:t>to retain and transfer this provision.</w:t>
            </w:r>
            <w:r w:rsidR="00B276EB" w:rsidRPr="62027685">
              <w:rPr>
                <w:lang w:val="en-AU"/>
              </w:rPr>
              <w:t xml:space="preserve"> </w:t>
            </w:r>
          </w:p>
        </w:tc>
      </w:tr>
      <w:tr w:rsidR="00316352" w:rsidRPr="00E44522" w14:paraId="611D15EF" w14:textId="77777777" w:rsidTr="00223042">
        <w:trPr>
          <w:cnfStyle w:val="000000010000" w:firstRow="0" w:lastRow="0" w:firstColumn="0" w:lastColumn="0" w:oddVBand="0" w:evenVBand="0" w:oddHBand="0" w:evenHBand="1" w:firstRowFirstColumn="0" w:firstRowLastColumn="0" w:lastRowFirstColumn="0" w:lastRowLastColumn="0"/>
          <w:cantSplit/>
          <w:trHeight w:val="300"/>
        </w:trPr>
        <w:tc>
          <w:tcPr>
            <w:tcW w:w="7371" w:type="dxa"/>
          </w:tcPr>
          <w:p w14:paraId="74809C84" w14:textId="77777777" w:rsidR="00DE4670" w:rsidRPr="00DE4670" w:rsidRDefault="00DE4670" w:rsidP="00CB316D">
            <w:pPr>
              <w:spacing w:before="0" w:line="240" w:lineRule="auto"/>
              <w:rPr>
                <w:b/>
                <w:bCs/>
              </w:rPr>
            </w:pPr>
            <w:r w:rsidRPr="00DE4670">
              <w:rPr>
                <w:b/>
                <w:bCs/>
              </w:rPr>
              <w:lastRenderedPageBreak/>
              <w:t xml:space="preserve">2.3 Minimum standards </w:t>
            </w:r>
          </w:p>
          <w:p w14:paraId="0846E805" w14:textId="77777777" w:rsidR="00C45855" w:rsidRDefault="00DE4670" w:rsidP="00CB316D">
            <w:pPr>
              <w:spacing w:before="0" w:line="240" w:lineRule="auto"/>
            </w:pPr>
            <w:r w:rsidRPr="005877AE">
              <w:rPr>
                <w:b/>
                <w:bCs/>
              </w:rPr>
              <w:t>2.3.1.</w:t>
            </w:r>
            <w:r w:rsidRPr="005877AE">
              <w:t xml:space="preserve"> A </w:t>
            </w:r>
            <w:r w:rsidRPr="005877AE">
              <w:rPr>
                <w:b/>
                <w:bCs/>
              </w:rPr>
              <w:t>distributor's</w:t>
            </w:r>
            <w:r w:rsidRPr="005877AE">
              <w:t xml:space="preserve"> plans under clause 2.1(c) must include performance targets. The </w:t>
            </w:r>
            <w:r w:rsidRPr="005877AE">
              <w:rPr>
                <w:b/>
                <w:bCs/>
              </w:rPr>
              <w:t>distributor</w:t>
            </w:r>
            <w:r w:rsidRPr="005877AE">
              <w:t xml:space="preserve"> and the </w:t>
            </w:r>
            <w:r w:rsidRPr="005877AE">
              <w:rPr>
                <w:b/>
                <w:bCs/>
              </w:rPr>
              <w:t>public lighting customer</w:t>
            </w:r>
            <w:r w:rsidRPr="005877AE">
              <w:t xml:space="preserve"> must negotiate in good faith to agree upon such performance targets. As a minimum, the </w:t>
            </w:r>
            <w:r w:rsidRPr="005877AE">
              <w:rPr>
                <w:b/>
                <w:bCs/>
              </w:rPr>
              <w:t>distributor</w:t>
            </w:r>
            <w:r w:rsidRPr="005877AE">
              <w:t xml:space="preserve"> must (or must ensure that a person responsible to it must):</w:t>
            </w:r>
            <w:r>
              <w:t xml:space="preserve"> </w:t>
            </w:r>
          </w:p>
          <w:p w14:paraId="5BB215A5" w14:textId="2D96F2B0" w:rsidR="00C45855" w:rsidRDefault="00DE4670" w:rsidP="001E3E57">
            <w:pPr>
              <w:pStyle w:val="ListParagraph"/>
              <w:numPr>
                <w:ilvl w:val="0"/>
                <w:numId w:val="13"/>
              </w:numPr>
              <w:spacing w:before="0" w:line="240" w:lineRule="auto"/>
            </w:pPr>
            <w:r>
              <w:t xml:space="preserve">operate a 24 hour call centre to receive public and </w:t>
            </w:r>
            <w:r w:rsidRPr="000C4C6F">
              <w:rPr>
                <w:b/>
                <w:bCs/>
              </w:rPr>
              <w:t>public lighting customer</w:t>
            </w:r>
            <w:r>
              <w:t xml:space="preserve"> reports of public lighting faults; </w:t>
            </w:r>
          </w:p>
          <w:p w14:paraId="440753FE" w14:textId="3E7458AD" w:rsidR="002755F3" w:rsidRDefault="00DE4670" w:rsidP="001E3E57">
            <w:pPr>
              <w:pStyle w:val="ListParagraph"/>
              <w:numPr>
                <w:ilvl w:val="0"/>
                <w:numId w:val="13"/>
              </w:numPr>
              <w:spacing w:before="0" w:line="240" w:lineRule="auto"/>
            </w:pPr>
            <w:r w:rsidRPr="003F76D4">
              <w:t xml:space="preserve">repair or replace </w:t>
            </w:r>
            <w:r w:rsidRPr="000C4C6F">
              <w:rPr>
                <w:b/>
                <w:bCs/>
              </w:rPr>
              <w:t>standard fittings</w:t>
            </w:r>
            <w:r w:rsidRPr="003F76D4">
              <w:t xml:space="preserve"> within 7 </w:t>
            </w:r>
            <w:r w:rsidRPr="000C4C6F">
              <w:rPr>
                <w:b/>
                <w:bCs/>
              </w:rPr>
              <w:t>business days</w:t>
            </w:r>
            <w:r w:rsidRPr="003F76D4">
              <w:t xml:space="preserve"> of a </w:t>
            </w:r>
            <w:r w:rsidRPr="000C4C6F">
              <w:rPr>
                <w:b/>
                <w:bCs/>
              </w:rPr>
              <w:t>fault report</w:t>
            </w:r>
            <w:r w:rsidRPr="003F76D4">
              <w:t xml:space="preserve"> and use best endeavours to repair or replace </w:t>
            </w:r>
            <w:r w:rsidRPr="000C4C6F">
              <w:rPr>
                <w:b/>
                <w:bCs/>
              </w:rPr>
              <w:t>non-standard fittings</w:t>
            </w:r>
            <w:r w:rsidRPr="003F76D4">
              <w:t xml:space="preserve"> within 7 </w:t>
            </w:r>
            <w:r w:rsidRPr="000C4C6F">
              <w:rPr>
                <w:b/>
                <w:bCs/>
              </w:rPr>
              <w:t>business days</w:t>
            </w:r>
            <w:r w:rsidRPr="003F76D4">
              <w:t xml:space="preserve"> of a </w:t>
            </w:r>
            <w:r w:rsidRPr="000C4C6F">
              <w:rPr>
                <w:b/>
                <w:bCs/>
              </w:rPr>
              <w:t>fault report</w:t>
            </w:r>
            <w:r w:rsidRPr="003F76D4">
              <w:t xml:space="preserve"> subject to the availability of fittings;</w:t>
            </w:r>
          </w:p>
          <w:p w14:paraId="3326DE17" w14:textId="569B2274" w:rsidR="00C45855" w:rsidRDefault="00DE4670" w:rsidP="001E3E57">
            <w:pPr>
              <w:pStyle w:val="ListParagraph"/>
              <w:numPr>
                <w:ilvl w:val="0"/>
                <w:numId w:val="13"/>
              </w:numPr>
              <w:spacing w:before="0" w:line="240" w:lineRule="auto"/>
            </w:pPr>
            <w:r>
              <w:t xml:space="preserve">replace </w:t>
            </w:r>
            <w:r w:rsidRPr="000C4C6F">
              <w:rPr>
                <w:b/>
                <w:bCs/>
              </w:rPr>
              <w:t>non-major road lamps</w:t>
            </w:r>
            <w:r>
              <w:t xml:space="preserve"> at least every 4 years or otherwise as required by </w:t>
            </w:r>
            <w:r w:rsidRPr="000C4C6F">
              <w:rPr>
                <w:b/>
                <w:bCs/>
              </w:rPr>
              <w:t>public lighting standards</w:t>
            </w:r>
            <w:r>
              <w:t xml:space="preserve">; </w:t>
            </w:r>
          </w:p>
          <w:p w14:paraId="74C620F8" w14:textId="06127E0B" w:rsidR="002755F3" w:rsidRDefault="00DE4670" w:rsidP="001E3E57">
            <w:pPr>
              <w:pStyle w:val="ListParagraph"/>
              <w:numPr>
                <w:ilvl w:val="0"/>
                <w:numId w:val="13"/>
              </w:numPr>
              <w:spacing w:before="0" w:line="240" w:lineRule="auto"/>
            </w:pPr>
            <w:r>
              <w:t xml:space="preserve">clean, inspect for damage and repair </w:t>
            </w:r>
            <w:r w:rsidRPr="000C4C6F">
              <w:rPr>
                <w:b/>
                <w:bCs/>
              </w:rPr>
              <w:t>luminaires</w:t>
            </w:r>
            <w:r>
              <w:t xml:space="preserve"> during any re-lamping;</w:t>
            </w:r>
          </w:p>
          <w:p w14:paraId="583C5F23" w14:textId="7F22A36F" w:rsidR="00C45855" w:rsidRDefault="00DE4670" w:rsidP="001E3E57">
            <w:pPr>
              <w:pStyle w:val="ListParagraph"/>
              <w:numPr>
                <w:ilvl w:val="0"/>
                <w:numId w:val="13"/>
              </w:numPr>
              <w:spacing w:before="0" w:line="240" w:lineRule="auto"/>
            </w:pPr>
            <w:r>
              <w:t xml:space="preserve">replace photo-electric cells at least every 8 years or otherwise as required by </w:t>
            </w:r>
            <w:r w:rsidRPr="000C4C6F">
              <w:rPr>
                <w:b/>
                <w:bCs/>
              </w:rPr>
              <w:t>public lighting standards</w:t>
            </w:r>
            <w:r>
              <w:t xml:space="preserve">; </w:t>
            </w:r>
          </w:p>
          <w:p w14:paraId="5D130E22" w14:textId="6048B1BB" w:rsidR="00C45855" w:rsidRPr="00DD5169" w:rsidRDefault="00DE4670" w:rsidP="001E3E57">
            <w:pPr>
              <w:pStyle w:val="ListParagraph"/>
              <w:numPr>
                <w:ilvl w:val="0"/>
                <w:numId w:val="13"/>
              </w:numPr>
              <w:spacing w:before="0" w:line="240" w:lineRule="auto"/>
            </w:pPr>
            <w:r w:rsidRPr="00DD5169">
              <w:t xml:space="preserve">routinely patrol </w:t>
            </w:r>
            <w:r w:rsidRPr="000C4C6F">
              <w:rPr>
                <w:b/>
                <w:bCs/>
              </w:rPr>
              <w:t>major roads</w:t>
            </w:r>
            <w:r w:rsidRPr="00DD5169">
              <w:t xml:space="preserve"> at night to inspect, replace or repair </w:t>
            </w:r>
            <w:r w:rsidRPr="000C4C6F">
              <w:rPr>
                <w:b/>
                <w:bCs/>
              </w:rPr>
              <w:t>luminaires</w:t>
            </w:r>
            <w:r w:rsidRPr="00DD5169">
              <w:t xml:space="preserve"> at least 3 times per year;</w:t>
            </w:r>
          </w:p>
          <w:p w14:paraId="686808BE" w14:textId="2BDA215A" w:rsidR="00316352" w:rsidRDefault="002755F3" w:rsidP="001E3E57">
            <w:pPr>
              <w:pStyle w:val="ListParagraph"/>
              <w:numPr>
                <w:ilvl w:val="0"/>
                <w:numId w:val="13"/>
              </w:numPr>
              <w:spacing w:before="0" w:line="240" w:lineRule="auto"/>
            </w:pPr>
            <w:r w:rsidRPr="003F76D4">
              <w:t xml:space="preserve">replace </w:t>
            </w:r>
            <w:r w:rsidRPr="000C4C6F">
              <w:rPr>
                <w:b/>
                <w:bCs/>
              </w:rPr>
              <w:t>luminaires</w:t>
            </w:r>
            <w:r w:rsidRPr="003F76D4">
              <w:t xml:space="preserve"> with appropriate new </w:t>
            </w:r>
            <w:r w:rsidRPr="000C4C6F">
              <w:rPr>
                <w:b/>
                <w:bCs/>
              </w:rPr>
              <w:t>luminaires</w:t>
            </w:r>
            <w:r w:rsidRPr="003F76D4">
              <w:t xml:space="preserve"> at the end of their economic life</w:t>
            </w:r>
            <w:r w:rsidR="007A0B38" w:rsidRPr="003F76D4">
              <w:t>.</w:t>
            </w:r>
          </w:p>
          <w:p w14:paraId="0EC3B878" w14:textId="249B209D" w:rsidR="007A0B38" w:rsidRPr="00DE4670" w:rsidRDefault="007A0B38" w:rsidP="00CB316D">
            <w:pPr>
              <w:spacing w:before="0" w:line="240" w:lineRule="auto"/>
            </w:pPr>
            <w:r w:rsidRPr="00A6721A">
              <w:rPr>
                <w:b/>
                <w:bCs/>
              </w:rPr>
              <w:t>2.3.2</w:t>
            </w:r>
            <w:r w:rsidRPr="00A6721A">
              <w:t xml:space="preserve"> A </w:t>
            </w:r>
            <w:r w:rsidRPr="00A6721A">
              <w:rPr>
                <w:b/>
                <w:bCs/>
              </w:rPr>
              <w:t>distributor</w:t>
            </w:r>
            <w:r w:rsidRPr="00A6721A">
              <w:t xml:space="preserve"> is relieved of its obligation to meet the minimum standards for </w:t>
            </w:r>
            <w:r w:rsidRPr="00A6721A">
              <w:rPr>
                <w:b/>
                <w:bCs/>
              </w:rPr>
              <w:t>public lighting services</w:t>
            </w:r>
            <w:r w:rsidRPr="00A6721A">
              <w:t xml:space="preserve"> set out in this clause 2.3 during any period in which a </w:t>
            </w:r>
            <w:r w:rsidRPr="00A6721A">
              <w:rPr>
                <w:b/>
                <w:bCs/>
              </w:rPr>
              <w:t>public lighting customer</w:t>
            </w:r>
            <w:r w:rsidRPr="00A6721A">
              <w:t xml:space="preserve"> unreasonably withholds payment for </w:t>
            </w:r>
            <w:r w:rsidRPr="00A6721A">
              <w:rPr>
                <w:b/>
                <w:bCs/>
              </w:rPr>
              <w:t>public lighting services</w:t>
            </w:r>
            <w:r w:rsidRPr="00A6721A">
              <w:t xml:space="preserve"> provided by the </w:t>
            </w:r>
            <w:r w:rsidRPr="00A6721A">
              <w:rPr>
                <w:b/>
                <w:bCs/>
              </w:rPr>
              <w:t>distributor</w:t>
            </w:r>
            <w:r w:rsidRPr="00A6721A">
              <w:t>. The</w:t>
            </w:r>
            <w:r w:rsidRPr="007A0B38">
              <w:t xml:space="preserve"> relief does not extend to allowing such a low standard as would compromise public safety. To avoid doubt the relief does not extend to clauses 2.3(a), 2.3(b) and 2.3(c).</w:t>
            </w:r>
          </w:p>
        </w:tc>
        <w:tc>
          <w:tcPr>
            <w:tcW w:w="7341" w:type="dxa"/>
          </w:tcPr>
          <w:p w14:paraId="475289F3" w14:textId="77777777" w:rsidR="001F1C8C" w:rsidRDefault="001F1C8C" w:rsidP="002711D5">
            <w:pPr>
              <w:pStyle w:val="TableBody"/>
              <w:rPr>
                <w:bCs/>
              </w:rPr>
            </w:pPr>
          </w:p>
          <w:p w14:paraId="1BC67E48" w14:textId="1522DE39" w:rsidR="002711D5" w:rsidRDefault="002711D5" w:rsidP="002711D5">
            <w:pPr>
              <w:pStyle w:val="TableBody"/>
              <w:rPr>
                <w:bCs/>
              </w:rPr>
            </w:pPr>
            <w:r w:rsidRPr="62027685">
              <w:rPr>
                <w:lang w:val="en-AU"/>
              </w:rPr>
              <w:t>We propos</w:t>
            </w:r>
            <w:r w:rsidR="003943DA" w:rsidRPr="62027685">
              <w:rPr>
                <w:lang w:val="en-AU"/>
              </w:rPr>
              <w:t xml:space="preserve">e to </w:t>
            </w:r>
            <w:r w:rsidR="00005310" w:rsidRPr="62027685">
              <w:rPr>
                <w:lang w:val="en-AU"/>
              </w:rPr>
              <w:t>insert new</w:t>
            </w:r>
            <w:r w:rsidR="00B416FC" w:rsidRPr="62027685">
              <w:rPr>
                <w:lang w:val="en-AU"/>
              </w:rPr>
              <w:t xml:space="preserve"> clause 19.</w:t>
            </w:r>
            <w:r w:rsidR="00005310" w:rsidRPr="62027685">
              <w:rPr>
                <w:lang w:val="en-AU"/>
              </w:rPr>
              <w:t>7</w:t>
            </w:r>
            <w:r w:rsidR="00B416FC" w:rsidRPr="62027685">
              <w:rPr>
                <w:lang w:val="en-AU"/>
              </w:rPr>
              <w:t xml:space="preserve"> </w:t>
            </w:r>
            <w:r w:rsidR="008C2982" w:rsidRPr="62027685">
              <w:rPr>
                <w:lang w:val="en-AU"/>
              </w:rPr>
              <w:t>(</w:t>
            </w:r>
            <w:r w:rsidR="00005310" w:rsidRPr="62027685">
              <w:rPr>
                <w:lang w:val="en-AU"/>
              </w:rPr>
              <w:t xml:space="preserve">Public lighting minimum standard) </w:t>
            </w:r>
            <w:r w:rsidR="003943DA" w:rsidRPr="62027685">
              <w:rPr>
                <w:lang w:val="en-AU"/>
              </w:rPr>
              <w:t xml:space="preserve">in </w:t>
            </w:r>
            <w:r w:rsidRPr="62027685">
              <w:rPr>
                <w:lang w:val="en-AU"/>
              </w:rPr>
              <w:t xml:space="preserve">the </w:t>
            </w:r>
            <w:hyperlink r:id="rId15">
              <w:r w:rsidRPr="62027685">
                <w:rPr>
                  <w:rStyle w:val="Hyperlink"/>
                  <w:lang w:val="en-AU"/>
                </w:rPr>
                <w:t>Electricity Distribution Code of Practice</w:t>
              </w:r>
            </w:hyperlink>
            <w:r w:rsidRPr="62027685">
              <w:rPr>
                <w:lang w:val="en-AU"/>
              </w:rPr>
              <w:t xml:space="preserve"> </w:t>
            </w:r>
            <w:r w:rsidR="00171807" w:rsidRPr="62027685">
              <w:rPr>
                <w:lang w:val="en-AU"/>
              </w:rPr>
              <w:t xml:space="preserve">to </w:t>
            </w:r>
            <w:r w:rsidR="003943DA" w:rsidRPr="62027685">
              <w:rPr>
                <w:lang w:val="en-AU"/>
              </w:rPr>
              <w:t>retain and transfer</w:t>
            </w:r>
            <w:r w:rsidR="00B01207" w:rsidRPr="62027685">
              <w:rPr>
                <w:lang w:val="en-AU"/>
              </w:rPr>
              <w:t xml:space="preserve"> </w:t>
            </w:r>
            <w:r w:rsidR="00E46261" w:rsidRPr="62027685">
              <w:rPr>
                <w:lang w:val="en-AU"/>
              </w:rPr>
              <w:t xml:space="preserve">clause 2.3.1 </w:t>
            </w:r>
            <w:r w:rsidR="003943DA" w:rsidRPr="62027685">
              <w:rPr>
                <w:lang w:val="en-AU"/>
              </w:rPr>
              <w:t>provisions</w:t>
            </w:r>
            <w:r w:rsidR="00D66A53" w:rsidRPr="62027685">
              <w:rPr>
                <w:lang w:val="en-AU"/>
              </w:rPr>
              <w:t xml:space="preserve">. </w:t>
            </w:r>
          </w:p>
          <w:p w14:paraId="0392D5B7" w14:textId="77777777" w:rsidR="00D66A53" w:rsidRDefault="00D66A53" w:rsidP="002711D5">
            <w:pPr>
              <w:pStyle w:val="TableBody"/>
              <w:rPr>
                <w:bCs/>
              </w:rPr>
            </w:pPr>
          </w:p>
          <w:p w14:paraId="70DB2661" w14:textId="365F8811" w:rsidR="009C22DF" w:rsidRDefault="00D66A53" w:rsidP="002711D5">
            <w:pPr>
              <w:pStyle w:val="TableBody"/>
              <w:rPr>
                <w:bCs/>
              </w:rPr>
            </w:pPr>
            <w:r>
              <w:rPr>
                <w:bCs/>
              </w:rPr>
              <w:t>W</w:t>
            </w:r>
            <w:r w:rsidR="00D44894">
              <w:rPr>
                <w:bCs/>
              </w:rPr>
              <w:t xml:space="preserve">e propose to </w:t>
            </w:r>
            <w:r w:rsidR="00E46261">
              <w:rPr>
                <w:bCs/>
              </w:rPr>
              <w:t>amend</w:t>
            </w:r>
            <w:r w:rsidR="006D3C7A">
              <w:rPr>
                <w:bCs/>
              </w:rPr>
              <w:t xml:space="preserve"> t</w:t>
            </w:r>
            <w:r w:rsidR="007F2804">
              <w:rPr>
                <w:bCs/>
              </w:rPr>
              <w:t xml:space="preserve">he </w:t>
            </w:r>
            <w:r w:rsidR="001F050E">
              <w:rPr>
                <w:bCs/>
              </w:rPr>
              <w:t xml:space="preserve">drafting to </w:t>
            </w:r>
            <w:r w:rsidR="00AB6555">
              <w:rPr>
                <w:bCs/>
              </w:rPr>
              <w:t xml:space="preserve">some </w:t>
            </w:r>
            <w:r w:rsidR="008C570F">
              <w:rPr>
                <w:bCs/>
              </w:rPr>
              <w:t xml:space="preserve">2.3.1 </w:t>
            </w:r>
            <w:r w:rsidR="0092358D">
              <w:rPr>
                <w:bCs/>
              </w:rPr>
              <w:t>sub-</w:t>
            </w:r>
            <w:r w:rsidR="006D3C7A">
              <w:rPr>
                <w:bCs/>
              </w:rPr>
              <w:t xml:space="preserve">clauses </w:t>
            </w:r>
            <w:r w:rsidR="00525BCB">
              <w:rPr>
                <w:bCs/>
              </w:rPr>
              <w:t xml:space="preserve">as part of the transfer </w:t>
            </w:r>
            <w:r w:rsidR="009C22DF">
              <w:rPr>
                <w:bCs/>
              </w:rPr>
              <w:t>as follows:</w:t>
            </w:r>
          </w:p>
          <w:p w14:paraId="478B6A27" w14:textId="77777777" w:rsidR="009C22DF" w:rsidRDefault="009C22DF" w:rsidP="002711D5">
            <w:pPr>
              <w:pStyle w:val="TableBody"/>
              <w:rPr>
                <w:bCs/>
              </w:rPr>
            </w:pPr>
          </w:p>
          <w:p w14:paraId="206C9BBA" w14:textId="4AF836D4" w:rsidR="005F7D1C" w:rsidRPr="005F7D1C" w:rsidRDefault="003341F1" w:rsidP="002711D5">
            <w:pPr>
              <w:pStyle w:val="TableBody"/>
              <w:rPr>
                <w:lang w:val="en-AU"/>
              </w:rPr>
            </w:pPr>
            <w:r w:rsidRPr="62027685">
              <w:rPr>
                <w:lang w:val="en-AU"/>
              </w:rPr>
              <w:t>Clause 2.3.1(a)</w:t>
            </w:r>
            <w:r w:rsidR="00487763">
              <w:rPr>
                <w:lang w:val="en-AU"/>
              </w:rPr>
              <w:t>,</w:t>
            </w:r>
            <w:r w:rsidR="005F7D1C">
              <w:rPr>
                <w:lang w:val="en-AU"/>
              </w:rPr>
              <w:t xml:space="preserve"> (b)</w:t>
            </w:r>
            <w:r w:rsidR="00C478FE">
              <w:rPr>
                <w:lang w:val="en-AU"/>
              </w:rPr>
              <w:t>, (d)</w:t>
            </w:r>
            <w:r w:rsidR="00487763">
              <w:rPr>
                <w:lang w:val="en-AU"/>
              </w:rPr>
              <w:t xml:space="preserve"> and (g)</w:t>
            </w:r>
            <w:r w:rsidR="007A1EDD" w:rsidRPr="62027685">
              <w:rPr>
                <w:lang w:val="en-AU"/>
              </w:rPr>
              <w:t xml:space="preserve"> </w:t>
            </w:r>
            <w:r w:rsidR="005F7D1C">
              <w:rPr>
                <w:lang w:val="en-AU"/>
              </w:rPr>
              <w:t>are</w:t>
            </w:r>
            <w:r w:rsidR="00AB717C">
              <w:rPr>
                <w:lang w:val="en-AU"/>
              </w:rPr>
              <w:t xml:space="preserve"> </w:t>
            </w:r>
            <w:r w:rsidR="008F7238">
              <w:rPr>
                <w:lang w:val="en-AU"/>
              </w:rPr>
              <w:t>propose</w:t>
            </w:r>
            <w:r w:rsidR="00AB717C">
              <w:rPr>
                <w:lang w:val="en-AU"/>
              </w:rPr>
              <w:t>d</w:t>
            </w:r>
            <w:r w:rsidR="008F7238">
              <w:rPr>
                <w:lang w:val="en-AU"/>
              </w:rPr>
              <w:t xml:space="preserve"> to </w:t>
            </w:r>
            <w:r w:rsidR="00AB717C">
              <w:rPr>
                <w:lang w:val="en-AU"/>
              </w:rPr>
              <w:t xml:space="preserve">be </w:t>
            </w:r>
            <w:r w:rsidR="00DE1AA7">
              <w:rPr>
                <w:lang w:val="en-AU"/>
              </w:rPr>
              <w:t>transfer</w:t>
            </w:r>
            <w:r w:rsidR="00AB717C">
              <w:rPr>
                <w:lang w:val="en-AU"/>
              </w:rPr>
              <w:t xml:space="preserve">red </w:t>
            </w:r>
            <w:r w:rsidR="00DE1AA7">
              <w:rPr>
                <w:lang w:val="en-AU"/>
              </w:rPr>
              <w:t xml:space="preserve">to </w:t>
            </w:r>
            <w:r w:rsidR="00651665" w:rsidRPr="62027685">
              <w:rPr>
                <w:lang w:val="en-AU"/>
              </w:rPr>
              <w:t xml:space="preserve">the </w:t>
            </w:r>
            <w:hyperlink r:id="rId16">
              <w:r w:rsidR="00651665" w:rsidRPr="62027685">
                <w:rPr>
                  <w:rStyle w:val="Hyperlink"/>
                  <w:lang w:val="en-AU"/>
                </w:rPr>
                <w:t>Electricity Distribution Code of Practice</w:t>
              </w:r>
            </w:hyperlink>
            <w:r w:rsidR="00567EC1">
              <w:t xml:space="preserve"> without amendment.</w:t>
            </w:r>
          </w:p>
          <w:p w14:paraId="74A21E8B" w14:textId="77777777" w:rsidR="003341F1" w:rsidRDefault="003341F1" w:rsidP="002711D5">
            <w:pPr>
              <w:pStyle w:val="TableBody"/>
              <w:rPr>
                <w:bCs/>
              </w:rPr>
            </w:pPr>
          </w:p>
          <w:p w14:paraId="0E71E7E2" w14:textId="29355784" w:rsidR="006D3C7A" w:rsidRDefault="009C22DF" w:rsidP="002711D5">
            <w:pPr>
              <w:pStyle w:val="TableBody"/>
              <w:rPr>
                <w:bCs/>
              </w:rPr>
            </w:pPr>
            <w:r w:rsidRPr="62027685">
              <w:rPr>
                <w:lang w:val="en-AU"/>
              </w:rPr>
              <w:t xml:space="preserve">Clause </w:t>
            </w:r>
            <w:r w:rsidR="006D3C7A" w:rsidRPr="62027685">
              <w:rPr>
                <w:lang w:val="en-AU"/>
              </w:rPr>
              <w:t>2.3.1 (c) and (e)</w:t>
            </w:r>
            <w:r w:rsidR="00280471" w:rsidRPr="62027685">
              <w:rPr>
                <w:lang w:val="en-AU"/>
              </w:rPr>
              <w:t xml:space="preserve">, </w:t>
            </w:r>
            <w:r w:rsidR="0075689B" w:rsidRPr="62027685">
              <w:rPr>
                <w:lang w:val="en-AU"/>
              </w:rPr>
              <w:t xml:space="preserve">remove </w:t>
            </w:r>
            <w:r w:rsidR="006D3C7A" w:rsidRPr="62027685">
              <w:rPr>
                <w:lang w:val="en-AU"/>
              </w:rPr>
              <w:t>the 4 and 8 years</w:t>
            </w:r>
            <w:r w:rsidR="0024101F">
              <w:rPr>
                <w:lang w:val="en-AU"/>
              </w:rPr>
              <w:t xml:space="preserve"> replacement</w:t>
            </w:r>
            <w:r w:rsidR="00CE5529">
              <w:rPr>
                <w:lang w:val="en-AU"/>
              </w:rPr>
              <w:t xml:space="preserve"> </w:t>
            </w:r>
            <w:r w:rsidR="006D3C7A" w:rsidRPr="62027685">
              <w:rPr>
                <w:lang w:val="en-AU"/>
              </w:rPr>
              <w:t xml:space="preserve">cycle </w:t>
            </w:r>
            <w:r w:rsidR="005B678B" w:rsidRPr="62027685">
              <w:rPr>
                <w:lang w:val="en-AU"/>
              </w:rPr>
              <w:t>requirements</w:t>
            </w:r>
            <w:r w:rsidR="00F87E33" w:rsidRPr="62027685">
              <w:rPr>
                <w:lang w:val="en-AU"/>
              </w:rPr>
              <w:t xml:space="preserve"> </w:t>
            </w:r>
            <w:r w:rsidR="00670B74" w:rsidRPr="62027685">
              <w:rPr>
                <w:lang w:val="en-AU"/>
              </w:rPr>
              <w:t xml:space="preserve">and insert </w:t>
            </w:r>
            <w:r w:rsidR="006D3C7A" w:rsidRPr="62027685">
              <w:rPr>
                <w:lang w:val="en-AU"/>
              </w:rPr>
              <w:t>‘</w:t>
            </w:r>
            <w:r w:rsidR="000F3611" w:rsidRPr="62027685">
              <w:rPr>
                <w:lang w:val="en-AU"/>
              </w:rPr>
              <w:t xml:space="preserve">in accordance with industry best practice or </w:t>
            </w:r>
            <w:r w:rsidR="006D3C7A" w:rsidRPr="62027685">
              <w:rPr>
                <w:lang w:val="en-AU"/>
              </w:rPr>
              <w:t xml:space="preserve">as </w:t>
            </w:r>
            <w:r w:rsidR="00D919CD" w:rsidRPr="62027685">
              <w:rPr>
                <w:lang w:val="en-AU"/>
              </w:rPr>
              <w:t xml:space="preserve">otherwise </w:t>
            </w:r>
            <w:r w:rsidR="006D3C7A" w:rsidRPr="62027685">
              <w:rPr>
                <w:lang w:val="en-AU"/>
              </w:rPr>
              <w:t>required by the public lighting standard</w:t>
            </w:r>
            <w:r w:rsidR="00760D13" w:rsidRPr="62027685">
              <w:rPr>
                <w:lang w:val="en-AU"/>
              </w:rPr>
              <w:t>s</w:t>
            </w:r>
            <w:r w:rsidR="006D3C7A" w:rsidRPr="62027685">
              <w:rPr>
                <w:lang w:val="en-AU"/>
              </w:rPr>
              <w:t xml:space="preserve">’. </w:t>
            </w:r>
            <w:r w:rsidR="00053801" w:rsidRPr="62027685">
              <w:rPr>
                <w:lang w:val="en-AU"/>
              </w:rPr>
              <w:t xml:space="preserve">This </w:t>
            </w:r>
            <w:r w:rsidR="00632E2F">
              <w:rPr>
                <w:lang w:val="en-AU"/>
              </w:rPr>
              <w:t xml:space="preserve">aims </w:t>
            </w:r>
            <w:r w:rsidR="00053801" w:rsidRPr="62027685">
              <w:rPr>
                <w:lang w:val="en-AU"/>
              </w:rPr>
              <w:t>to enable industry innovation</w:t>
            </w:r>
            <w:r w:rsidR="00606F2D" w:rsidRPr="62027685">
              <w:rPr>
                <w:lang w:val="en-AU"/>
              </w:rPr>
              <w:t xml:space="preserve"> (particularly in terms of </w:t>
            </w:r>
            <w:r w:rsidR="00CE5529">
              <w:rPr>
                <w:lang w:val="en-AU"/>
              </w:rPr>
              <w:t xml:space="preserve">new lighting technology </w:t>
            </w:r>
            <w:r w:rsidR="00BD3BC8">
              <w:rPr>
                <w:lang w:val="en-AU"/>
              </w:rPr>
              <w:t xml:space="preserve">improved </w:t>
            </w:r>
            <w:r w:rsidR="003F27AC">
              <w:rPr>
                <w:lang w:val="en-AU"/>
              </w:rPr>
              <w:t>asset life cycle</w:t>
            </w:r>
            <w:r w:rsidR="00EF2FF9">
              <w:rPr>
                <w:lang w:val="en-AU"/>
              </w:rPr>
              <w:t xml:space="preserve"> and energy efficiencies</w:t>
            </w:r>
            <w:r w:rsidR="00606F2D" w:rsidRPr="62027685">
              <w:rPr>
                <w:lang w:val="en-AU"/>
              </w:rPr>
              <w:t>)</w:t>
            </w:r>
            <w:r w:rsidR="00053801" w:rsidRPr="62027685">
              <w:rPr>
                <w:lang w:val="en-AU"/>
              </w:rPr>
              <w:t>.</w:t>
            </w:r>
          </w:p>
          <w:p w14:paraId="37C48F15" w14:textId="77777777" w:rsidR="00345A3E" w:rsidRDefault="00345A3E" w:rsidP="002711D5">
            <w:pPr>
              <w:pStyle w:val="TableBody"/>
              <w:rPr>
                <w:bCs/>
              </w:rPr>
            </w:pPr>
          </w:p>
          <w:p w14:paraId="65C14D82" w14:textId="54EC6833" w:rsidR="00345A3E" w:rsidRDefault="00053DAB" w:rsidP="002711D5">
            <w:pPr>
              <w:pStyle w:val="TableBody"/>
              <w:rPr>
                <w:bCs/>
              </w:rPr>
            </w:pPr>
            <w:r w:rsidRPr="62027685">
              <w:rPr>
                <w:lang w:val="en-AU"/>
              </w:rPr>
              <w:t>C</w:t>
            </w:r>
            <w:r w:rsidR="00345A3E" w:rsidRPr="62027685">
              <w:rPr>
                <w:lang w:val="en-AU"/>
              </w:rPr>
              <w:t xml:space="preserve">lause </w:t>
            </w:r>
            <w:r w:rsidR="00670B8F" w:rsidRPr="62027685">
              <w:rPr>
                <w:lang w:val="en-AU"/>
              </w:rPr>
              <w:t>2.3.1(f)</w:t>
            </w:r>
            <w:r w:rsidR="00B93689" w:rsidRPr="62027685">
              <w:rPr>
                <w:lang w:val="en-AU"/>
              </w:rPr>
              <w:t xml:space="preserve"> drafting </w:t>
            </w:r>
            <w:r w:rsidRPr="62027685">
              <w:rPr>
                <w:lang w:val="en-AU"/>
              </w:rPr>
              <w:t>amend</w:t>
            </w:r>
            <w:r w:rsidR="00334BEB" w:rsidRPr="62027685">
              <w:rPr>
                <w:lang w:val="en-AU"/>
              </w:rPr>
              <w:t>ed</w:t>
            </w:r>
            <w:r w:rsidRPr="62027685">
              <w:rPr>
                <w:lang w:val="en-AU"/>
              </w:rPr>
              <w:t xml:space="preserve"> to include ‘</w:t>
            </w:r>
            <w:r w:rsidR="00DE6C68" w:rsidRPr="62027685">
              <w:rPr>
                <w:lang w:val="en-AU"/>
              </w:rPr>
              <w:t>…</w:t>
            </w:r>
            <w:r w:rsidR="005E2D21" w:rsidRPr="005E2D21">
              <w:rPr>
                <w:lang w:val="en-AU"/>
              </w:rPr>
              <w:t xml:space="preserve">replace or repair luminaires in accordance with industry best practice as agreed </w:t>
            </w:r>
            <w:r w:rsidR="00583E2D">
              <w:rPr>
                <w:lang w:val="en-AU"/>
              </w:rPr>
              <w:t xml:space="preserve">to </w:t>
            </w:r>
            <w:r w:rsidR="005E2D21" w:rsidRPr="005E2D21">
              <w:rPr>
                <w:lang w:val="en-AU"/>
              </w:rPr>
              <w:t xml:space="preserve">with the public lighting customer </w:t>
            </w:r>
            <w:r w:rsidR="00753E4B">
              <w:rPr>
                <w:lang w:val="en-AU"/>
              </w:rPr>
              <w:t>or</w:t>
            </w:r>
            <w:r w:rsidR="00B11CD9">
              <w:rPr>
                <w:lang w:val="en-AU"/>
              </w:rPr>
              <w:t xml:space="preserve"> at least 3 time per year</w:t>
            </w:r>
            <w:r w:rsidR="006844BA" w:rsidRPr="62027685">
              <w:rPr>
                <w:lang w:val="en-AU"/>
              </w:rPr>
              <w:t>’</w:t>
            </w:r>
            <w:r w:rsidR="008211CE" w:rsidRPr="62027685">
              <w:rPr>
                <w:lang w:val="en-AU"/>
              </w:rPr>
              <w:t xml:space="preserve">. </w:t>
            </w:r>
            <w:r w:rsidR="001D07BB" w:rsidRPr="62027685">
              <w:rPr>
                <w:lang w:val="en-AU"/>
              </w:rPr>
              <w:t xml:space="preserve">This aims to reflect new national </w:t>
            </w:r>
            <w:hyperlink r:id="rId17" w:history="1">
              <w:r w:rsidR="008F1201" w:rsidRPr="62027685">
                <w:rPr>
                  <w:rStyle w:val="Hyperlink"/>
                  <w:lang w:val="en-AU"/>
                </w:rPr>
                <w:t>Consumer Energy Resources (CER)</w:t>
              </w:r>
            </w:hyperlink>
            <w:r w:rsidR="008F1201" w:rsidRPr="62027685">
              <w:rPr>
                <w:lang w:val="en-AU"/>
              </w:rPr>
              <w:t xml:space="preserve"> </w:t>
            </w:r>
            <w:r w:rsidR="002F6BDF" w:rsidRPr="62027685">
              <w:rPr>
                <w:lang w:val="en-AU"/>
              </w:rPr>
              <w:t>flexible</w:t>
            </w:r>
            <w:r w:rsidR="001D07BB" w:rsidRPr="62027685">
              <w:rPr>
                <w:lang w:val="en-AU"/>
              </w:rPr>
              <w:t xml:space="preserve"> </w:t>
            </w:r>
            <w:r w:rsidR="00133B46" w:rsidRPr="62027685">
              <w:rPr>
                <w:lang w:val="en-AU"/>
              </w:rPr>
              <w:t xml:space="preserve">trading rule </w:t>
            </w:r>
            <w:r w:rsidR="001D07BB" w:rsidRPr="62027685">
              <w:rPr>
                <w:lang w:val="en-AU"/>
              </w:rPr>
              <w:t>change</w:t>
            </w:r>
            <w:r w:rsidR="00113A83" w:rsidRPr="62027685">
              <w:rPr>
                <w:lang w:val="en-AU"/>
              </w:rPr>
              <w:t>s</w:t>
            </w:r>
            <w:r w:rsidR="00D671E4" w:rsidRPr="62027685">
              <w:rPr>
                <w:lang w:val="en-AU"/>
              </w:rPr>
              <w:t xml:space="preserve"> of enabling new technologies for public lighting.</w:t>
            </w:r>
          </w:p>
          <w:p w14:paraId="2D844051" w14:textId="77777777" w:rsidR="006D3C7A" w:rsidRDefault="006D3C7A" w:rsidP="002711D5">
            <w:pPr>
              <w:pStyle w:val="TableBody"/>
              <w:rPr>
                <w:bCs/>
              </w:rPr>
            </w:pPr>
          </w:p>
          <w:p w14:paraId="0F4A98C6" w14:textId="6BBA9357" w:rsidR="00D66A53" w:rsidRDefault="005B678B" w:rsidP="002711D5">
            <w:pPr>
              <w:pStyle w:val="TableBody"/>
              <w:rPr>
                <w:bCs/>
              </w:rPr>
            </w:pPr>
            <w:r w:rsidRPr="62027685">
              <w:rPr>
                <w:lang w:val="en-AU"/>
              </w:rPr>
              <w:t xml:space="preserve">We propose to </w:t>
            </w:r>
            <w:r w:rsidR="007F2804" w:rsidRPr="62027685">
              <w:rPr>
                <w:lang w:val="en-AU"/>
              </w:rPr>
              <w:t xml:space="preserve">retain and transfer clause 2.3.2.to </w:t>
            </w:r>
            <w:r w:rsidRPr="62027685">
              <w:rPr>
                <w:lang w:val="en-AU"/>
              </w:rPr>
              <w:t xml:space="preserve">new clause 19.7.2  in the </w:t>
            </w:r>
            <w:hyperlink r:id="rId18">
              <w:r w:rsidRPr="62027685">
                <w:rPr>
                  <w:rStyle w:val="Hyperlink"/>
                  <w:lang w:val="en-AU"/>
                </w:rPr>
                <w:t>Electricity Distribution Code of Practice</w:t>
              </w:r>
            </w:hyperlink>
            <w:r w:rsidR="00606F2D" w:rsidRPr="62027685">
              <w:rPr>
                <w:lang w:val="en-AU"/>
              </w:rPr>
              <w:t>.</w:t>
            </w:r>
          </w:p>
          <w:p w14:paraId="2E45A44C" w14:textId="77777777" w:rsidR="008C54FE" w:rsidRDefault="008C54FE" w:rsidP="00106A76">
            <w:pPr>
              <w:pStyle w:val="TableBody"/>
              <w:rPr>
                <w:color w:val="000000"/>
                <w:lang w:val="en-AU"/>
              </w:rPr>
            </w:pPr>
          </w:p>
          <w:p w14:paraId="0588832D" w14:textId="07D7D312" w:rsidR="00316352" w:rsidRPr="000164C8" w:rsidRDefault="00316352" w:rsidP="00D342EC">
            <w:pPr>
              <w:pStyle w:val="TableBody"/>
            </w:pPr>
          </w:p>
        </w:tc>
      </w:tr>
      <w:tr w:rsidR="00316352" w:rsidRPr="00E44522" w14:paraId="2809D0F9" w14:textId="77777777" w:rsidTr="00223042">
        <w:trPr>
          <w:cnfStyle w:val="000000100000" w:firstRow="0" w:lastRow="0" w:firstColumn="0" w:lastColumn="0" w:oddVBand="0" w:evenVBand="0" w:oddHBand="1" w:evenHBand="0" w:firstRowFirstColumn="0" w:firstRowLastColumn="0" w:lastRowFirstColumn="0" w:lastRowLastColumn="0"/>
          <w:cantSplit/>
          <w:trHeight w:val="300"/>
        </w:trPr>
        <w:tc>
          <w:tcPr>
            <w:tcW w:w="7371" w:type="dxa"/>
          </w:tcPr>
          <w:p w14:paraId="791442A2" w14:textId="77777777" w:rsidR="00316352" w:rsidRDefault="00762C0F" w:rsidP="00CB316D">
            <w:pPr>
              <w:pStyle w:val="TableBody"/>
              <w:rPr>
                <w:b/>
                <w:lang w:val="en-AU"/>
              </w:rPr>
            </w:pPr>
            <w:r w:rsidRPr="00762C0F">
              <w:rPr>
                <w:b/>
                <w:lang w:val="en-AU"/>
              </w:rPr>
              <w:lastRenderedPageBreak/>
              <w:t>2.4 Charges</w:t>
            </w:r>
          </w:p>
          <w:p w14:paraId="55B71334" w14:textId="47B699A9" w:rsidR="00762C0F" w:rsidRPr="00762C0F" w:rsidRDefault="00762C0F" w:rsidP="00CB316D">
            <w:pPr>
              <w:pStyle w:val="TableBody"/>
              <w:rPr>
                <w:bCs/>
                <w:lang w:val="en-AU"/>
              </w:rPr>
            </w:pPr>
            <w:r w:rsidRPr="00762C0F">
              <w:rPr>
                <w:bCs/>
                <w:lang w:val="en-AU"/>
              </w:rPr>
              <w:t xml:space="preserve">All of a </w:t>
            </w:r>
            <w:r w:rsidRPr="00762C0F">
              <w:rPr>
                <w:b/>
                <w:lang w:val="en-AU"/>
              </w:rPr>
              <w:t>distributor’s</w:t>
            </w:r>
            <w:r w:rsidRPr="00762C0F">
              <w:rPr>
                <w:bCs/>
                <w:lang w:val="en-AU"/>
              </w:rPr>
              <w:t xml:space="preserve"> charges for </w:t>
            </w:r>
            <w:r w:rsidRPr="00762C0F">
              <w:rPr>
                <w:b/>
                <w:lang w:val="en-AU"/>
              </w:rPr>
              <w:t>public lighting services</w:t>
            </w:r>
            <w:r w:rsidRPr="00762C0F">
              <w:rPr>
                <w:bCs/>
                <w:lang w:val="en-AU"/>
              </w:rPr>
              <w:t xml:space="preserve"> performed under its plans, other than installation of new </w:t>
            </w:r>
            <w:r w:rsidRPr="00762C0F">
              <w:rPr>
                <w:b/>
                <w:lang w:val="en-AU"/>
              </w:rPr>
              <w:t>public lighting assets</w:t>
            </w:r>
            <w:r w:rsidRPr="00762C0F">
              <w:rPr>
                <w:bCs/>
                <w:lang w:val="en-AU"/>
              </w:rPr>
              <w:t xml:space="preserve">, must be set out in a schedule of charges. The schedule of charges must be set out on a per </w:t>
            </w:r>
            <w:r w:rsidRPr="00762C0F">
              <w:rPr>
                <w:b/>
                <w:lang w:val="en-AU"/>
              </w:rPr>
              <w:t>luminaire</w:t>
            </w:r>
            <w:r w:rsidRPr="00762C0F">
              <w:rPr>
                <w:bCs/>
                <w:lang w:val="en-AU"/>
              </w:rPr>
              <w:t xml:space="preserve"> per annum basis. The charges must be fair and reasonable.</w:t>
            </w:r>
          </w:p>
        </w:tc>
        <w:tc>
          <w:tcPr>
            <w:tcW w:w="7341" w:type="dxa"/>
          </w:tcPr>
          <w:p w14:paraId="562CFAB7" w14:textId="5BFBFE7F" w:rsidR="00FA1008" w:rsidRDefault="00A01B9C" w:rsidP="00612C31">
            <w:pPr>
              <w:pStyle w:val="TableBody"/>
            </w:pPr>
            <w:r w:rsidRPr="62027685">
              <w:rPr>
                <w:lang w:val="en-AU"/>
              </w:rPr>
              <w:t xml:space="preserve">We consider this clause to be </w:t>
            </w:r>
            <w:r w:rsidR="00690B16" w:rsidRPr="62027685">
              <w:rPr>
                <w:lang w:val="en-AU"/>
              </w:rPr>
              <w:t>redundant or</w:t>
            </w:r>
            <w:r w:rsidRPr="62027685">
              <w:rPr>
                <w:lang w:val="en-AU"/>
              </w:rPr>
              <w:t xml:space="preserve"> superseded by other regulations</w:t>
            </w:r>
            <w:r w:rsidR="00FA1008" w:rsidRPr="62027685">
              <w:rPr>
                <w:lang w:val="en-AU"/>
              </w:rPr>
              <w:t>.</w:t>
            </w:r>
          </w:p>
          <w:p w14:paraId="1F596F56" w14:textId="77777777" w:rsidR="00E46261" w:rsidRDefault="00E46261" w:rsidP="00612C31">
            <w:pPr>
              <w:pStyle w:val="TableBody"/>
            </w:pPr>
          </w:p>
          <w:p w14:paraId="05ED2B7E" w14:textId="48EDBA8D" w:rsidR="00612C31" w:rsidRPr="00612C31" w:rsidRDefault="000C45E0" w:rsidP="00612C31">
            <w:pPr>
              <w:pStyle w:val="TableBody"/>
              <w:rPr>
                <w:b/>
                <w:lang w:val="en-AU"/>
              </w:rPr>
            </w:pPr>
            <w:r w:rsidRPr="62027685">
              <w:rPr>
                <w:lang w:val="en-AU"/>
              </w:rPr>
              <w:t xml:space="preserve">We note </w:t>
            </w:r>
            <w:hyperlink r:id="rId19" w:anchor="6">
              <w:r w:rsidRPr="62027685">
                <w:rPr>
                  <w:lang w:val="en-AU"/>
                </w:rPr>
                <w:t>t</w:t>
              </w:r>
              <w:r w:rsidR="00F734E5" w:rsidRPr="62027685">
                <w:rPr>
                  <w:rStyle w:val="Hyperlink"/>
                  <w:lang w:val="en-AU"/>
                </w:rPr>
                <w:t>he National Electricity Rules</w:t>
              </w:r>
              <w:r w:rsidR="00B34A30" w:rsidRPr="62027685">
                <w:rPr>
                  <w:rStyle w:val="Hyperlink"/>
                  <w:lang w:val="en-AU"/>
                </w:rPr>
                <w:t>, chapter 6</w:t>
              </w:r>
              <w:r w:rsidR="00F734E5" w:rsidRPr="62027685">
                <w:rPr>
                  <w:rStyle w:val="Hyperlink"/>
                  <w:lang w:val="en-AU"/>
                </w:rPr>
                <w:t xml:space="preserve"> </w:t>
              </w:r>
            </w:hyperlink>
            <w:r w:rsidR="00AB1A0A" w:rsidRPr="62027685">
              <w:rPr>
                <w:lang w:val="en-AU"/>
              </w:rPr>
              <w:t>provi</w:t>
            </w:r>
            <w:r w:rsidR="007F2804" w:rsidRPr="62027685">
              <w:rPr>
                <w:lang w:val="en-AU"/>
              </w:rPr>
              <w:t xml:space="preserve">sions </w:t>
            </w:r>
            <w:r w:rsidR="00AB1A0A" w:rsidRPr="62027685">
              <w:rPr>
                <w:lang w:val="en-AU"/>
              </w:rPr>
              <w:t xml:space="preserve">for the economic regulation of </w:t>
            </w:r>
            <w:r w:rsidR="007F2804" w:rsidRPr="62027685">
              <w:rPr>
                <w:lang w:val="en-AU"/>
              </w:rPr>
              <w:t xml:space="preserve">distribution </w:t>
            </w:r>
            <w:r w:rsidR="00AB1A0A" w:rsidRPr="62027685">
              <w:rPr>
                <w:lang w:val="en-AU"/>
              </w:rPr>
              <w:t>public lighting activities</w:t>
            </w:r>
            <w:r w:rsidR="007F2804" w:rsidRPr="62027685">
              <w:rPr>
                <w:lang w:val="en-AU"/>
              </w:rPr>
              <w:t xml:space="preserve"> and their service charges. </w:t>
            </w:r>
            <w:r w:rsidR="00F22E42">
              <w:rPr>
                <w:lang w:val="en-AU"/>
              </w:rPr>
              <w:t>Under these rules, distributors submit their alternative control service cost</w:t>
            </w:r>
            <w:r w:rsidR="00FF6B24">
              <w:rPr>
                <w:lang w:val="en-AU"/>
              </w:rPr>
              <w:t xml:space="preserve"> rates and individual light type replacement costs – these are public. </w:t>
            </w:r>
            <w:r w:rsidR="007F2804" w:rsidRPr="62027685">
              <w:rPr>
                <w:lang w:val="en-AU"/>
              </w:rPr>
              <w:t>This is</w:t>
            </w:r>
            <w:r w:rsidR="000164C8" w:rsidRPr="62027685">
              <w:rPr>
                <w:lang w:val="en-AU"/>
              </w:rPr>
              <w:t xml:space="preserve"> </w:t>
            </w:r>
            <w:r w:rsidR="00E46261" w:rsidRPr="62027685">
              <w:rPr>
                <w:lang w:val="en-AU"/>
              </w:rPr>
              <w:t xml:space="preserve">administered </w:t>
            </w:r>
            <w:r w:rsidR="008701BB" w:rsidRPr="62027685">
              <w:rPr>
                <w:lang w:val="en-AU"/>
              </w:rPr>
              <w:t>by the Australian Energy Regulator</w:t>
            </w:r>
            <w:r w:rsidR="007F2804" w:rsidRPr="62027685">
              <w:rPr>
                <w:lang w:val="en-AU"/>
              </w:rPr>
              <w:t xml:space="preserve"> as distribution economic regulations </w:t>
            </w:r>
            <w:r w:rsidR="00EA3E79" w:rsidRPr="62027685">
              <w:rPr>
                <w:lang w:val="en-AU"/>
              </w:rPr>
              <w:t xml:space="preserve">and </w:t>
            </w:r>
            <w:r w:rsidR="007F2804" w:rsidRPr="62027685">
              <w:rPr>
                <w:lang w:val="en-AU"/>
              </w:rPr>
              <w:t>is outside our jurisdiction.</w:t>
            </w:r>
          </w:p>
          <w:p w14:paraId="6B68A188" w14:textId="17509FAC" w:rsidR="00316352" w:rsidRPr="00E44522" w:rsidRDefault="00316352" w:rsidP="00612C31">
            <w:pPr>
              <w:pStyle w:val="TableBody"/>
              <w:rPr>
                <w:b/>
                <w:highlight w:val="yellow"/>
              </w:rPr>
            </w:pPr>
          </w:p>
        </w:tc>
      </w:tr>
      <w:tr w:rsidR="00E7542A" w:rsidRPr="00E44522" w14:paraId="2F3C3BB4" w14:textId="77777777" w:rsidTr="00223042">
        <w:trPr>
          <w:cnfStyle w:val="000000010000" w:firstRow="0" w:lastRow="0" w:firstColumn="0" w:lastColumn="0" w:oddVBand="0" w:evenVBand="0" w:oddHBand="0" w:evenHBand="1" w:firstRowFirstColumn="0" w:firstRowLastColumn="0" w:lastRowFirstColumn="0" w:lastRowLastColumn="0"/>
          <w:cantSplit/>
          <w:trHeight w:val="300"/>
        </w:trPr>
        <w:tc>
          <w:tcPr>
            <w:tcW w:w="7371" w:type="dxa"/>
          </w:tcPr>
          <w:p w14:paraId="3EBD6CF4" w14:textId="77777777" w:rsidR="00E7542A" w:rsidRDefault="00B20A52" w:rsidP="00CB316D">
            <w:pPr>
              <w:pStyle w:val="TableBody"/>
              <w:rPr>
                <w:b/>
                <w:lang w:val="en-AU"/>
              </w:rPr>
            </w:pPr>
            <w:r w:rsidRPr="00B20A52">
              <w:rPr>
                <w:b/>
                <w:lang w:val="en-AU"/>
              </w:rPr>
              <w:t>2.5 Guaranteed service level</w:t>
            </w:r>
          </w:p>
          <w:p w14:paraId="23C46BBD" w14:textId="1C3CC5DF" w:rsidR="00B36228" w:rsidRPr="00B20A52" w:rsidRDefault="00B20A52" w:rsidP="00CB316D">
            <w:pPr>
              <w:pStyle w:val="TableBody"/>
              <w:rPr>
                <w:bCs/>
                <w:lang w:val="en-AU"/>
              </w:rPr>
            </w:pPr>
            <w:r w:rsidRPr="00B20A52">
              <w:rPr>
                <w:bCs/>
                <w:lang w:val="en-AU"/>
              </w:rPr>
              <w:t>Where a distributor does no</w:t>
            </w:r>
            <w:r w:rsidRPr="00CB1956">
              <w:rPr>
                <w:bCs/>
                <w:lang w:val="en-AU"/>
              </w:rPr>
              <w:t>t repair a public light within 2 business days of a fault</w:t>
            </w:r>
            <w:r w:rsidR="00B36228" w:rsidRPr="00CB1956">
              <w:rPr>
                <w:bCs/>
                <w:lang w:val="en-AU"/>
              </w:rPr>
              <w:t xml:space="preserve"> </w:t>
            </w:r>
            <w:r w:rsidRPr="00CB1956">
              <w:rPr>
                <w:bCs/>
                <w:lang w:val="en-AU"/>
              </w:rPr>
              <w:t>report or a period otherwise agreed between the distributor and the person, it must pay the first person who reported the fault a minimum</w:t>
            </w:r>
            <w:r w:rsidRPr="00B20A52">
              <w:rPr>
                <w:bCs/>
                <w:lang w:val="en-AU"/>
              </w:rPr>
              <w:t xml:space="preserve"> of $25 if: </w:t>
            </w:r>
          </w:p>
          <w:p w14:paraId="6D752DB1" w14:textId="647D55BA" w:rsidR="00B36228" w:rsidRPr="00B36228" w:rsidRDefault="00B20A52" w:rsidP="001E3E57">
            <w:pPr>
              <w:pStyle w:val="TableBody"/>
              <w:numPr>
                <w:ilvl w:val="0"/>
                <w:numId w:val="14"/>
              </w:numPr>
              <w:rPr>
                <w:bCs/>
                <w:lang w:val="en-AU"/>
              </w:rPr>
            </w:pPr>
            <w:r w:rsidRPr="00B20A52">
              <w:rPr>
                <w:bCs/>
                <w:lang w:val="en-AU"/>
              </w:rPr>
              <w:t xml:space="preserve">that person is the occupier of an immediately neighbouring residence or is the proprietor of an immediately neighbouring business, and </w:t>
            </w:r>
          </w:p>
          <w:p w14:paraId="5334C6ED" w14:textId="6CC6E923" w:rsidR="00B20A52" w:rsidRPr="00B20A52" w:rsidRDefault="00B20A52" w:rsidP="001E3E57">
            <w:pPr>
              <w:pStyle w:val="TableBody"/>
              <w:numPr>
                <w:ilvl w:val="0"/>
                <w:numId w:val="14"/>
              </w:numPr>
              <w:rPr>
                <w:bCs/>
                <w:lang w:val="en-AU"/>
              </w:rPr>
            </w:pPr>
            <w:r w:rsidRPr="00B20A52">
              <w:rPr>
                <w:bCs/>
                <w:lang w:val="en-AU"/>
              </w:rPr>
              <w:t>the public light is a distributor-owned public lighting asset for which the</w:t>
            </w:r>
            <w:r w:rsidR="000D0291">
              <w:rPr>
                <w:bCs/>
                <w:lang w:val="en-AU"/>
              </w:rPr>
              <w:t xml:space="preserve"> </w:t>
            </w:r>
            <w:r w:rsidRPr="00B20A52">
              <w:rPr>
                <w:bCs/>
                <w:lang w:val="en-AU"/>
              </w:rPr>
              <w:t>operation, maintenance, repair and replacement is regulated by the Australian Energy Regulator as an alternative control service under Chapter 6 of the National Electricity Rules.</w:t>
            </w:r>
          </w:p>
        </w:tc>
        <w:tc>
          <w:tcPr>
            <w:tcW w:w="7341" w:type="dxa"/>
          </w:tcPr>
          <w:p w14:paraId="750F9F3C" w14:textId="77777777" w:rsidR="00E46261" w:rsidRDefault="00E46261" w:rsidP="00A367B5">
            <w:pPr>
              <w:pStyle w:val="TableBody"/>
              <w:rPr>
                <w:bCs/>
              </w:rPr>
            </w:pPr>
          </w:p>
          <w:p w14:paraId="3A8F0536" w14:textId="576CA3E6" w:rsidR="00E7542A" w:rsidRPr="006E7AA9" w:rsidRDefault="00E9674C" w:rsidP="00A367B5">
            <w:pPr>
              <w:pStyle w:val="TableBody"/>
              <w:rPr>
                <w:bCs/>
              </w:rPr>
            </w:pPr>
            <w:r w:rsidRPr="62027685">
              <w:rPr>
                <w:lang w:val="en-AU"/>
              </w:rPr>
              <w:t>We propos</w:t>
            </w:r>
            <w:r w:rsidR="00E46261" w:rsidRPr="62027685">
              <w:rPr>
                <w:lang w:val="en-AU"/>
              </w:rPr>
              <w:t>e</w:t>
            </w:r>
            <w:r w:rsidRPr="62027685">
              <w:rPr>
                <w:lang w:val="en-AU"/>
              </w:rPr>
              <w:t xml:space="preserve"> </w:t>
            </w:r>
            <w:r w:rsidR="006E7AA9" w:rsidRPr="62027685">
              <w:rPr>
                <w:lang w:val="en-AU"/>
              </w:rPr>
              <w:t xml:space="preserve">to </w:t>
            </w:r>
            <w:r w:rsidR="00E46261" w:rsidRPr="62027685">
              <w:rPr>
                <w:lang w:val="en-AU"/>
              </w:rPr>
              <w:t xml:space="preserve">retain and </w:t>
            </w:r>
            <w:r w:rsidR="006E7AA9" w:rsidRPr="62027685">
              <w:rPr>
                <w:lang w:val="en-AU"/>
              </w:rPr>
              <w:t>transfer section 2.5</w:t>
            </w:r>
            <w:r w:rsidR="00827074" w:rsidRPr="62027685">
              <w:rPr>
                <w:lang w:val="en-AU"/>
              </w:rPr>
              <w:t xml:space="preserve"> to </w:t>
            </w:r>
            <w:r w:rsidR="00E46261" w:rsidRPr="62027685">
              <w:rPr>
                <w:lang w:val="en-AU"/>
              </w:rPr>
              <w:t xml:space="preserve">clause </w:t>
            </w:r>
            <w:r w:rsidR="00827074" w:rsidRPr="62027685">
              <w:rPr>
                <w:lang w:val="en-AU"/>
              </w:rPr>
              <w:t>14</w:t>
            </w:r>
            <w:r w:rsidR="00E46261" w:rsidRPr="62027685">
              <w:rPr>
                <w:lang w:val="en-AU"/>
              </w:rPr>
              <w:t>.5.1</w:t>
            </w:r>
            <w:r w:rsidR="00827074" w:rsidRPr="62027685">
              <w:rPr>
                <w:lang w:val="en-AU"/>
              </w:rPr>
              <w:t xml:space="preserve"> </w:t>
            </w:r>
            <w:r w:rsidR="00B51078" w:rsidRPr="62027685">
              <w:rPr>
                <w:lang w:val="en-AU"/>
              </w:rPr>
              <w:t xml:space="preserve">of the </w:t>
            </w:r>
            <w:hyperlink r:id="rId20">
              <w:r w:rsidR="00B51078" w:rsidRPr="62027685">
                <w:rPr>
                  <w:rStyle w:val="Hyperlink"/>
                  <w:lang w:val="en-AU"/>
                </w:rPr>
                <w:t xml:space="preserve">Electricity </w:t>
              </w:r>
              <w:r w:rsidR="00D065CF" w:rsidRPr="62027685">
                <w:rPr>
                  <w:rStyle w:val="Hyperlink"/>
                  <w:lang w:val="en-AU"/>
                </w:rPr>
                <w:t>Distribution Code of Practice</w:t>
              </w:r>
            </w:hyperlink>
            <w:r w:rsidR="00B34A30" w:rsidRPr="62027685">
              <w:rPr>
                <w:lang w:val="en-AU"/>
              </w:rPr>
              <w:t xml:space="preserve"> (</w:t>
            </w:r>
            <w:r w:rsidR="00E37F12" w:rsidRPr="62027685">
              <w:rPr>
                <w:lang w:val="en-AU"/>
              </w:rPr>
              <w:t>G</w:t>
            </w:r>
            <w:r w:rsidR="00B34A30" w:rsidRPr="62027685">
              <w:rPr>
                <w:lang w:val="en-AU"/>
              </w:rPr>
              <w:t xml:space="preserve">uaranteed </w:t>
            </w:r>
            <w:r w:rsidR="00E37F12" w:rsidRPr="62027685">
              <w:rPr>
                <w:lang w:val="en-AU"/>
              </w:rPr>
              <w:t>S</w:t>
            </w:r>
            <w:r w:rsidR="00B34A30" w:rsidRPr="62027685">
              <w:rPr>
                <w:lang w:val="en-AU"/>
              </w:rPr>
              <w:t xml:space="preserve">ervice </w:t>
            </w:r>
            <w:r w:rsidR="00E37F12" w:rsidRPr="62027685">
              <w:rPr>
                <w:lang w:val="en-AU"/>
              </w:rPr>
              <w:t>L</w:t>
            </w:r>
            <w:r w:rsidR="00B34A30" w:rsidRPr="62027685">
              <w:rPr>
                <w:lang w:val="en-AU"/>
              </w:rPr>
              <w:t>evels)</w:t>
            </w:r>
            <w:r w:rsidR="00D065CF" w:rsidRPr="62027685">
              <w:rPr>
                <w:lang w:val="en-AU"/>
              </w:rPr>
              <w:t xml:space="preserve">. </w:t>
            </w:r>
          </w:p>
          <w:p w14:paraId="2AC052FB" w14:textId="77777777" w:rsidR="00334E6F" w:rsidRPr="00A367B5" w:rsidRDefault="00334E6F" w:rsidP="0090442F">
            <w:pPr>
              <w:pStyle w:val="TableBody"/>
              <w:rPr>
                <w:bCs/>
                <w:highlight w:val="yellow"/>
              </w:rPr>
            </w:pPr>
          </w:p>
        </w:tc>
      </w:tr>
      <w:tr w:rsidR="004A66FD" w:rsidRPr="00E44522" w14:paraId="7B9EE112" w14:textId="77777777" w:rsidTr="00223042">
        <w:trPr>
          <w:cnfStyle w:val="000000100000" w:firstRow="0" w:lastRow="0" w:firstColumn="0" w:lastColumn="0" w:oddVBand="0" w:evenVBand="0" w:oddHBand="1" w:evenHBand="0" w:firstRowFirstColumn="0" w:firstRowLastColumn="0" w:lastRowFirstColumn="0" w:lastRowLastColumn="0"/>
          <w:cantSplit/>
          <w:trHeight w:val="300"/>
        </w:trPr>
        <w:tc>
          <w:tcPr>
            <w:tcW w:w="14712" w:type="dxa"/>
            <w:gridSpan w:val="2"/>
            <w:vAlign w:val="center"/>
          </w:tcPr>
          <w:p w14:paraId="4BD31379" w14:textId="46DE35CE" w:rsidR="004A66FD" w:rsidRPr="00E44522" w:rsidRDefault="004A66FD" w:rsidP="00CB316D">
            <w:pPr>
              <w:pStyle w:val="TableBody"/>
              <w:jc w:val="center"/>
              <w:rPr>
                <w:b/>
                <w:highlight w:val="yellow"/>
              </w:rPr>
            </w:pPr>
            <w:r w:rsidRPr="004A66FD">
              <w:rPr>
                <w:b/>
              </w:rPr>
              <w:t xml:space="preserve">3. </w:t>
            </w:r>
            <w:r w:rsidR="00131D0F" w:rsidRPr="004A66FD">
              <w:rPr>
                <w:b/>
              </w:rPr>
              <w:t xml:space="preserve">NEW PUBLIC LIGHTING </w:t>
            </w:r>
          </w:p>
        </w:tc>
      </w:tr>
      <w:tr w:rsidR="00E7542A" w:rsidRPr="00E44522" w14:paraId="72CBC8F5" w14:textId="77777777" w:rsidTr="00223042">
        <w:trPr>
          <w:cnfStyle w:val="000000010000" w:firstRow="0" w:lastRow="0" w:firstColumn="0" w:lastColumn="0" w:oddVBand="0" w:evenVBand="0" w:oddHBand="0" w:evenHBand="1" w:firstRowFirstColumn="0" w:firstRowLastColumn="0" w:lastRowFirstColumn="0" w:lastRowLastColumn="0"/>
          <w:cantSplit/>
          <w:trHeight w:val="300"/>
        </w:trPr>
        <w:tc>
          <w:tcPr>
            <w:tcW w:w="7371" w:type="dxa"/>
          </w:tcPr>
          <w:p w14:paraId="13C2B4CB" w14:textId="2221D52D" w:rsidR="00E7542A" w:rsidRPr="00035F98" w:rsidRDefault="00035F98" w:rsidP="00CB316D">
            <w:pPr>
              <w:pStyle w:val="Pull-out"/>
              <w:spacing w:before="0" w:line="240" w:lineRule="auto"/>
              <w:ind w:left="0" w:right="0"/>
              <w:rPr>
                <w:i/>
                <w:iCs/>
              </w:rPr>
            </w:pPr>
            <w:r w:rsidRPr="00035F98">
              <w:rPr>
                <w:b/>
                <w:bCs/>
                <w:i/>
                <w:iCs/>
              </w:rPr>
              <w:t>EXPLANATORY NOTE</w:t>
            </w:r>
            <w:r w:rsidRPr="00035F98">
              <w:rPr>
                <w:i/>
                <w:iCs/>
              </w:rPr>
              <w:t xml:space="preserve">: Unless the </w:t>
            </w:r>
            <w:r w:rsidRPr="00035F98">
              <w:rPr>
                <w:b/>
                <w:bCs/>
                <w:i/>
                <w:iCs/>
              </w:rPr>
              <w:t>distributor</w:t>
            </w:r>
            <w:r w:rsidRPr="00035F98">
              <w:rPr>
                <w:i/>
                <w:iCs/>
              </w:rPr>
              <w:t xml:space="preserve"> and the </w:t>
            </w:r>
            <w:r w:rsidRPr="00035F98">
              <w:rPr>
                <w:b/>
                <w:bCs/>
                <w:i/>
                <w:iCs/>
              </w:rPr>
              <w:t>public lighting</w:t>
            </w:r>
            <w:r w:rsidRPr="00035F98">
              <w:rPr>
                <w:i/>
                <w:iCs/>
              </w:rPr>
              <w:t xml:space="preserve"> </w:t>
            </w:r>
            <w:r w:rsidRPr="00E6792C">
              <w:rPr>
                <w:b/>
                <w:bCs/>
                <w:i/>
                <w:iCs/>
              </w:rPr>
              <w:t>customer</w:t>
            </w:r>
            <w:r w:rsidRPr="00035F98">
              <w:rPr>
                <w:i/>
                <w:iCs/>
              </w:rPr>
              <w:t xml:space="preserve"> agree otherwise this Code does not apply where the </w:t>
            </w:r>
            <w:r w:rsidRPr="00E6792C">
              <w:rPr>
                <w:b/>
                <w:bCs/>
                <w:i/>
                <w:iCs/>
              </w:rPr>
              <w:t>public lighting customer</w:t>
            </w:r>
            <w:r w:rsidRPr="00035F98">
              <w:rPr>
                <w:i/>
                <w:iCs/>
              </w:rPr>
              <w:t xml:space="preserve"> elects to own new public lighting. However, the </w:t>
            </w:r>
            <w:r w:rsidRPr="00CB316D">
              <w:rPr>
                <w:b/>
                <w:bCs/>
                <w:i/>
                <w:iCs/>
              </w:rPr>
              <w:t>distributor</w:t>
            </w:r>
            <w:r w:rsidRPr="00035F98">
              <w:rPr>
                <w:i/>
                <w:iCs/>
              </w:rPr>
              <w:t xml:space="preserve"> and the </w:t>
            </w:r>
            <w:r w:rsidRPr="00CB316D">
              <w:rPr>
                <w:b/>
                <w:bCs/>
                <w:i/>
                <w:iCs/>
              </w:rPr>
              <w:t>public lighting customer</w:t>
            </w:r>
            <w:r w:rsidRPr="00035F98">
              <w:rPr>
                <w:i/>
                <w:iCs/>
              </w:rPr>
              <w:t xml:space="preserve"> may agree that after the construction and commissioning of the assets the ownership of the assets will transfer to the </w:t>
            </w:r>
            <w:r w:rsidRPr="00CB316D">
              <w:rPr>
                <w:b/>
                <w:bCs/>
                <w:i/>
                <w:iCs/>
              </w:rPr>
              <w:t>distributor</w:t>
            </w:r>
            <w:r w:rsidRPr="00035F98">
              <w:rPr>
                <w:i/>
                <w:iCs/>
              </w:rPr>
              <w:t xml:space="preserve">. Where such an agreement is made (to transfer the assets to the </w:t>
            </w:r>
            <w:r w:rsidRPr="00CB316D">
              <w:rPr>
                <w:b/>
                <w:bCs/>
                <w:i/>
                <w:iCs/>
              </w:rPr>
              <w:t>distributor</w:t>
            </w:r>
            <w:r w:rsidRPr="00035F98">
              <w:rPr>
                <w:i/>
                <w:iCs/>
              </w:rPr>
              <w:t>) the assets become subject to the applicable provisions of this Code.</w:t>
            </w:r>
          </w:p>
        </w:tc>
        <w:tc>
          <w:tcPr>
            <w:tcW w:w="7341" w:type="dxa"/>
          </w:tcPr>
          <w:p w14:paraId="2F9E9BCD" w14:textId="77777777" w:rsidR="00E7542A" w:rsidRPr="00E44522" w:rsidRDefault="00E7542A" w:rsidP="00E659B4">
            <w:pPr>
              <w:pStyle w:val="TableBody"/>
              <w:rPr>
                <w:b/>
                <w:highlight w:val="yellow"/>
              </w:rPr>
            </w:pPr>
          </w:p>
        </w:tc>
      </w:tr>
      <w:tr w:rsidR="007F01AB" w:rsidRPr="00E44522" w14:paraId="6B6BABAD" w14:textId="77777777" w:rsidTr="00223042">
        <w:trPr>
          <w:cnfStyle w:val="000000100000" w:firstRow="0" w:lastRow="0" w:firstColumn="0" w:lastColumn="0" w:oddVBand="0" w:evenVBand="0" w:oddHBand="1" w:evenHBand="0" w:firstRowFirstColumn="0" w:firstRowLastColumn="0" w:lastRowFirstColumn="0" w:lastRowLastColumn="0"/>
          <w:cantSplit/>
          <w:trHeight w:val="300"/>
        </w:trPr>
        <w:tc>
          <w:tcPr>
            <w:tcW w:w="7371" w:type="dxa"/>
          </w:tcPr>
          <w:p w14:paraId="27E8CE83" w14:textId="77777777" w:rsidR="007F01AB" w:rsidRDefault="007F01AB" w:rsidP="00E659B4">
            <w:pPr>
              <w:pStyle w:val="TableBody"/>
              <w:rPr>
                <w:b/>
                <w:lang w:val="en-AU"/>
              </w:rPr>
            </w:pPr>
            <w:r w:rsidRPr="00CB316D">
              <w:rPr>
                <w:b/>
                <w:lang w:val="en-AU"/>
              </w:rPr>
              <w:lastRenderedPageBreak/>
              <w:t xml:space="preserve">3.1 Design brief </w:t>
            </w:r>
          </w:p>
          <w:p w14:paraId="21403023" w14:textId="21E34C0A" w:rsidR="007F01AB" w:rsidRPr="00CB316D" w:rsidRDefault="007F01AB" w:rsidP="00E659B4">
            <w:pPr>
              <w:pStyle w:val="TableBody"/>
              <w:rPr>
                <w:bCs/>
                <w:lang w:val="en-AU"/>
              </w:rPr>
            </w:pPr>
            <w:r w:rsidRPr="00CB316D">
              <w:rPr>
                <w:bCs/>
                <w:lang w:val="en-AU"/>
              </w:rPr>
              <w:t xml:space="preserve">A </w:t>
            </w:r>
            <w:r w:rsidRPr="00CB316D">
              <w:rPr>
                <w:b/>
                <w:lang w:val="en-AU"/>
              </w:rPr>
              <w:t>distributor</w:t>
            </w:r>
            <w:r w:rsidRPr="00CB316D">
              <w:rPr>
                <w:bCs/>
                <w:lang w:val="en-AU"/>
              </w:rPr>
              <w:t xml:space="preserve"> is not required to construct new </w:t>
            </w:r>
            <w:r w:rsidRPr="00742176">
              <w:rPr>
                <w:b/>
                <w:lang w:val="en-AU"/>
              </w:rPr>
              <w:t>public lighting assets</w:t>
            </w:r>
            <w:r w:rsidRPr="00CB316D">
              <w:rPr>
                <w:bCs/>
                <w:lang w:val="en-AU"/>
              </w:rPr>
              <w:t xml:space="preserve"> until a </w:t>
            </w:r>
            <w:r w:rsidRPr="00742176">
              <w:rPr>
                <w:b/>
                <w:lang w:val="en-AU"/>
              </w:rPr>
              <w:t>public lighting customer</w:t>
            </w:r>
            <w:r w:rsidRPr="00CB316D">
              <w:rPr>
                <w:bCs/>
                <w:lang w:val="en-AU"/>
              </w:rPr>
              <w:t xml:space="preserve"> has provided a design brief in accordance with the </w:t>
            </w:r>
            <w:r w:rsidRPr="00742176">
              <w:rPr>
                <w:b/>
                <w:lang w:val="en-AU"/>
              </w:rPr>
              <w:t>public lighting standards</w:t>
            </w:r>
            <w:r w:rsidRPr="00CB316D">
              <w:rPr>
                <w:bCs/>
                <w:lang w:val="en-AU"/>
              </w:rPr>
              <w:t xml:space="preserve"> for any required new </w:t>
            </w:r>
            <w:r w:rsidRPr="00A1128F">
              <w:rPr>
                <w:b/>
                <w:lang w:val="en-AU"/>
              </w:rPr>
              <w:t>public lighting assets.</w:t>
            </w:r>
          </w:p>
        </w:tc>
        <w:tc>
          <w:tcPr>
            <w:tcW w:w="7341" w:type="dxa"/>
            <w:vMerge w:val="restart"/>
          </w:tcPr>
          <w:p w14:paraId="1D066C75" w14:textId="55072916" w:rsidR="007F01AB" w:rsidRDefault="006D347B" w:rsidP="00C81556">
            <w:pPr>
              <w:pStyle w:val="TableBody"/>
              <w:rPr>
                <w:bCs/>
              </w:rPr>
            </w:pPr>
            <w:r w:rsidRPr="006D347B">
              <w:rPr>
                <w:bCs/>
              </w:rPr>
              <w:t xml:space="preserve">We consider </w:t>
            </w:r>
            <w:r w:rsidR="007F01AB">
              <w:rPr>
                <w:bCs/>
              </w:rPr>
              <w:t>clauses 3.1 Design brief, 3.2 Standard fittings</w:t>
            </w:r>
            <w:r w:rsidR="000F25A5">
              <w:rPr>
                <w:bCs/>
              </w:rPr>
              <w:t xml:space="preserve">, </w:t>
            </w:r>
            <w:r w:rsidR="007F01AB">
              <w:rPr>
                <w:bCs/>
              </w:rPr>
              <w:t xml:space="preserve">3.3 Non-standard fittings </w:t>
            </w:r>
            <w:r w:rsidR="000F25A5">
              <w:rPr>
                <w:bCs/>
              </w:rPr>
              <w:t>and 3.4 Supply point</w:t>
            </w:r>
            <w:r w:rsidR="00F90B58">
              <w:rPr>
                <w:bCs/>
              </w:rPr>
              <w:t>,</w:t>
            </w:r>
            <w:r w:rsidR="000F25A5">
              <w:rPr>
                <w:bCs/>
              </w:rPr>
              <w:t xml:space="preserve"> </w:t>
            </w:r>
            <w:r w:rsidR="007F01AB">
              <w:rPr>
                <w:bCs/>
              </w:rPr>
              <w:t>redundant</w:t>
            </w:r>
            <w:r w:rsidR="00D9263E" w:rsidRPr="006D347B">
              <w:rPr>
                <w:bCs/>
              </w:rPr>
              <w:t xml:space="preserve"> or superseded by other regulations</w:t>
            </w:r>
            <w:r w:rsidR="007F01AB">
              <w:rPr>
                <w:bCs/>
              </w:rPr>
              <w:t xml:space="preserve">. </w:t>
            </w:r>
          </w:p>
          <w:p w14:paraId="3FABEC46" w14:textId="77777777" w:rsidR="008E5C1D" w:rsidRDefault="008E5C1D" w:rsidP="00C81556">
            <w:pPr>
              <w:pStyle w:val="TableBody"/>
              <w:rPr>
                <w:bCs/>
              </w:rPr>
            </w:pPr>
          </w:p>
          <w:p w14:paraId="632177EF" w14:textId="77777777" w:rsidR="008C5C91" w:rsidRDefault="008C5C91" w:rsidP="00C81556">
            <w:pPr>
              <w:pStyle w:val="TableBody"/>
              <w:rPr>
                <w:bCs/>
              </w:rPr>
            </w:pPr>
          </w:p>
          <w:p w14:paraId="305211D6" w14:textId="39E63CA0" w:rsidR="001E1BC9" w:rsidRDefault="001E1BC9" w:rsidP="001E1BC9">
            <w:pPr>
              <w:spacing w:before="0" w:line="240" w:lineRule="auto"/>
              <w:rPr>
                <w:color w:val="000000"/>
              </w:rPr>
            </w:pPr>
            <w:r>
              <w:rPr>
                <w:color w:val="000000"/>
              </w:rPr>
              <w:t xml:space="preserve">The National Electricity (Victoria) Act 2005, Schedule 2, </w:t>
            </w:r>
            <w:r w:rsidR="00B34A30">
              <w:rPr>
                <w:color w:val="000000"/>
              </w:rPr>
              <w:t>is the Victorian adoption of the National Electricity Rules, chapter 5A</w:t>
            </w:r>
            <w:r w:rsidR="00C91D42">
              <w:rPr>
                <w:color w:val="000000"/>
              </w:rPr>
              <w:t xml:space="preserve">. We </w:t>
            </w:r>
            <w:r w:rsidR="00C91D42" w:rsidRPr="00F20A8F">
              <w:rPr>
                <w:color w:val="000000"/>
              </w:rPr>
              <w:t>note</w:t>
            </w:r>
            <w:r w:rsidR="00E50B48" w:rsidRPr="00F20A8F">
              <w:rPr>
                <w:color w:val="000000"/>
              </w:rPr>
              <w:t xml:space="preserve"> </w:t>
            </w:r>
            <w:r w:rsidR="004F7E56" w:rsidRPr="00F20A8F">
              <w:rPr>
                <w:color w:val="000000"/>
              </w:rPr>
              <w:t>th</w:t>
            </w:r>
            <w:r w:rsidR="004F3814" w:rsidRPr="00F20A8F">
              <w:rPr>
                <w:color w:val="000000"/>
              </w:rPr>
              <w:t>ere</w:t>
            </w:r>
            <w:r w:rsidR="004F7E56" w:rsidRPr="00F20A8F">
              <w:rPr>
                <w:color w:val="000000"/>
              </w:rPr>
              <w:t xml:space="preserve"> are some differences</w:t>
            </w:r>
            <w:r w:rsidR="00107B92" w:rsidRPr="00F20A8F">
              <w:rPr>
                <w:color w:val="000000"/>
              </w:rPr>
              <w:t xml:space="preserve"> </w:t>
            </w:r>
            <w:r w:rsidR="004B5410" w:rsidRPr="00F20A8F">
              <w:rPr>
                <w:color w:val="000000"/>
              </w:rPr>
              <w:t xml:space="preserve">with this and </w:t>
            </w:r>
            <w:r w:rsidR="00107B92" w:rsidRPr="00F20A8F">
              <w:rPr>
                <w:color w:val="000000"/>
              </w:rPr>
              <w:t>ou</w:t>
            </w:r>
            <w:r w:rsidR="003C703D" w:rsidRPr="00F20A8F">
              <w:rPr>
                <w:color w:val="000000"/>
              </w:rPr>
              <w:t>r</w:t>
            </w:r>
            <w:r w:rsidR="00107B92" w:rsidRPr="00F20A8F">
              <w:rPr>
                <w:color w:val="000000"/>
              </w:rPr>
              <w:t xml:space="preserve"> framework</w:t>
            </w:r>
            <w:r w:rsidR="004F7E56" w:rsidRPr="00F20A8F">
              <w:rPr>
                <w:color w:val="000000"/>
              </w:rPr>
              <w:t xml:space="preserve">, but </w:t>
            </w:r>
            <w:r w:rsidR="00107B92" w:rsidRPr="00F20A8F">
              <w:rPr>
                <w:color w:val="000000"/>
              </w:rPr>
              <w:t xml:space="preserve">the </w:t>
            </w:r>
            <w:r w:rsidR="006C436A" w:rsidRPr="00F20A8F">
              <w:rPr>
                <w:color w:val="000000"/>
              </w:rPr>
              <w:t xml:space="preserve">intent </w:t>
            </w:r>
            <w:r w:rsidR="00DF226F" w:rsidRPr="00F20A8F">
              <w:rPr>
                <w:color w:val="000000"/>
              </w:rPr>
              <w:t>of the national</w:t>
            </w:r>
            <w:r w:rsidR="004B5410" w:rsidRPr="00F20A8F">
              <w:rPr>
                <w:color w:val="000000"/>
              </w:rPr>
              <w:t>ly</w:t>
            </w:r>
            <w:r w:rsidR="009E3041" w:rsidRPr="00F20A8F">
              <w:rPr>
                <w:color w:val="000000"/>
              </w:rPr>
              <w:t xml:space="preserve"> adopted</w:t>
            </w:r>
            <w:r w:rsidR="00DF226F" w:rsidRPr="00F20A8F">
              <w:rPr>
                <w:color w:val="000000"/>
              </w:rPr>
              <w:t xml:space="preserve"> framework </w:t>
            </w:r>
            <w:r w:rsidR="00107B92" w:rsidRPr="00F20A8F">
              <w:rPr>
                <w:color w:val="000000"/>
              </w:rPr>
              <w:t xml:space="preserve">through </w:t>
            </w:r>
            <w:r w:rsidR="00E50B48" w:rsidRPr="00F20A8F">
              <w:rPr>
                <w:color w:val="000000"/>
              </w:rPr>
              <w:t xml:space="preserve">the following parts </w:t>
            </w:r>
            <w:r w:rsidR="00C70FF3" w:rsidRPr="00F20A8F">
              <w:rPr>
                <w:color w:val="000000"/>
              </w:rPr>
              <w:t>can</w:t>
            </w:r>
            <w:r w:rsidR="000B2BED">
              <w:rPr>
                <w:color w:val="000000"/>
              </w:rPr>
              <w:t xml:space="preserve"> support new public lighting connections</w:t>
            </w:r>
            <w:r w:rsidR="00C91D42">
              <w:rPr>
                <w:color w:val="000000"/>
              </w:rPr>
              <w:t>:</w:t>
            </w:r>
            <w:r w:rsidR="00B34A30">
              <w:rPr>
                <w:color w:val="000000"/>
              </w:rPr>
              <w:t xml:space="preserve"> </w:t>
            </w:r>
          </w:p>
          <w:p w14:paraId="578314D5" w14:textId="0C4116A0" w:rsidR="001E1BC9" w:rsidRDefault="001E1BC9" w:rsidP="001E1BC9">
            <w:pPr>
              <w:pStyle w:val="ListParagraph"/>
              <w:numPr>
                <w:ilvl w:val="0"/>
                <w:numId w:val="16"/>
              </w:numPr>
              <w:spacing w:before="0" w:line="240" w:lineRule="auto"/>
              <w:rPr>
                <w:color w:val="000000"/>
              </w:rPr>
            </w:pPr>
            <w:r>
              <w:rPr>
                <w:color w:val="000000"/>
              </w:rPr>
              <w:t xml:space="preserve">Part C, clauses 5A.C.1, C.2 and </w:t>
            </w:r>
            <w:r w:rsidRPr="00FD7FB5">
              <w:rPr>
                <w:color w:val="000000"/>
              </w:rPr>
              <w:t>C.3</w:t>
            </w:r>
            <w:r>
              <w:rPr>
                <w:color w:val="000000"/>
              </w:rPr>
              <w:t xml:space="preserve"> (</w:t>
            </w:r>
            <w:hyperlink r:id="rId21" w:history="1">
              <w:r w:rsidRPr="000E5B5B">
                <w:rPr>
                  <w:rStyle w:val="Hyperlink"/>
                </w:rPr>
                <w:t>Negotiat</w:t>
              </w:r>
              <w:r>
                <w:rPr>
                  <w:rStyle w:val="Hyperlink"/>
                </w:rPr>
                <w:t>ed connection</w:t>
              </w:r>
              <w:r w:rsidRPr="000E5B5B">
                <w:rPr>
                  <w:rStyle w:val="Hyperlink"/>
                </w:rPr>
                <w:t xml:space="preserve"> </w:t>
              </w:r>
              <w:r>
                <w:rPr>
                  <w:rStyle w:val="Hyperlink"/>
                </w:rPr>
                <w:t>framework</w:t>
              </w:r>
            </w:hyperlink>
            <w:r>
              <w:rPr>
                <w:color w:val="000000"/>
              </w:rPr>
              <w:t>)</w:t>
            </w:r>
            <w:r w:rsidR="00B839E5">
              <w:rPr>
                <w:color w:val="000000"/>
              </w:rPr>
              <w:t xml:space="preserve"> and</w:t>
            </w:r>
          </w:p>
          <w:p w14:paraId="6C25E4B3" w14:textId="2D84ECDA" w:rsidR="00B839E5" w:rsidRDefault="00B839E5" w:rsidP="00B839E5">
            <w:pPr>
              <w:pStyle w:val="ListParagraph"/>
              <w:numPr>
                <w:ilvl w:val="0"/>
                <w:numId w:val="16"/>
              </w:numPr>
              <w:spacing w:before="0" w:line="240" w:lineRule="auto"/>
              <w:rPr>
                <w:color w:val="000000"/>
              </w:rPr>
            </w:pPr>
            <w:r w:rsidRPr="00B35FAA">
              <w:rPr>
                <w:color w:val="000000"/>
              </w:rPr>
              <w:t>Part D, clauses 5A.D.1, D</w:t>
            </w:r>
            <w:r>
              <w:rPr>
                <w:color w:val="000000"/>
              </w:rPr>
              <w:t>.</w:t>
            </w:r>
            <w:r w:rsidRPr="00B35FAA">
              <w:rPr>
                <w:color w:val="000000"/>
              </w:rPr>
              <w:t>2, D</w:t>
            </w:r>
            <w:r>
              <w:rPr>
                <w:color w:val="000000"/>
              </w:rPr>
              <w:t>.</w:t>
            </w:r>
            <w:r w:rsidRPr="00B35FAA">
              <w:rPr>
                <w:color w:val="000000"/>
              </w:rPr>
              <w:t>3 and D</w:t>
            </w:r>
            <w:r>
              <w:rPr>
                <w:color w:val="000000"/>
              </w:rPr>
              <w:t>.</w:t>
            </w:r>
            <w:r w:rsidRPr="00B35FAA">
              <w:rPr>
                <w:color w:val="000000"/>
              </w:rPr>
              <w:t>4 (</w:t>
            </w:r>
            <w:hyperlink r:id="rId22" w:history="1">
              <w:r>
                <w:rPr>
                  <w:rStyle w:val="Hyperlink"/>
                </w:rPr>
                <w:t>Application for connection</w:t>
              </w:r>
            </w:hyperlink>
            <w:r w:rsidRPr="00B35FAA">
              <w:rPr>
                <w:color w:val="000000"/>
              </w:rPr>
              <w:t xml:space="preserve">) </w:t>
            </w:r>
          </w:p>
          <w:p w14:paraId="2397E415" w14:textId="77777777" w:rsidR="00B34A30" w:rsidRDefault="00B34A30" w:rsidP="00C81556">
            <w:pPr>
              <w:pStyle w:val="TableBody"/>
              <w:rPr>
                <w:color w:val="000000"/>
                <w:lang w:val="en-AU"/>
              </w:rPr>
            </w:pPr>
          </w:p>
          <w:p w14:paraId="3200802F" w14:textId="771F566F" w:rsidR="003B6CC4" w:rsidRDefault="00B34A30" w:rsidP="00C81556">
            <w:pPr>
              <w:pStyle w:val="TableBody"/>
              <w:rPr>
                <w:bCs/>
              </w:rPr>
            </w:pPr>
            <w:r>
              <w:rPr>
                <w:color w:val="000000"/>
                <w:lang w:val="en-AU"/>
              </w:rPr>
              <w:t>T</w:t>
            </w:r>
            <w:r>
              <w:rPr>
                <w:color w:val="000000"/>
              </w:rPr>
              <w:t>h</w:t>
            </w:r>
            <w:r w:rsidR="00B839E5">
              <w:rPr>
                <w:color w:val="000000"/>
              </w:rPr>
              <w:t xml:space="preserve">ese </w:t>
            </w:r>
            <w:r>
              <w:rPr>
                <w:color w:val="000000"/>
              </w:rPr>
              <w:t>framework</w:t>
            </w:r>
            <w:r w:rsidR="00B839E5">
              <w:rPr>
                <w:color w:val="000000"/>
              </w:rPr>
              <w:t>s</w:t>
            </w:r>
            <w:r w:rsidR="008C5C91">
              <w:rPr>
                <w:color w:val="000000"/>
                <w:lang w:val="en-AU"/>
              </w:rPr>
              <w:t xml:space="preserve"> </w:t>
            </w:r>
            <w:r w:rsidR="00C91D42">
              <w:rPr>
                <w:color w:val="000000"/>
                <w:lang w:val="en-AU"/>
              </w:rPr>
              <w:t xml:space="preserve">enable </w:t>
            </w:r>
            <w:r w:rsidR="008C5C91" w:rsidRPr="002A2EF5">
              <w:rPr>
                <w:bCs/>
              </w:rPr>
              <w:t>customers and distributors</w:t>
            </w:r>
            <w:r w:rsidR="008C5C91">
              <w:rPr>
                <w:bCs/>
              </w:rPr>
              <w:t xml:space="preserve"> </w:t>
            </w:r>
            <w:r w:rsidR="00EB56A2">
              <w:rPr>
                <w:bCs/>
              </w:rPr>
              <w:t>to negotiate the</w:t>
            </w:r>
            <w:r w:rsidR="00BE78E2">
              <w:rPr>
                <w:bCs/>
              </w:rPr>
              <w:t xml:space="preserve"> </w:t>
            </w:r>
            <w:r w:rsidR="008C5C91">
              <w:rPr>
                <w:bCs/>
              </w:rPr>
              <w:t xml:space="preserve">connection of assets to the distribution network. </w:t>
            </w:r>
          </w:p>
          <w:p w14:paraId="4F022CFE" w14:textId="77777777" w:rsidR="003B6CC4" w:rsidRDefault="003B6CC4" w:rsidP="00C81556">
            <w:pPr>
              <w:pStyle w:val="TableBody"/>
              <w:rPr>
                <w:bCs/>
              </w:rPr>
            </w:pPr>
          </w:p>
          <w:p w14:paraId="56186E63" w14:textId="40AEC8FC" w:rsidR="00C91D42" w:rsidRDefault="008B4FDE" w:rsidP="00C81556">
            <w:pPr>
              <w:pStyle w:val="TableBody"/>
              <w:rPr>
                <w:bCs/>
              </w:rPr>
            </w:pPr>
            <w:r>
              <w:rPr>
                <w:bCs/>
              </w:rPr>
              <w:t xml:space="preserve">For example, in the </w:t>
            </w:r>
            <w:r w:rsidR="00F56BEE">
              <w:rPr>
                <w:color w:val="000000"/>
              </w:rPr>
              <w:t>National Electricity (Victoria) Act 2005, Schedule 2</w:t>
            </w:r>
            <w:r w:rsidR="009C4397">
              <w:rPr>
                <w:bCs/>
              </w:rPr>
              <w:t>:</w:t>
            </w:r>
          </w:p>
          <w:p w14:paraId="38D51C7D" w14:textId="2D21DB38" w:rsidR="00F56BEE" w:rsidRDefault="003B6CC4" w:rsidP="00C81556">
            <w:pPr>
              <w:pStyle w:val="TableBody"/>
              <w:numPr>
                <w:ilvl w:val="0"/>
                <w:numId w:val="16"/>
              </w:numPr>
              <w:rPr>
                <w:bCs/>
              </w:rPr>
            </w:pPr>
            <w:r w:rsidRPr="62027685">
              <w:rPr>
                <w:lang w:val="en-AU"/>
              </w:rPr>
              <w:t>Part C, clause 5A</w:t>
            </w:r>
            <w:r w:rsidR="009C4397" w:rsidRPr="62027685">
              <w:rPr>
                <w:lang w:val="en-AU"/>
              </w:rPr>
              <w:t>.</w:t>
            </w:r>
            <w:r w:rsidRPr="62027685">
              <w:rPr>
                <w:lang w:val="en-AU"/>
              </w:rPr>
              <w:t>C.3(a), (2) and (3)</w:t>
            </w:r>
            <w:r w:rsidR="00C91D42" w:rsidRPr="62027685">
              <w:rPr>
                <w:lang w:val="en-AU"/>
              </w:rPr>
              <w:t xml:space="preserve"> enables</w:t>
            </w:r>
            <w:r w:rsidRPr="62027685">
              <w:rPr>
                <w:lang w:val="en-AU"/>
              </w:rPr>
              <w:t xml:space="preserve"> </w:t>
            </w:r>
            <w:r w:rsidR="00C91D42" w:rsidRPr="62027685">
              <w:rPr>
                <w:lang w:val="en-AU"/>
              </w:rPr>
              <w:t xml:space="preserve">the </w:t>
            </w:r>
            <w:r w:rsidRPr="62027685">
              <w:rPr>
                <w:lang w:val="en-AU"/>
              </w:rPr>
              <w:t>provi</w:t>
            </w:r>
            <w:r w:rsidR="00C91D42" w:rsidRPr="62027685">
              <w:rPr>
                <w:lang w:val="en-AU"/>
              </w:rPr>
              <w:t xml:space="preserve">sion and </w:t>
            </w:r>
            <w:r w:rsidRPr="62027685">
              <w:rPr>
                <w:lang w:val="en-AU"/>
              </w:rPr>
              <w:t xml:space="preserve">exchange </w:t>
            </w:r>
            <w:r w:rsidR="00C91D42" w:rsidRPr="62027685">
              <w:rPr>
                <w:lang w:val="en-AU"/>
              </w:rPr>
              <w:t xml:space="preserve">of </w:t>
            </w:r>
            <w:r w:rsidRPr="62027685">
              <w:rPr>
                <w:lang w:val="en-AU"/>
              </w:rPr>
              <w:t xml:space="preserve">information </w:t>
            </w:r>
            <w:r w:rsidR="00C91D42" w:rsidRPr="62027685">
              <w:rPr>
                <w:lang w:val="en-AU"/>
              </w:rPr>
              <w:t xml:space="preserve">between parties </w:t>
            </w:r>
            <w:r w:rsidRPr="62027685">
              <w:rPr>
                <w:lang w:val="en-AU"/>
              </w:rPr>
              <w:t xml:space="preserve">regarding the connection </w:t>
            </w:r>
            <w:r w:rsidR="00C91D42" w:rsidRPr="62027685">
              <w:rPr>
                <w:lang w:val="en-AU"/>
              </w:rPr>
              <w:t xml:space="preserve">proposal </w:t>
            </w:r>
            <w:r w:rsidRPr="62027685">
              <w:rPr>
                <w:lang w:val="en-AU"/>
              </w:rPr>
              <w:t xml:space="preserve">for each party to negotiate on an informed basis. </w:t>
            </w:r>
          </w:p>
          <w:p w14:paraId="33FE6D22" w14:textId="1C8F8B2F" w:rsidR="00C91D42" w:rsidRPr="00F56BEE" w:rsidRDefault="00C91D42" w:rsidP="00C81556">
            <w:pPr>
              <w:pStyle w:val="TableBody"/>
              <w:numPr>
                <w:ilvl w:val="0"/>
                <w:numId w:val="16"/>
              </w:numPr>
              <w:rPr>
                <w:bCs/>
              </w:rPr>
            </w:pPr>
            <w:r w:rsidRPr="00F56BEE">
              <w:rPr>
                <w:bCs/>
              </w:rPr>
              <w:t xml:space="preserve">Part </w:t>
            </w:r>
            <w:r w:rsidR="009C4397" w:rsidRPr="00F56BEE">
              <w:rPr>
                <w:bCs/>
              </w:rPr>
              <w:t>D</w:t>
            </w:r>
            <w:r w:rsidRPr="00F56BEE">
              <w:rPr>
                <w:bCs/>
              </w:rPr>
              <w:t>, clause 5A</w:t>
            </w:r>
            <w:r w:rsidR="009C4397" w:rsidRPr="00F56BEE">
              <w:rPr>
                <w:bCs/>
              </w:rPr>
              <w:t>.D</w:t>
            </w:r>
            <w:r w:rsidRPr="00F56BEE">
              <w:rPr>
                <w:bCs/>
              </w:rPr>
              <w:t>.</w:t>
            </w:r>
            <w:r w:rsidR="009C4397" w:rsidRPr="00F56BEE">
              <w:rPr>
                <w:bCs/>
              </w:rPr>
              <w:t>1</w:t>
            </w:r>
            <w:r w:rsidR="00F56BEE" w:rsidRPr="00F56BEE">
              <w:rPr>
                <w:bCs/>
              </w:rPr>
              <w:t>(a)</w:t>
            </w:r>
            <w:r w:rsidRPr="00F56BEE">
              <w:rPr>
                <w:bCs/>
              </w:rPr>
              <w:t>(</w:t>
            </w:r>
            <w:r w:rsidR="009C4397" w:rsidRPr="00F56BEE">
              <w:rPr>
                <w:bCs/>
              </w:rPr>
              <w:t>4</w:t>
            </w:r>
            <w:r w:rsidRPr="00F56BEE">
              <w:rPr>
                <w:bCs/>
              </w:rPr>
              <w:t>)</w:t>
            </w:r>
            <w:r w:rsidR="009C4397" w:rsidRPr="00F56BEE">
              <w:rPr>
                <w:bCs/>
              </w:rPr>
              <w:t xml:space="preserve"> and 5A.D.2(b)(4), provisions for a customer’s right to negotiate the agreement conditions (such as the addition of new items to standard </w:t>
            </w:r>
            <w:r w:rsidR="00BE78E2" w:rsidRPr="00F56BEE">
              <w:rPr>
                <w:bCs/>
              </w:rPr>
              <w:t>and non-standard fittings</w:t>
            </w:r>
            <w:r w:rsidR="009C4397" w:rsidRPr="00F56BEE">
              <w:rPr>
                <w:bCs/>
              </w:rPr>
              <w:t xml:space="preserve">, if </w:t>
            </w:r>
            <w:r w:rsidR="00E50B48">
              <w:rPr>
                <w:bCs/>
              </w:rPr>
              <w:t>these</w:t>
            </w:r>
            <w:r w:rsidR="009C4397" w:rsidRPr="00F56BEE">
              <w:rPr>
                <w:bCs/>
              </w:rPr>
              <w:t xml:space="preserve"> compl</w:t>
            </w:r>
            <w:r w:rsidR="00E50B48">
              <w:rPr>
                <w:bCs/>
              </w:rPr>
              <w:t>y</w:t>
            </w:r>
            <w:r w:rsidR="009C4397" w:rsidRPr="00F56BEE">
              <w:rPr>
                <w:bCs/>
              </w:rPr>
              <w:t xml:space="preserve"> with technical standards and the possible costs and expenses). </w:t>
            </w:r>
          </w:p>
          <w:p w14:paraId="16B908DD" w14:textId="77777777" w:rsidR="00C91D42" w:rsidRDefault="00C91D42" w:rsidP="00C81556">
            <w:pPr>
              <w:pStyle w:val="TableBody"/>
              <w:rPr>
                <w:bCs/>
              </w:rPr>
            </w:pPr>
          </w:p>
          <w:p w14:paraId="088C6C45" w14:textId="30B6364E" w:rsidR="008C5C91" w:rsidRDefault="000E7E1D" w:rsidP="00C81556">
            <w:pPr>
              <w:pStyle w:val="TableBody"/>
              <w:rPr>
                <w:bCs/>
              </w:rPr>
            </w:pPr>
            <w:r>
              <w:rPr>
                <w:bCs/>
              </w:rPr>
              <w:t>The</w:t>
            </w:r>
            <w:r w:rsidRPr="002201EF">
              <w:rPr>
                <w:bCs/>
              </w:rPr>
              <w:t xml:space="preserve"> </w:t>
            </w:r>
            <w:r>
              <w:rPr>
                <w:bCs/>
              </w:rPr>
              <w:t xml:space="preserve">framework </w:t>
            </w:r>
            <w:r w:rsidR="006F6BB7">
              <w:rPr>
                <w:bCs/>
              </w:rPr>
              <w:t xml:space="preserve">supports different </w:t>
            </w:r>
            <w:r w:rsidR="008B4FDE">
              <w:rPr>
                <w:bCs/>
              </w:rPr>
              <w:t xml:space="preserve">types of </w:t>
            </w:r>
            <w:r>
              <w:rPr>
                <w:bCs/>
              </w:rPr>
              <w:t>connection</w:t>
            </w:r>
            <w:r w:rsidR="008B4FDE">
              <w:rPr>
                <w:bCs/>
              </w:rPr>
              <w:t xml:space="preserve">s, such as </w:t>
            </w:r>
            <w:r>
              <w:rPr>
                <w:bCs/>
              </w:rPr>
              <w:t>customer designed</w:t>
            </w:r>
            <w:r w:rsidR="000B2BED">
              <w:rPr>
                <w:bCs/>
              </w:rPr>
              <w:t xml:space="preserve"> public lighting</w:t>
            </w:r>
            <w:r>
              <w:rPr>
                <w:bCs/>
              </w:rPr>
              <w:t xml:space="preserve">. This </w:t>
            </w:r>
            <w:r w:rsidR="008A5AA2">
              <w:rPr>
                <w:bCs/>
              </w:rPr>
              <w:t xml:space="preserve">sets out </w:t>
            </w:r>
            <w:r>
              <w:rPr>
                <w:bCs/>
              </w:rPr>
              <w:t xml:space="preserve">the </w:t>
            </w:r>
            <w:r w:rsidRPr="002201EF">
              <w:rPr>
                <w:bCs/>
              </w:rPr>
              <w:t>negotiation</w:t>
            </w:r>
            <w:r>
              <w:rPr>
                <w:bCs/>
              </w:rPr>
              <w:t>, design</w:t>
            </w:r>
            <w:r w:rsidRPr="002201EF">
              <w:rPr>
                <w:bCs/>
              </w:rPr>
              <w:t xml:space="preserve"> </w:t>
            </w:r>
            <w:r>
              <w:rPr>
                <w:bCs/>
              </w:rPr>
              <w:t>and the connection process between a customer and a distributor</w:t>
            </w:r>
            <w:r w:rsidRPr="002201EF">
              <w:rPr>
                <w:bCs/>
              </w:rPr>
              <w:t xml:space="preserve">. </w:t>
            </w:r>
            <w:r w:rsidR="008C5C91">
              <w:rPr>
                <w:bCs/>
              </w:rPr>
              <w:t xml:space="preserve">Therefore, clauses 3.1 Design brief, 3.2 Standard fittings, 3.3 Non-standard fittings and 3.4 Supply point </w:t>
            </w:r>
            <w:r w:rsidR="00587285">
              <w:rPr>
                <w:bCs/>
              </w:rPr>
              <w:t xml:space="preserve">are considered </w:t>
            </w:r>
            <w:r w:rsidR="00690B16">
              <w:rPr>
                <w:bCs/>
              </w:rPr>
              <w:t>redundant</w:t>
            </w:r>
            <w:r w:rsidR="00191E42">
              <w:rPr>
                <w:bCs/>
              </w:rPr>
              <w:t xml:space="preserve"> and </w:t>
            </w:r>
            <w:r w:rsidR="008C5C91">
              <w:rPr>
                <w:bCs/>
              </w:rPr>
              <w:t>superseded.</w:t>
            </w:r>
          </w:p>
          <w:p w14:paraId="36836FFA" w14:textId="3189B2C0" w:rsidR="007F01AB" w:rsidRPr="0073290E" w:rsidRDefault="007F01AB" w:rsidP="008C5C91">
            <w:pPr>
              <w:pStyle w:val="TableBody"/>
              <w:rPr>
                <w:bCs/>
                <w:highlight w:val="yellow"/>
              </w:rPr>
            </w:pPr>
          </w:p>
        </w:tc>
      </w:tr>
      <w:tr w:rsidR="007F01AB" w:rsidRPr="00E44522" w14:paraId="481ADBA7" w14:textId="77777777" w:rsidTr="00223042">
        <w:trPr>
          <w:cnfStyle w:val="000000010000" w:firstRow="0" w:lastRow="0" w:firstColumn="0" w:lastColumn="0" w:oddVBand="0" w:evenVBand="0" w:oddHBand="0" w:evenHBand="1" w:firstRowFirstColumn="0" w:firstRowLastColumn="0" w:lastRowFirstColumn="0" w:lastRowLastColumn="0"/>
          <w:cantSplit/>
          <w:trHeight w:val="300"/>
        </w:trPr>
        <w:tc>
          <w:tcPr>
            <w:tcW w:w="7371" w:type="dxa"/>
          </w:tcPr>
          <w:p w14:paraId="262C9B57" w14:textId="77777777" w:rsidR="007F01AB" w:rsidRDefault="007F01AB" w:rsidP="00E659B4">
            <w:pPr>
              <w:pStyle w:val="TableBody"/>
              <w:rPr>
                <w:b/>
                <w:lang w:val="en-AU"/>
              </w:rPr>
            </w:pPr>
            <w:r w:rsidRPr="00A1128F">
              <w:rPr>
                <w:b/>
                <w:lang w:val="en-AU"/>
              </w:rPr>
              <w:t xml:space="preserve">3.2 Standard fittings </w:t>
            </w:r>
          </w:p>
          <w:p w14:paraId="55226E50" w14:textId="77777777" w:rsidR="007F01AB" w:rsidRDefault="007F01AB" w:rsidP="00E659B4">
            <w:pPr>
              <w:pStyle w:val="TableBody"/>
              <w:rPr>
                <w:bCs/>
                <w:lang w:val="en-AU"/>
              </w:rPr>
            </w:pPr>
            <w:r w:rsidRPr="00455C6D">
              <w:rPr>
                <w:b/>
                <w:lang w:val="en-AU"/>
              </w:rPr>
              <w:t>3.2.1</w:t>
            </w:r>
            <w:r w:rsidRPr="00455C6D">
              <w:rPr>
                <w:bCs/>
                <w:lang w:val="en-AU"/>
              </w:rPr>
              <w:t xml:space="preserve"> A </w:t>
            </w:r>
            <w:r w:rsidRPr="00F31FA2">
              <w:rPr>
                <w:b/>
                <w:lang w:val="en-AU"/>
              </w:rPr>
              <w:t>distributor</w:t>
            </w:r>
            <w:r w:rsidRPr="00455C6D">
              <w:rPr>
                <w:bCs/>
                <w:lang w:val="en-AU"/>
              </w:rPr>
              <w:t xml:space="preserve"> must maintain a list of </w:t>
            </w:r>
            <w:r w:rsidRPr="00F31FA2">
              <w:rPr>
                <w:b/>
                <w:lang w:val="en-AU"/>
              </w:rPr>
              <w:t>standard fittings</w:t>
            </w:r>
            <w:r w:rsidRPr="00455C6D">
              <w:rPr>
                <w:bCs/>
                <w:lang w:val="en-AU"/>
              </w:rPr>
              <w:t xml:space="preserve">. A </w:t>
            </w:r>
            <w:r w:rsidRPr="00F31FA2">
              <w:rPr>
                <w:b/>
                <w:lang w:val="en-AU"/>
              </w:rPr>
              <w:t>distributor</w:t>
            </w:r>
            <w:r w:rsidRPr="00455C6D">
              <w:rPr>
                <w:bCs/>
                <w:lang w:val="en-AU"/>
              </w:rPr>
              <w:t xml:space="preserve"> must provide a copy of its list of </w:t>
            </w:r>
            <w:r w:rsidRPr="00F31FA2">
              <w:rPr>
                <w:b/>
                <w:lang w:val="en-AU"/>
              </w:rPr>
              <w:t>standard fittings</w:t>
            </w:r>
            <w:r w:rsidRPr="00455C6D">
              <w:rPr>
                <w:bCs/>
                <w:lang w:val="en-AU"/>
              </w:rPr>
              <w:t xml:space="preserve"> to a </w:t>
            </w:r>
            <w:r w:rsidRPr="00F31FA2">
              <w:rPr>
                <w:b/>
                <w:lang w:val="en-AU"/>
              </w:rPr>
              <w:t>public lighting customer</w:t>
            </w:r>
            <w:r w:rsidRPr="00455C6D">
              <w:rPr>
                <w:bCs/>
                <w:lang w:val="en-AU"/>
              </w:rPr>
              <w:t xml:space="preserve"> on request, or upon any change to the list of </w:t>
            </w:r>
            <w:r w:rsidRPr="00F31FA2">
              <w:rPr>
                <w:b/>
                <w:lang w:val="en-AU"/>
              </w:rPr>
              <w:t>standard fittings</w:t>
            </w:r>
            <w:r w:rsidRPr="00455C6D">
              <w:rPr>
                <w:bCs/>
                <w:lang w:val="en-AU"/>
              </w:rPr>
              <w:t xml:space="preserve">. </w:t>
            </w:r>
          </w:p>
          <w:p w14:paraId="79BE7A00" w14:textId="77777777" w:rsidR="007F01AB" w:rsidRPr="00455C6D" w:rsidRDefault="007F01AB" w:rsidP="00E659B4">
            <w:pPr>
              <w:pStyle w:val="TableBody"/>
              <w:rPr>
                <w:bCs/>
                <w:lang w:val="en-AU"/>
              </w:rPr>
            </w:pPr>
          </w:p>
          <w:p w14:paraId="3856DB78" w14:textId="18502183" w:rsidR="007F01AB" w:rsidRPr="006C0CA8" w:rsidRDefault="007F01AB" w:rsidP="00E659B4">
            <w:pPr>
              <w:pStyle w:val="TableBody"/>
              <w:rPr>
                <w:b/>
                <w:lang w:val="en-AU"/>
              </w:rPr>
            </w:pPr>
            <w:r w:rsidRPr="00455C6D">
              <w:rPr>
                <w:b/>
                <w:lang w:val="en-AU"/>
              </w:rPr>
              <w:t>3.2.2</w:t>
            </w:r>
            <w:r w:rsidRPr="00455C6D">
              <w:rPr>
                <w:bCs/>
                <w:lang w:val="en-AU"/>
              </w:rPr>
              <w:t xml:space="preserve"> If a </w:t>
            </w:r>
            <w:r w:rsidRPr="00F31FA2">
              <w:rPr>
                <w:b/>
                <w:lang w:val="en-AU"/>
              </w:rPr>
              <w:t>public lighting customer</w:t>
            </w:r>
            <w:r w:rsidRPr="00455C6D">
              <w:rPr>
                <w:bCs/>
                <w:lang w:val="en-AU"/>
              </w:rPr>
              <w:t xml:space="preserve"> proposes the addition of a new item to the list of </w:t>
            </w:r>
            <w:r w:rsidRPr="00F31FA2">
              <w:rPr>
                <w:b/>
                <w:lang w:val="en-AU"/>
              </w:rPr>
              <w:t>standard fittings</w:t>
            </w:r>
            <w:r w:rsidRPr="00455C6D">
              <w:rPr>
                <w:bCs/>
                <w:lang w:val="en-AU"/>
              </w:rPr>
              <w:t xml:space="preserve"> the </w:t>
            </w:r>
            <w:r w:rsidRPr="00F31FA2">
              <w:rPr>
                <w:b/>
                <w:lang w:val="en-AU"/>
              </w:rPr>
              <w:t>distributor</w:t>
            </w:r>
            <w:r w:rsidRPr="00455C6D">
              <w:rPr>
                <w:bCs/>
                <w:lang w:val="en-AU"/>
              </w:rPr>
              <w:t xml:space="preserve"> must add the new item if it complies with the </w:t>
            </w:r>
            <w:r w:rsidRPr="00F31FA2">
              <w:rPr>
                <w:b/>
                <w:lang w:val="en-AU"/>
              </w:rPr>
              <w:t>distributor’s public lighting technical standards</w:t>
            </w:r>
            <w:r w:rsidRPr="00455C6D">
              <w:rPr>
                <w:bCs/>
                <w:lang w:val="en-AU"/>
              </w:rPr>
              <w:t xml:space="preserve">. The </w:t>
            </w:r>
            <w:r w:rsidRPr="00F31FA2">
              <w:rPr>
                <w:b/>
                <w:lang w:val="en-AU"/>
              </w:rPr>
              <w:t>distributor</w:t>
            </w:r>
            <w:r w:rsidRPr="00455C6D">
              <w:rPr>
                <w:bCs/>
                <w:lang w:val="en-AU"/>
              </w:rPr>
              <w:t xml:space="preserve"> must not unreasonably refuse the addition of a new item to the list of </w:t>
            </w:r>
            <w:r w:rsidRPr="00F31FA2">
              <w:rPr>
                <w:b/>
                <w:lang w:val="en-AU"/>
              </w:rPr>
              <w:t>standard fittings</w:t>
            </w:r>
            <w:r w:rsidRPr="00455C6D">
              <w:rPr>
                <w:bCs/>
                <w:lang w:val="en-AU"/>
              </w:rPr>
              <w:t xml:space="preserve"> if the </w:t>
            </w:r>
            <w:r w:rsidRPr="00D27527">
              <w:rPr>
                <w:b/>
                <w:lang w:val="en-AU"/>
              </w:rPr>
              <w:t>public lighting customer</w:t>
            </w:r>
            <w:r w:rsidRPr="00455C6D">
              <w:rPr>
                <w:bCs/>
                <w:lang w:val="en-AU"/>
              </w:rPr>
              <w:t xml:space="preserve"> has agreed to pay a fair and reasonable charge for operation, maintenance and repair of the proposed new </w:t>
            </w:r>
            <w:r w:rsidRPr="00395133">
              <w:rPr>
                <w:b/>
                <w:lang w:val="en-AU"/>
              </w:rPr>
              <w:t>standard fitting</w:t>
            </w:r>
            <w:r w:rsidRPr="00455C6D">
              <w:rPr>
                <w:bCs/>
                <w:lang w:val="en-AU"/>
              </w:rPr>
              <w:t xml:space="preserve"> if used in public lighting. The </w:t>
            </w:r>
            <w:r w:rsidRPr="00C534FA">
              <w:rPr>
                <w:b/>
                <w:lang w:val="en-AU"/>
              </w:rPr>
              <w:t>distributor</w:t>
            </w:r>
            <w:r w:rsidRPr="00455C6D">
              <w:rPr>
                <w:bCs/>
                <w:lang w:val="en-AU"/>
              </w:rPr>
              <w:t xml:space="preserve"> is not required to assess the compliance of a proposed new </w:t>
            </w:r>
            <w:r w:rsidRPr="00C534FA">
              <w:rPr>
                <w:b/>
                <w:lang w:val="en-AU"/>
              </w:rPr>
              <w:t>standard fitting</w:t>
            </w:r>
            <w:r w:rsidRPr="00455C6D">
              <w:rPr>
                <w:bCs/>
                <w:lang w:val="en-AU"/>
              </w:rPr>
              <w:t xml:space="preserve"> unless the </w:t>
            </w:r>
            <w:r w:rsidRPr="00C534FA">
              <w:rPr>
                <w:b/>
                <w:lang w:val="en-AU"/>
              </w:rPr>
              <w:t>public lighting customer</w:t>
            </w:r>
            <w:r w:rsidRPr="00455C6D">
              <w:rPr>
                <w:bCs/>
                <w:lang w:val="en-AU"/>
              </w:rPr>
              <w:t xml:space="preserve"> has agreed to pay any fair and reasonable fee to the </w:t>
            </w:r>
            <w:r w:rsidRPr="00C534FA">
              <w:rPr>
                <w:b/>
                <w:lang w:val="en-AU"/>
              </w:rPr>
              <w:t>distributor</w:t>
            </w:r>
            <w:r w:rsidRPr="00455C6D">
              <w:rPr>
                <w:bCs/>
                <w:lang w:val="en-AU"/>
              </w:rPr>
              <w:t xml:space="preserve"> for assessing such compliance.</w:t>
            </w:r>
          </w:p>
        </w:tc>
        <w:tc>
          <w:tcPr>
            <w:tcW w:w="7341" w:type="dxa"/>
            <w:vMerge/>
          </w:tcPr>
          <w:p w14:paraId="772E590A" w14:textId="77777777" w:rsidR="007F01AB" w:rsidRPr="00E44522" w:rsidRDefault="007F01AB" w:rsidP="00E659B4">
            <w:pPr>
              <w:pStyle w:val="TableBody"/>
              <w:rPr>
                <w:b/>
                <w:highlight w:val="yellow"/>
              </w:rPr>
            </w:pPr>
          </w:p>
        </w:tc>
      </w:tr>
      <w:tr w:rsidR="007F01AB" w:rsidRPr="00E44522" w14:paraId="1B927E38" w14:textId="77777777" w:rsidTr="00223042">
        <w:trPr>
          <w:cnfStyle w:val="000000100000" w:firstRow="0" w:lastRow="0" w:firstColumn="0" w:lastColumn="0" w:oddVBand="0" w:evenVBand="0" w:oddHBand="1" w:evenHBand="0" w:firstRowFirstColumn="0" w:firstRowLastColumn="0" w:lastRowFirstColumn="0" w:lastRowLastColumn="0"/>
          <w:cantSplit/>
          <w:trHeight w:val="300"/>
        </w:trPr>
        <w:tc>
          <w:tcPr>
            <w:tcW w:w="7371" w:type="dxa"/>
          </w:tcPr>
          <w:p w14:paraId="205E582A" w14:textId="77777777" w:rsidR="007F01AB" w:rsidRDefault="007F01AB" w:rsidP="00E659B4">
            <w:pPr>
              <w:pStyle w:val="TableBody"/>
              <w:rPr>
                <w:b/>
                <w:lang w:val="en-AU"/>
              </w:rPr>
            </w:pPr>
            <w:r w:rsidRPr="009647E6">
              <w:rPr>
                <w:b/>
                <w:lang w:val="en-AU"/>
              </w:rPr>
              <w:t xml:space="preserve">3.3 Non-standard fittings </w:t>
            </w:r>
          </w:p>
          <w:p w14:paraId="3209EA04" w14:textId="2C7C87C0" w:rsidR="007F01AB" w:rsidRPr="009647E6" w:rsidRDefault="007F01AB" w:rsidP="00E659B4">
            <w:pPr>
              <w:pStyle w:val="TableBody"/>
              <w:rPr>
                <w:bCs/>
                <w:lang w:val="en-AU"/>
              </w:rPr>
            </w:pPr>
            <w:r w:rsidRPr="009647E6">
              <w:rPr>
                <w:bCs/>
                <w:lang w:val="en-AU"/>
              </w:rPr>
              <w:t xml:space="preserve">If a </w:t>
            </w:r>
            <w:r w:rsidRPr="009647E6">
              <w:rPr>
                <w:b/>
                <w:lang w:val="en-AU"/>
              </w:rPr>
              <w:t>public lighting customer</w:t>
            </w:r>
            <w:r w:rsidRPr="009647E6">
              <w:rPr>
                <w:bCs/>
                <w:lang w:val="en-AU"/>
              </w:rPr>
              <w:t xml:space="preserve"> specifies the use of </w:t>
            </w:r>
            <w:r w:rsidRPr="009647E6">
              <w:rPr>
                <w:b/>
                <w:lang w:val="en-AU"/>
              </w:rPr>
              <w:t>non-standard fittings</w:t>
            </w:r>
            <w:r w:rsidRPr="009647E6">
              <w:rPr>
                <w:bCs/>
                <w:lang w:val="en-AU"/>
              </w:rPr>
              <w:t xml:space="preserve"> or light types with </w:t>
            </w:r>
            <w:r w:rsidRPr="009647E6">
              <w:rPr>
                <w:b/>
                <w:lang w:val="en-AU"/>
              </w:rPr>
              <w:t>non-standard fittings</w:t>
            </w:r>
            <w:r w:rsidRPr="009647E6">
              <w:rPr>
                <w:bCs/>
                <w:lang w:val="en-AU"/>
              </w:rPr>
              <w:t xml:space="preserve"> the </w:t>
            </w:r>
            <w:r w:rsidRPr="009647E6">
              <w:rPr>
                <w:b/>
                <w:lang w:val="en-AU"/>
              </w:rPr>
              <w:t>distributor</w:t>
            </w:r>
            <w:r w:rsidRPr="009647E6">
              <w:rPr>
                <w:bCs/>
                <w:lang w:val="en-AU"/>
              </w:rPr>
              <w:t xml:space="preserve"> must offer to install the lighting on fair and reasonable terms. In considering the acceptability to it of </w:t>
            </w:r>
            <w:r w:rsidRPr="001B5DA4">
              <w:rPr>
                <w:b/>
                <w:lang w:val="en-AU"/>
              </w:rPr>
              <w:t>non-standard fittings</w:t>
            </w:r>
            <w:r w:rsidRPr="009647E6">
              <w:rPr>
                <w:bCs/>
                <w:lang w:val="en-AU"/>
              </w:rPr>
              <w:t xml:space="preserve">, the </w:t>
            </w:r>
            <w:r w:rsidRPr="001B5DA4">
              <w:rPr>
                <w:b/>
                <w:lang w:val="en-AU"/>
              </w:rPr>
              <w:t>distributor</w:t>
            </w:r>
            <w:r w:rsidRPr="009647E6">
              <w:rPr>
                <w:bCs/>
                <w:lang w:val="en-AU"/>
              </w:rPr>
              <w:t xml:space="preserve"> must have regard to its </w:t>
            </w:r>
            <w:r w:rsidRPr="001B5DA4">
              <w:rPr>
                <w:b/>
                <w:lang w:val="en-AU"/>
              </w:rPr>
              <w:t>public lighting technical standards</w:t>
            </w:r>
            <w:r w:rsidRPr="009647E6">
              <w:rPr>
                <w:bCs/>
                <w:lang w:val="en-AU"/>
              </w:rPr>
              <w:t>.</w:t>
            </w:r>
          </w:p>
        </w:tc>
        <w:tc>
          <w:tcPr>
            <w:tcW w:w="7341" w:type="dxa"/>
            <w:vMerge/>
          </w:tcPr>
          <w:p w14:paraId="41635A78" w14:textId="77777777" w:rsidR="007F01AB" w:rsidRPr="00E44522" w:rsidRDefault="007F01AB" w:rsidP="00E659B4">
            <w:pPr>
              <w:pStyle w:val="TableBody"/>
              <w:rPr>
                <w:b/>
                <w:highlight w:val="yellow"/>
              </w:rPr>
            </w:pPr>
          </w:p>
        </w:tc>
      </w:tr>
      <w:tr w:rsidR="007F01AB" w:rsidRPr="00E44522" w14:paraId="72C8B545" w14:textId="77777777" w:rsidTr="00223042">
        <w:trPr>
          <w:cnfStyle w:val="000000010000" w:firstRow="0" w:lastRow="0" w:firstColumn="0" w:lastColumn="0" w:oddVBand="0" w:evenVBand="0" w:oddHBand="0" w:evenHBand="1" w:firstRowFirstColumn="0" w:firstRowLastColumn="0" w:lastRowFirstColumn="0" w:lastRowLastColumn="0"/>
          <w:cantSplit/>
          <w:trHeight w:val="300"/>
        </w:trPr>
        <w:tc>
          <w:tcPr>
            <w:tcW w:w="7371" w:type="dxa"/>
          </w:tcPr>
          <w:p w14:paraId="586B4D43" w14:textId="77777777" w:rsidR="007F01AB" w:rsidRDefault="007F01AB" w:rsidP="00E659B4">
            <w:pPr>
              <w:pStyle w:val="TableBody"/>
              <w:rPr>
                <w:b/>
                <w:lang w:val="en-AU"/>
              </w:rPr>
            </w:pPr>
            <w:r w:rsidRPr="00DF2612">
              <w:rPr>
                <w:b/>
                <w:lang w:val="en-AU"/>
              </w:rPr>
              <w:t>3.4 Supply point</w:t>
            </w:r>
          </w:p>
          <w:p w14:paraId="18AB0FD5" w14:textId="5CDF77EB" w:rsidR="007F01AB" w:rsidRPr="00CA2232" w:rsidRDefault="007F01AB" w:rsidP="00E659B4">
            <w:pPr>
              <w:pStyle w:val="TableBody"/>
              <w:rPr>
                <w:bCs/>
                <w:lang w:val="en-AU"/>
              </w:rPr>
            </w:pPr>
            <w:r w:rsidRPr="00CA2232">
              <w:rPr>
                <w:bCs/>
                <w:lang w:val="en-AU"/>
              </w:rPr>
              <w:t xml:space="preserve">Subject to satisfying a </w:t>
            </w:r>
            <w:r w:rsidRPr="00CA2232">
              <w:rPr>
                <w:b/>
                <w:lang w:val="en-AU"/>
              </w:rPr>
              <w:t>public lighting customer’s</w:t>
            </w:r>
            <w:r w:rsidRPr="00CA2232">
              <w:rPr>
                <w:bCs/>
                <w:lang w:val="en-AU"/>
              </w:rPr>
              <w:t xml:space="preserve"> requirement, a </w:t>
            </w:r>
            <w:r w:rsidRPr="00CA2232">
              <w:rPr>
                <w:b/>
                <w:lang w:val="en-AU"/>
              </w:rPr>
              <w:t>distributor</w:t>
            </w:r>
            <w:r w:rsidRPr="00CA2232">
              <w:rPr>
                <w:bCs/>
                <w:lang w:val="en-AU"/>
              </w:rPr>
              <w:t xml:space="preserve"> will nominate any </w:t>
            </w:r>
            <w:r w:rsidRPr="00797FF3">
              <w:rPr>
                <w:b/>
                <w:lang w:val="en-AU"/>
              </w:rPr>
              <w:t>new public lighting supply point</w:t>
            </w:r>
            <w:r w:rsidRPr="00CA2232">
              <w:rPr>
                <w:bCs/>
                <w:lang w:val="en-AU"/>
              </w:rPr>
              <w:t xml:space="preserve"> on the basis of its assessment of technical suitability.</w:t>
            </w:r>
          </w:p>
        </w:tc>
        <w:tc>
          <w:tcPr>
            <w:tcW w:w="7341" w:type="dxa"/>
            <w:vMerge/>
          </w:tcPr>
          <w:p w14:paraId="758B0EEE" w14:textId="77777777" w:rsidR="007F01AB" w:rsidRPr="00E44522" w:rsidRDefault="007F01AB" w:rsidP="00E659B4">
            <w:pPr>
              <w:pStyle w:val="TableBody"/>
              <w:rPr>
                <w:b/>
                <w:highlight w:val="yellow"/>
              </w:rPr>
            </w:pPr>
          </w:p>
        </w:tc>
      </w:tr>
      <w:tr w:rsidR="00166995" w:rsidRPr="00E44522" w14:paraId="3974982E" w14:textId="77777777" w:rsidTr="00223042">
        <w:trPr>
          <w:cnfStyle w:val="000000100000" w:firstRow="0" w:lastRow="0" w:firstColumn="0" w:lastColumn="0" w:oddVBand="0" w:evenVBand="0" w:oddHBand="1" w:evenHBand="0" w:firstRowFirstColumn="0" w:firstRowLastColumn="0" w:lastRowFirstColumn="0" w:lastRowLastColumn="0"/>
          <w:cantSplit/>
          <w:trHeight w:val="300"/>
        </w:trPr>
        <w:tc>
          <w:tcPr>
            <w:tcW w:w="7371" w:type="dxa"/>
          </w:tcPr>
          <w:p w14:paraId="7665DB16" w14:textId="77777777" w:rsidR="00166995" w:rsidRDefault="00166995" w:rsidP="00E659B4">
            <w:pPr>
              <w:pStyle w:val="TableBody"/>
              <w:rPr>
                <w:b/>
                <w:lang w:val="en-AU"/>
              </w:rPr>
            </w:pPr>
            <w:r w:rsidRPr="00797FF3">
              <w:rPr>
                <w:b/>
                <w:lang w:val="en-AU"/>
              </w:rPr>
              <w:lastRenderedPageBreak/>
              <w:t>3.5 Detailed design documentation</w:t>
            </w:r>
          </w:p>
          <w:p w14:paraId="6714AC20" w14:textId="77777777" w:rsidR="00166995" w:rsidRDefault="00166995" w:rsidP="00E659B4">
            <w:pPr>
              <w:pStyle w:val="TableBody"/>
              <w:rPr>
                <w:bCs/>
                <w:lang w:val="en-AU"/>
              </w:rPr>
            </w:pPr>
            <w:r w:rsidRPr="00ED3AF2">
              <w:rPr>
                <w:b/>
                <w:lang w:val="en-AU"/>
              </w:rPr>
              <w:t>3.5.1</w:t>
            </w:r>
            <w:r w:rsidRPr="00ED3AF2">
              <w:rPr>
                <w:bCs/>
                <w:lang w:val="en-AU"/>
              </w:rPr>
              <w:t xml:space="preserve"> If a </w:t>
            </w:r>
            <w:r w:rsidRPr="00C771AA">
              <w:rPr>
                <w:b/>
                <w:lang w:val="en-AU"/>
              </w:rPr>
              <w:t>public lighting customer</w:t>
            </w:r>
            <w:r w:rsidRPr="00ED3AF2">
              <w:rPr>
                <w:bCs/>
                <w:lang w:val="en-AU"/>
              </w:rPr>
              <w:t xml:space="preserve"> agrees to a fair and reasonable fee, a </w:t>
            </w:r>
            <w:r w:rsidRPr="00C771AA">
              <w:rPr>
                <w:b/>
                <w:lang w:val="en-AU"/>
              </w:rPr>
              <w:t>distributor</w:t>
            </w:r>
            <w:r w:rsidRPr="00ED3AF2">
              <w:rPr>
                <w:bCs/>
                <w:lang w:val="en-AU"/>
              </w:rPr>
              <w:t xml:space="preserve"> must undertake design work (if necessary) to translate a </w:t>
            </w:r>
            <w:r w:rsidRPr="00DF5AC3">
              <w:rPr>
                <w:b/>
                <w:lang w:val="en-AU"/>
              </w:rPr>
              <w:t>design brief</w:t>
            </w:r>
            <w:r w:rsidRPr="00ED3AF2">
              <w:rPr>
                <w:bCs/>
                <w:lang w:val="en-AU"/>
              </w:rPr>
              <w:t xml:space="preserve"> into working design documents for construction. </w:t>
            </w:r>
          </w:p>
          <w:p w14:paraId="17506BFB" w14:textId="77777777" w:rsidR="00166995" w:rsidRDefault="00166995" w:rsidP="00E659B4">
            <w:pPr>
              <w:pStyle w:val="TableBody"/>
              <w:rPr>
                <w:bCs/>
                <w:lang w:val="en-AU"/>
              </w:rPr>
            </w:pPr>
          </w:p>
          <w:p w14:paraId="7A142407" w14:textId="1F1C2F54" w:rsidR="00166995" w:rsidRDefault="00166995" w:rsidP="00E659B4">
            <w:pPr>
              <w:pStyle w:val="TableBody"/>
              <w:rPr>
                <w:bCs/>
                <w:lang w:val="en-AU"/>
              </w:rPr>
            </w:pPr>
            <w:r w:rsidRPr="00C771AA">
              <w:rPr>
                <w:b/>
                <w:lang w:val="en-AU"/>
              </w:rPr>
              <w:t>3.5.2</w:t>
            </w:r>
            <w:r w:rsidRPr="00ED3AF2">
              <w:rPr>
                <w:bCs/>
                <w:lang w:val="en-AU"/>
              </w:rPr>
              <w:t xml:space="preserve"> Alternatively, a </w:t>
            </w:r>
            <w:r w:rsidRPr="00DF5AC3">
              <w:rPr>
                <w:b/>
                <w:lang w:val="en-AU"/>
              </w:rPr>
              <w:t>public lighting customer</w:t>
            </w:r>
            <w:r w:rsidRPr="00ED3AF2">
              <w:rPr>
                <w:bCs/>
                <w:lang w:val="en-AU"/>
              </w:rPr>
              <w:t xml:space="preserve"> may request a person other than the </w:t>
            </w:r>
            <w:r w:rsidRPr="00DF5AC3">
              <w:rPr>
                <w:b/>
                <w:lang w:val="en-AU"/>
              </w:rPr>
              <w:t>distributor</w:t>
            </w:r>
            <w:r w:rsidRPr="00ED3AF2">
              <w:rPr>
                <w:bCs/>
                <w:lang w:val="en-AU"/>
              </w:rPr>
              <w:t xml:space="preserve"> to prepare design documentation, in which case:</w:t>
            </w:r>
          </w:p>
          <w:p w14:paraId="26647F7F" w14:textId="5F880AED" w:rsidR="00166995" w:rsidRDefault="00166995" w:rsidP="001E3E57">
            <w:pPr>
              <w:pStyle w:val="TableBody"/>
              <w:numPr>
                <w:ilvl w:val="0"/>
                <w:numId w:val="15"/>
              </w:numPr>
              <w:rPr>
                <w:bCs/>
                <w:lang w:val="en-AU"/>
              </w:rPr>
            </w:pPr>
            <w:r w:rsidRPr="00ED3AF2">
              <w:rPr>
                <w:bCs/>
                <w:lang w:val="en-AU"/>
              </w:rPr>
              <w:t xml:space="preserve">the </w:t>
            </w:r>
            <w:r w:rsidRPr="00DF5AC3">
              <w:rPr>
                <w:b/>
                <w:lang w:val="en-AU"/>
              </w:rPr>
              <w:t>distributor</w:t>
            </w:r>
            <w:r w:rsidRPr="00ED3AF2">
              <w:rPr>
                <w:bCs/>
                <w:lang w:val="en-AU"/>
              </w:rPr>
              <w:t xml:space="preserve"> must within 10 </w:t>
            </w:r>
            <w:r w:rsidRPr="00DF5AC3">
              <w:rPr>
                <w:b/>
                <w:lang w:val="en-AU"/>
              </w:rPr>
              <w:t>business days</w:t>
            </w:r>
            <w:r w:rsidRPr="00ED3AF2">
              <w:rPr>
                <w:bCs/>
                <w:lang w:val="en-AU"/>
              </w:rPr>
              <w:t xml:space="preserve"> of a written request advise the designer of the distributor’s reasonable requirements and applicable </w:t>
            </w:r>
            <w:r w:rsidRPr="00C51DDA">
              <w:rPr>
                <w:b/>
                <w:lang w:val="en-AU"/>
              </w:rPr>
              <w:t>public lighting technical standards</w:t>
            </w:r>
            <w:r w:rsidRPr="00ED3AF2">
              <w:rPr>
                <w:bCs/>
                <w:lang w:val="en-AU"/>
              </w:rPr>
              <w:t xml:space="preserve">; </w:t>
            </w:r>
          </w:p>
          <w:p w14:paraId="243ED509" w14:textId="250B86AA" w:rsidR="00166995" w:rsidRDefault="00166995" w:rsidP="001E3E57">
            <w:pPr>
              <w:pStyle w:val="TableBody"/>
              <w:numPr>
                <w:ilvl w:val="0"/>
                <w:numId w:val="15"/>
              </w:numPr>
              <w:rPr>
                <w:bCs/>
                <w:lang w:val="en-AU"/>
              </w:rPr>
            </w:pPr>
            <w:r w:rsidRPr="00ED3AF2">
              <w:rPr>
                <w:bCs/>
                <w:lang w:val="en-AU"/>
              </w:rPr>
              <w:t xml:space="preserve">the </w:t>
            </w:r>
            <w:r w:rsidRPr="00C51DDA">
              <w:rPr>
                <w:b/>
                <w:lang w:val="en-AU"/>
              </w:rPr>
              <w:t>distributor</w:t>
            </w:r>
            <w:r w:rsidRPr="00ED3AF2">
              <w:rPr>
                <w:bCs/>
                <w:lang w:val="en-AU"/>
              </w:rPr>
              <w:t xml:space="preserve"> must, subject to paragraph (d), confirm compliance or non</w:t>
            </w:r>
            <w:r>
              <w:rPr>
                <w:bCs/>
                <w:lang w:val="en-AU"/>
              </w:rPr>
              <w:t>-</w:t>
            </w:r>
            <w:r w:rsidRPr="00ED3AF2">
              <w:rPr>
                <w:bCs/>
                <w:lang w:val="en-AU"/>
              </w:rPr>
              <w:t xml:space="preserve">compliance with the </w:t>
            </w:r>
            <w:r w:rsidRPr="00C51DDA">
              <w:rPr>
                <w:b/>
                <w:lang w:val="en-AU"/>
              </w:rPr>
              <w:t>distributor's public lighting technical standards</w:t>
            </w:r>
            <w:r w:rsidRPr="00ED3AF2">
              <w:rPr>
                <w:bCs/>
                <w:lang w:val="en-AU"/>
              </w:rPr>
              <w:t xml:space="preserve"> of the </w:t>
            </w:r>
            <w:r w:rsidRPr="00C51DDA">
              <w:rPr>
                <w:b/>
                <w:lang w:val="en-AU"/>
              </w:rPr>
              <w:t>public lighting customer’s</w:t>
            </w:r>
            <w:r w:rsidRPr="00ED3AF2">
              <w:rPr>
                <w:bCs/>
                <w:lang w:val="en-AU"/>
              </w:rPr>
              <w:t xml:space="preserve"> proposal if the </w:t>
            </w:r>
            <w:r w:rsidRPr="003D582D">
              <w:rPr>
                <w:b/>
                <w:lang w:val="en-AU"/>
              </w:rPr>
              <w:t xml:space="preserve">public lighting customer </w:t>
            </w:r>
            <w:r w:rsidRPr="00ED3AF2">
              <w:rPr>
                <w:bCs/>
                <w:lang w:val="en-AU"/>
              </w:rPr>
              <w:t xml:space="preserve">has submitted the design documentation to the </w:t>
            </w:r>
            <w:r w:rsidRPr="003D582D">
              <w:rPr>
                <w:b/>
                <w:lang w:val="en-AU"/>
              </w:rPr>
              <w:t>distributor</w:t>
            </w:r>
            <w:r w:rsidRPr="00ED3AF2">
              <w:rPr>
                <w:bCs/>
                <w:lang w:val="en-AU"/>
              </w:rPr>
              <w:t xml:space="preserve"> before construction commences; </w:t>
            </w:r>
          </w:p>
          <w:p w14:paraId="48854B5A" w14:textId="4639F216" w:rsidR="00166995" w:rsidRDefault="00166995" w:rsidP="001E3E57">
            <w:pPr>
              <w:pStyle w:val="TableBody"/>
              <w:numPr>
                <w:ilvl w:val="0"/>
                <w:numId w:val="15"/>
              </w:numPr>
              <w:rPr>
                <w:bCs/>
                <w:lang w:val="en-AU"/>
              </w:rPr>
            </w:pPr>
            <w:r w:rsidRPr="00ED3AF2">
              <w:rPr>
                <w:bCs/>
                <w:lang w:val="en-AU"/>
              </w:rPr>
              <w:t xml:space="preserve">written confirmation or advice of non-compliance of a submitted design must be given by the </w:t>
            </w:r>
            <w:r w:rsidRPr="003D582D">
              <w:rPr>
                <w:b/>
                <w:lang w:val="en-AU"/>
              </w:rPr>
              <w:t>distributor</w:t>
            </w:r>
            <w:r w:rsidRPr="00ED3AF2">
              <w:rPr>
                <w:bCs/>
                <w:lang w:val="en-AU"/>
              </w:rPr>
              <w:t xml:space="preserve"> within 20 </w:t>
            </w:r>
            <w:r w:rsidRPr="003D582D">
              <w:rPr>
                <w:b/>
                <w:lang w:val="en-AU"/>
              </w:rPr>
              <w:t>business days</w:t>
            </w:r>
            <w:r w:rsidRPr="00ED3AF2">
              <w:rPr>
                <w:bCs/>
                <w:lang w:val="en-AU"/>
              </w:rPr>
              <w:t xml:space="preserve"> if the design uses </w:t>
            </w:r>
            <w:r w:rsidRPr="00AC1111">
              <w:rPr>
                <w:b/>
                <w:lang w:val="en-AU"/>
              </w:rPr>
              <w:t>standard fittings</w:t>
            </w:r>
            <w:r w:rsidRPr="00ED3AF2">
              <w:rPr>
                <w:bCs/>
                <w:lang w:val="en-AU"/>
              </w:rPr>
              <w:t xml:space="preserve"> or otherwise within a reasonable period of time; and </w:t>
            </w:r>
          </w:p>
          <w:p w14:paraId="27B579DD" w14:textId="197F6D00" w:rsidR="00166995" w:rsidRPr="00797FF3" w:rsidRDefault="00166995" w:rsidP="001E3E57">
            <w:pPr>
              <w:pStyle w:val="TableBody"/>
              <w:numPr>
                <w:ilvl w:val="0"/>
                <w:numId w:val="15"/>
              </w:numPr>
              <w:rPr>
                <w:bCs/>
                <w:lang w:val="en-AU"/>
              </w:rPr>
            </w:pPr>
            <w:r w:rsidRPr="00ED3AF2">
              <w:rPr>
                <w:bCs/>
                <w:lang w:val="en-AU"/>
              </w:rPr>
              <w:t xml:space="preserve">(d) the </w:t>
            </w:r>
            <w:r w:rsidRPr="00AC1111">
              <w:rPr>
                <w:b/>
                <w:lang w:val="en-AU"/>
              </w:rPr>
              <w:t>distributor</w:t>
            </w:r>
            <w:r w:rsidRPr="00ED3AF2">
              <w:rPr>
                <w:bCs/>
                <w:lang w:val="en-AU"/>
              </w:rPr>
              <w:t xml:space="preserve"> is not obliged to confirm compliance or non-compliance of the </w:t>
            </w:r>
            <w:r w:rsidRPr="00AC1111">
              <w:rPr>
                <w:b/>
                <w:lang w:val="en-AU"/>
              </w:rPr>
              <w:t>public lighting customer’s</w:t>
            </w:r>
            <w:r w:rsidRPr="00ED3AF2">
              <w:rPr>
                <w:bCs/>
                <w:lang w:val="en-AU"/>
              </w:rPr>
              <w:t xml:space="preserve"> proposal with the </w:t>
            </w:r>
            <w:r w:rsidRPr="00AC1111">
              <w:rPr>
                <w:b/>
                <w:lang w:val="en-AU"/>
              </w:rPr>
              <w:t>distributor’s public lighting technical standards</w:t>
            </w:r>
            <w:r w:rsidRPr="00ED3AF2">
              <w:rPr>
                <w:bCs/>
                <w:lang w:val="en-AU"/>
              </w:rPr>
              <w:t xml:space="preserve"> unless the </w:t>
            </w:r>
            <w:r w:rsidRPr="00AC1111">
              <w:rPr>
                <w:b/>
                <w:lang w:val="en-AU"/>
              </w:rPr>
              <w:t>public lighting customer</w:t>
            </w:r>
            <w:r w:rsidRPr="00ED3AF2">
              <w:rPr>
                <w:bCs/>
                <w:lang w:val="en-AU"/>
              </w:rPr>
              <w:t xml:space="preserve"> has agreed to pay a fair and reasonable fee for the </w:t>
            </w:r>
            <w:r w:rsidRPr="00902298">
              <w:rPr>
                <w:b/>
                <w:lang w:val="en-AU"/>
              </w:rPr>
              <w:t>distributor</w:t>
            </w:r>
            <w:r w:rsidRPr="00ED3AF2">
              <w:rPr>
                <w:bCs/>
                <w:lang w:val="en-AU"/>
              </w:rPr>
              <w:t xml:space="preserve"> to review the compliance or non-compliance.</w:t>
            </w:r>
          </w:p>
        </w:tc>
        <w:tc>
          <w:tcPr>
            <w:tcW w:w="7341" w:type="dxa"/>
            <w:vMerge w:val="restart"/>
          </w:tcPr>
          <w:p w14:paraId="63451FC2" w14:textId="5A5C9BD5" w:rsidR="00166995" w:rsidRDefault="004B071C" w:rsidP="00C81556">
            <w:pPr>
              <w:spacing w:before="0" w:line="240" w:lineRule="auto"/>
              <w:rPr>
                <w:bCs/>
              </w:rPr>
            </w:pPr>
            <w:r w:rsidRPr="004B071C">
              <w:rPr>
                <w:bCs/>
              </w:rPr>
              <w:t>We consider</w:t>
            </w:r>
            <w:r>
              <w:rPr>
                <w:bCs/>
              </w:rPr>
              <w:t xml:space="preserve"> </w:t>
            </w:r>
            <w:r w:rsidR="00166995">
              <w:rPr>
                <w:bCs/>
              </w:rPr>
              <w:t>clauses 3.5 and 3.6 redundant</w:t>
            </w:r>
            <w:r>
              <w:rPr>
                <w:bCs/>
              </w:rPr>
              <w:t xml:space="preserve"> or superseded by other regulations</w:t>
            </w:r>
            <w:r w:rsidR="00166995">
              <w:rPr>
                <w:bCs/>
              </w:rPr>
              <w:t xml:space="preserve">. </w:t>
            </w:r>
          </w:p>
          <w:p w14:paraId="57261123" w14:textId="77777777" w:rsidR="00166995" w:rsidRDefault="00166995" w:rsidP="00C81556">
            <w:pPr>
              <w:spacing w:before="0" w:line="240" w:lineRule="auto"/>
              <w:rPr>
                <w:bCs/>
              </w:rPr>
            </w:pPr>
          </w:p>
          <w:p w14:paraId="1AD06F32" w14:textId="55244A73" w:rsidR="00166995" w:rsidRDefault="00166995" w:rsidP="00FC00CD">
            <w:pPr>
              <w:spacing w:before="0" w:line="240" w:lineRule="auto"/>
              <w:rPr>
                <w:color w:val="000000"/>
              </w:rPr>
            </w:pPr>
            <w:r>
              <w:rPr>
                <w:color w:val="000000"/>
              </w:rPr>
              <w:t xml:space="preserve">The National Electricity (Victoria) Act 2005, Schedule 2, is the Victorian adoption of the National Electricity Rules, chapter 5A. </w:t>
            </w:r>
            <w:r w:rsidR="002F42F4">
              <w:rPr>
                <w:color w:val="000000"/>
              </w:rPr>
              <w:t xml:space="preserve">The </w:t>
            </w:r>
            <w:r>
              <w:rPr>
                <w:color w:val="000000"/>
              </w:rPr>
              <w:t>following parts of that framework</w:t>
            </w:r>
            <w:r w:rsidR="002F42F4">
              <w:rPr>
                <w:color w:val="000000"/>
              </w:rPr>
              <w:t xml:space="preserve"> supersede </w:t>
            </w:r>
            <w:r w:rsidR="0086079F">
              <w:rPr>
                <w:color w:val="000000"/>
              </w:rPr>
              <w:t>the Public Lighting Code</w:t>
            </w:r>
            <w:r>
              <w:rPr>
                <w:color w:val="000000"/>
              </w:rPr>
              <w:t xml:space="preserve">: </w:t>
            </w:r>
          </w:p>
          <w:p w14:paraId="72EABF5C" w14:textId="2415DFBB" w:rsidR="00166995" w:rsidRDefault="00166995" w:rsidP="00B35FAA">
            <w:pPr>
              <w:pStyle w:val="ListParagraph"/>
              <w:numPr>
                <w:ilvl w:val="0"/>
                <w:numId w:val="16"/>
              </w:numPr>
              <w:spacing w:before="0" w:line="240" w:lineRule="auto"/>
              <w:rPr>
                <w:color w:val="000000"/>
              </w:rPr>
            </w:pPr>
            <w:r>
              <w:rPr>
                <w:color w:val="000000"/>
              </w:rPr>
              <w:t xml:space="preserve">Part C, clauses 5A.C.1, C.2 and </w:t>
            </w:r>
            <w:r w:rsidRPr="00FD7FB5">
              <w:rPr>
                <w:color w:val="000000"/>
              </w:rPr>
              <w:t>C.3</w:t>
            </w:r>
            <w:r>
              <w:rPr>
                <w:color w:val="000000"/>
              </w:rPr>
              <w:t xml:space="preserve"> (</w:t>
            </w:r>
            <w:hyperlink r:id="rId23" w:history="1">
              <w:r w:rsidRPr="000E5B5B">
                <w:rPr>
                  <w:rStyle w:val="Hyperlink"/>
                </w:rPr>
                <w:t>Negotiat</w:t>
              </w:r>
              <w:r>
                <w:rPr>
                  <w:rStyle w:val="Hyperlink"/>
                </w:rPr>
                <w:t>ed connection</w:t>
              </w:r>
              <w:r w:rsidRPr="000E5B5B">
                <w:rPr>
                  <w:rStyle w:val="Hyperlink"/>
                </w:rPr>
                <w:t xml:space="preserve"> </w:t>
              </w:r>
              <w:r>
                <w:rPr>
                  <w:rStyle w:val="Hyperlink"/>
                </w:rPr>
                <w:t>framework</w:t>
              </w:r>
            </w:hyperlink>
            <w:r>
              <w:rPr>
                <w:color w:val="000000"/>
              </w:rPr>
              <w:t>)</w:t>
            </w:r>
          </w:p>
          <w:p w14:paraId="5257B516" w14:textId="17A98282" w:rsidR="00166995" w:rsidRDefault="00166995" w:rsidP="00B35FAA">
            <w:pPr>
              <w:pStyle w:val="ListParagraph"/>
              <w:numPr>
                <w:ilvl w:val="0"/>
                <w:numId w:val="16"/>
              </w:numPr>
              <w:spacing w:before="0" w:line="240" w:lineRule="auto"/>
              <w:rPr>
                <w:color w:val="000000"/>
              </w:rPr>
            </w:pPr>
            <w:r w:rsidRPr="00B35FAA">
              <w:rPr>
                <w:color w:val="000000"/>
              </w:rPr>
              <w:t>Part D, clauses 5A.D.1, D</w:t>
            </w:r>
            <w:r>
              <w:rPr>
                <w:color w:val="000000"/>
              </w:rPr>
              <w:t>.</w:t>
            </w:r>
            <w:r w:rsidRPr="00B35FAA">
              <w:rPr>
                <w:color w:val="000000"/>
              </w:rPr>
              <w:t>2, D</w:t>
            </w:r>
            <w:r>
              <w:rPr>
                <w:color w:val="000000"/>
              </w:rPr>
              <w:t>.</w:t>
            </w:r>
            <w:r w:rsidRPr="00B35FAA">
              <w:rPr>
                <w:color w:val="000000"/>
              </w:rPr>
              <w:t>3 and D</w:t>
            </w:r>
            <w:r>
              <w:rPr>
                <w:color w:val="000000"/>
              </w:rPr>
              <w:t>.</w:t>
            </w:r>
            <w:r w:rsidRPr="00B35FAA">
              <w:rPr>
                <w:color w:val="000000"/>
              </w:rPr>
              <w:t>4 (</w:t>
            </w:r>
            <w:hyperlink r:id="rId24" w:history="1">
              <w:r>
                <w:rPr>
                  <w:rStyle w:val="Hyperlink"/>
                </w:rPr>
                <w:t>Application for connection</w:t>
              </w:r>
            </w:hyperlink>
            <w:r w:rsidRPr="00B35FAA">
              <w:rPr>
                <w:color w:val="000000"/>
              </w:rPr>
              <w:t>)</w:t>
            </w:r>
            <w:r>
              <w:rPr>
                <w:color w:val="000000"/>
              </w:rPr>
              <w:t xml:space="preserve"> </w:t>
            </w:r>
            <w:r w:rsidRPr="00B35FAA">
              <w:rPr>
                <w:color w:val="000000"/>
              </w:rPr>
              <w:t xml:space="preserve">and </w:t>
            </w:r>
          </w:p>
          <w:p w14:paraId="6269582F" w14:textId="34AE5A18" w:rsidR="00166995" w:rsidRDefault="00166995" w:rsidP="00B35FAA">
            <w:pPr>
              <w:pStyle w:val="ListParagraph"/>
              <w:numPr>
                <w:ilvl w:val="0"/>
                <w:numId w:val="16"/>
              </w:numPr>
              <w:spacing w:before="0" w:line="240" w:lineRule="auto"/>
              <w:rPr>
                <w:color w:val="000000"/>
              </w:rPr>
            </w:pPr>
            <w:r>
              <w:rPr>
                <w:color w:val="000000"/>
              </w:rPr>
              <w:t>Part E, clauses 5A.E.1, E.2, E.3 and E.4 (</w:t>
            </w:r>
            <w:hyperlink r:id="rId25" w:history="1">
              <w:r>
                <w:rPr>
                  <w:rStyle w:val="Hyperlink"/>
                </w:rPr>
                <w:t>Connection charges</w:t>
              </w:r>
            </w:hyperlink>
            <w:r>
              <w:rPr>
                <w:color w:val="000000"/>
              </w:rPr>
              <w:t>)</w:t>
            </w:r>
          </w:p>
          <w:p w14:paraId="32AE89FE" w14:textId="77777777" w:rsidR="00166995" w:rsidRDefault="00166995" w:rsidP="008C5C91">
            <w:pPr>
              <w:spacing w:before="0" w:line="240" w:lineRule="auto"/>
              <w:rPr>
                <w:color w:val="000000"/>
              </w:rPr>
            </w:pPr>
          </w:p>
          <w:p w14:paraId="27ADC789" w14:textId="3707A53D" w:rsidR="00166995" w:rsidRDefault="0086079F" w:rsidP="00FC00CD">
            <w:pPr>
              <w:pStyle w:val="TableBody"/>
              <w:rPr>
                <w:bCs/>
              </w:rPr>
            </w:pPr>
            <w:r>
              <w:rPr>
                <w:bCs/>
              </w:rPr>
              <w:t>For</w:t>
            </w:r>
            <w:r w:rsidR="00166995">
              <w:rPr>
                <w:bCs/>
              </w:rPr>
              <w:t xml:space="preserve"> example</w:t>
            </w:r>
            <w:r w:rsidR="00144461">
              <w:rPr>
                <w:bCs/>
              </w:rPr>
              <w:t>,</w:t>
            </w:r>
            <w:r w:rsidR="00682189">
              <w:rPr>
                <w:bCs/>
              </w:rPr>
              <w:t xml:space="preserve"> in the</w:t>
            </w:r>
            <w:r w:rsidR="00144461">
              <w:rPr>
                <w:bCs/>
              </w:rPr>
              <w:t xml:space="preserve"> </w:t>
            </w:r>
            <w:r w:rsidR="00166995">
              <w:rPr>
                <w:color w:val="000000"/>
              </w:rPr>
              <w:t>National Electricity (Victoria) Act 2005, Schedule 2</w:t>
            </w:r>
            <w:r w:rsidR="00166995">
              <w:rPr>
                <w:bCs/>
              </w:rPr>
              <w:t>:</w:t>
            </w:r>
          </w:p>
          <w:p w14:paraId="50CCA245" w14:textId="77777777" w:rsidR="00166995" w:rsidRDefault="00166995" w:rsidP="00FC00CD">
            <w:pPr>
              <w:pStyle w:val="TableBody"/>
              <w:numPr>
                <w:ilvl w:val="0"/>
                <w:numId w:val="16"/>
              </w:numPr>
              <w:rPr>
                <w:bCs/>
              </w:rPr>
            </w:pPr>
            <w:r w:rsidRPr="62027685">
              <w:rPr>
                <w:lang w:val="en-AU"/>
              </w:rPr>
              <w:t xml:space="preserve">Part C, clause 5A.C.3(a), (2) and (3) enables the provision and exchange of information between parties regarding the connection proposal for each party to negotiate on an informed basis. </w:t>
            </w:r>
          </w:p>
          <w:p w14:paraId="6D8B0626" w14:textId="2E78E0CD" w:rsidR="00166995" w:rsidRPr="0067242D" w:rsidRDefault="00166995" w:rsidP="0067242D">
            <w:pPr>
              <w:pStyle w:val="TableBody"/>
              <w:numPr>
                <w:ilvl w:val="0"/>
                <w:numId w:val="16"/>
              </w:numPr>
              <w:rPr>
                <w:bCs/>
              </w:rPr>
            </w:pPr>
            <w:r>
              <w:rPr>
                <w:bCs/>
              </w:rPr>
              <w:t>Part C, clause 5A.C.4(a) and (b) enables the distributor to charge a reasonable fee to cover the cost of the negotiated contract.</w:t>
            </w:r>
          </w:p>
          <w:p w14:paraId="557A0031" w14:textId="798B2C72" w:rsidR="00166995" w:rsidRDefault="00166995" w:rsidP="00FC00CD">
            <w:pPr>
              <w:pStyle w:val="TableBody"/>
              <w:numPr>
                <w:ilvl w:val="0"/>
                <w:numId w:val="16"/>
              </w:numPr>
              <w:rPr>
                <w:bCs/>
              </w:rPr>
            </w:pPr>
            <w:r w:rsidRPr="00F56BEE">
              <w:rPr>
                <w:bCs/>
              </w:rPr>
              <w:t>Part D, clause 5A.D.</w:t>
            </w:r>
            <w:r>
              <w:rPr>
                <w:bCs/>
              </w:rPr>
              <w:t xml:space="preserve">3(d), </w:t>
            </w:r>
            <w:r w:rsidRPr="00F56BEE">
              <w:rPr>
                <w:bCs/>
              </w:rPr>
              <w:t>(</w:t>
            </w:r>
            <w:r>
              <w:rPr>
                <w:bCs/>
              </w:rPr>
              <w:t>e</w:t>
            </w:r>
            <w:r w:rsidRPr="00F56BEE">
              <w:rPr>
                <w:bCs/>
              </w:rPr>
              <w:t>)</w:t>
            </w:r>
            <w:r>
              <w:rPr>
                <w:bCs/>
              </w:rPr>
              <w:t xml:space="preserve"> and (f)</w:t>
            </w:r>
            <w:r w:rsidRPr="00F56BEE">
              <w:rPr>
                <w:bCs/>
              </w:rPr>
              <w:t xml:space="preserve"> provisions for</w:t>
            </w:r>
            <w:r>
              <w:rPr>
                <w:bCs/>
              </w:rPr>
              <w:t xml:space="preserve"> the</w:t>
            </w:r>
            <w:r w:rsidRPr="00F56BEE">
              <w:rPr>
                <w:bCs/>
              </w:rPr>
              <w:t xml:space="preserve"> </w:t>
            </w:r>
            <w:r>
              <w:rPr>
                <w:bCs/>
              </w:rPr>
              <w:t>interaction of the negotiated connection process and the exchange of design information (including deficiency) between parties within defined periods.</w:t>
            </w:r>
            <w:r w:rsidRPr="00F56BEE">
              <w:rPr>
                <w:bCs/>
              </w:rPr>
              <w:t xml:space="preserve"> </w:t>
            </w:r>
          </w:p>
          <w:p w14:paraId="7FEB0E29" w14:textId="77777777" w:rsidR="00166995" w:rsidRDefault="00166995" w:rsidP="008C5C91">
            <w:pPr>
              <w:spacing w:before="0" w:line="240" w:lineRule="auto"/>
              <w:rPr>
                <w:bCs/>
              </w:rPr>
            </w:pPr>
          </w:p>
          <w:p w14:paraId="58F131EC" w14:textId="1A7457E5" w:rsidR="00166995" w:rsidRPr="008C5C91" w:rsidRDefault="00F06ECD" w:rsidP="008C5C91">
            <w:pPr>
              <w:spacing w:before="0" w:line="240" w:lineRule="auto"/>
              <w:rPr>
                <w:bCs/>
              </w:rPr>
            </w:pPr>
            <w:r>
              <w:rPr>
                <w:bCs/>
              </w:rPr>
              <w:t>The</w:t>
            </w:r>
            <w:r w:rsidRPr="002201EF">
              <w:rPr>
                <w:bCs/>
              </w:rPr>
              <w:t xml:space="preserve"> </w:t>
            </w:r>
            <w:r>
              <w:rPr>
                <w:bCs/>
              </w:rPr>
              <w:t xml:space="preserve">framework supports different types of connections, such as customer designed public lighting. This sets out the </w:t>
            </w:r>
            <w:r w:rsidRPr="002201EF">
              <w:rPr>
                <w:bCs/>
              </w:rPr>
              <w:t>negotiation</w:t>
            </w:r>
            <w:r>
              <w:rPr>
                <w:bCs/>
              </w:rPr>
              <w:t>, design</w:t>
            </w:r>
            <w:r w:rsidRPr="002201EF">
              <w:rPr>
                <w:bCs/>
              </w:rPr>
              <w:t xml:space="preserve"> </w:t>
            </w:r>
            <w:r>
              <w:rPr>
                <w:bCs/>
              </w:rPr>
              <w:t xml:space="preserve">and the </w:t>
            </w:r>
            <w:r>
              <w:rPr>
                <w:bCs/>
              </w:rPr>
              <w:lastRenderedPageBreak/>
              <w:t>connection process between a customer and a distributor</w:t>
            </w:r>
            <w:r w:rsidRPr="002201EF">
              <w:rPr>
                <w:bCs/>
              </w:rPr>
              <w:t xml:space="preserve">. </w:t>
            </w:r>
            <w:r w:rsidR="00166995" w:rsidRPr="002201EF">
              <w:rPr>
                <w:bCs/>
              </w:rPr>
              <w:t>Therefore,</w:t>
            </w:r>
            <w:r w:rsidR="00166995">
              <w:rPr>
                <w:bCs/>
              </w:rPr>
              <w:t xml:space="preserve"> we consider </w:t>
            </w:r>
            <w:r w:rsidR="00166995" w:rsidRPr="002201EF">
              <w:rPr>
                <w:bCs/>
              </w:rPr>
              <w:t>clause</w:t>
            </w:r>
            <w:r w:rsidR="00166995">
              <w:rPr>
                <w:bCs/>
              </w:rPr>
              <w:t>s</w:t>
            </w:r>
            <w:r w:rsidR="00166995" w:rsidRPr="002201EF">
              <w:rPr>
                <w:bCs/>
              </w:rPr>
              <w:t xml:space="preserve"> 3.5 </w:t>
            </w:r>
            <w:r w:rsidR="00166995">
              <w:rPr>
                <w:bCs/>
              </w:rPr>
              <w:t xml:space="preserve">and 3.6 </w:t>
            </w:r>
            <w:r w:rsidR="00166995" w:rsidRPr="002201EF">
              <w:rPr>
                <w:bCs/>
              </w:rPr>
              <w:t xml:space="preserve">to be </w:t>
            </w:r>
            <w:r w:rsidR="00690B16">
              <w:rPr>
                <w:bCs/>
              </w:rPr>
              <w:t>redundant</w:t>
            </w:r>
            <w:r w:rsidR="00191E42">
              <w:rPr>
                <w:bCs/>
              </w:rPr>
              <w:t xml:space="preserve"> and </w:t>
            </w:r>
            <w:r w:rsidR="00166995" w:rsidRPr="002201EF">
              <w:rPr>
                <w:bCs/>
              </w:rPr>
              <w:t>superseded</w:t>
            </w:r>
            <w:r w:rsidR="00166995">
              <w:rPr>
                <w:bCs/>
              </w:rPr>
              <w:t>.</w:t>
            </w:r>
          </w:p>
          <w:p w14:paraId="3815034D" w14:textId="77777777" w:rsidR="00166995" w:rsidRDefault="00166995" w:rsidP="00E81EEA">
            <w:pPr>
              <w:spacing w:before="0" w:line="240" w:lineRule="auto"/>
              <w:rPr>
                <w:rFonts w:cstheme="minorHAnsi"/>
                <w:color w:val="000000"/>
              </w:rPr>
            </w:pPr>
          </w:p>
          <w:p w14:paraId="7810D97D" w14:textId="60824056" w:rsidR="00166995" w:rsidRPr="008C5C91" w:rsidRDefault="00166995" w:rsidP="00166995">
            <w:pPr>
              <w:spacing w:before="0" w:line="240" w:lineRule="auto"/>
              <w:rPr>
                <w:bCs/>
              </w:rPr>
            </w:pPr>
          </w:p>
        </w:tc>
      </w:tr>
      <w:tr w:rsidR="00166995" w:rsidRPr="00F457C9" w14:paraId="608A67C6" w14:textId="77777777" w:rsidTr="00223042">
        <w:trPr>
          <w:cnfStyle w:val="000000010000" w:firstRow="0" w:lastRow="0" w:firstColumn="0" w:lastColumn="0" w:oddVBand="0" w:evenVBand="0" w:oddHBand="0" w:evenHBand="1" w:firstRowFirstColumn="0" w:firstRowLastColumn="0" w:lastRowFirstColumn="0" w:lastRowLastColumn="0"/>
          <w:cantSplit/>
          <w:trHeight w:val="300"/>
        </w:trPr>
        <w:tc>
          <w:tcPr>
            <w:tcW w:w="7371" w:type="dxa"/>
          </w:tcPr>
          <w:p w14:paraId="1F7A69B5" w14:textId="77777777" w:rsidR="00166995" w:rsidRPr="00F457C9" w:rsidRDefault="00166995" w:rsidP="00E659B4">
            <w:pPr>
              <w:pStyle w:val="TableBody"/>
              <w:rPr>
                <w:rFonts w:cstheme="minorHAnsi"/>
                <w:b/>
                <w:lang w:val="en-AU"/>
              </w:rPr>
            </w:pPr>
            <w:r w:rsidRPr="00F457C9">
              <w:rPr>
                <w:rFonts w:cstheme="minorHAnsi"/>
                <w:b/>
                <w:lang w:val="en-AU"/>
              </w:rPr>
              <w:lastRenderedPageBreak/>
              <w:t>3.6 Connection of public lights constructed by the public lighting customer</w:t>
            </w:r>
          </w:p>
          <w:p w14:paraId="60F15B25" w14:textId="2A1411E1" w:rsidR="00166995" w:rsidRPr="00F457C9" w:rsidRDefault="00166995" w:rsidP="00E659B4">
            <w:pPr>
              <w:pStyle w:val="TableBody"/>
              <w:rPr>
                <w:rFonts w:cstheme="minorHAnsi"/>
                <w:bCs/>
                <w:lang w:val="en-AU"/>
              </w:rPr>
            </w:pPr>
            <w:r w:rsidRPr="00F457C9">
              <w:rPr>
                <w:rFonts w:cstheme="minorHAnsi"/>
                <w:bCs/>
                <w:lang w:val="en-AU"/>
              </w:rPr>
              <w:t xml:space="preserve">A </w:t>
            </w:r>
            <w:r w:rsidRPr="00F457C9">
              <w:rPr>
                <w:rFonts w:cstheme="minorHAnsi"/>
                <w:b/>
                <w:lang w:val="en-AU"/>
              </w:rPr>
              <w:t>distributor</w:t>
            </w:r>
            <w:r w:rsidRPr="00F457C9">
              <w:rPr>
                <w:rFonts w:cstheme="minorHAnsi"/>
                <w:bCs/>
                <w:lang w:val="en-AU"/>
              </w:rPr>
              <w:t xml:space="preserve"> must within 20 </w:t>
            </w:r>
            <w:r w:rsidRPr="00F457C9">
              <w:rPr>
                <w:rFonts w:cstheme="minorHAnsi"/>
                <w:b/>
                <w:lang w:val="en-AU"/>
              </w:rPr>
              <w:t>business days</w:t>
            </w:r>
            <w:r w:rsidRPr="00F457C9">
              <w:rPr>
                <w:rFonts w:cstheme="minorHAnsi"/>
                <w:bCs/>
                <w:lang w:val="en-AU"/>
              </w:rPr>
              <w:t xml:space="preserve"> of a request provide all necessary information including advice of its reasonable requirements and applicable </w:t>
            </w:r>
            <w:r w:rsidRPr="00F457C9">
              <w:rPr>
                <w:rFonts w:cstheme="minorHAnsi"/>
                <w:b/>
                <w:lang w:val="en-AU"/>
              </w:rPr>
              <w:t>public lighting technical standards</w:t>
            </w:r>
            <w:r w:rsidRPr="00F457C9">
              <w:rPr>
                <w:rFonts w:cstheme="minorHAnsi"/>
                <w:bCs/>
                <w:lang w:val="en-AU"/>
              </w:rPr>
              <w:t xml:space="preserve"> to enable another person to construct the new public lighting assets at the request of the </w:t>
            </w:r>
            <w:r w:rsidRPr="00F457C9">
              <w:rPr>
                <w:rFonts w:cstheme="minorHAnsi"/>
                <w:b/>
                <w:lang w:val="en-AU"/>
              </w:rPr>
              <w:t>public lighting customer</w:t>
            </w:r>
            <w:r w:rsidRPr="00F457C9">
              <w:rPr>
                <w:rFonts w:cstheme="minorHAnsi"/>
                <w:bCs/>
                <w:lang w:val="en-AU"/>
              </w:rPr>
              <w:t xml:space="preserve">. Compliance with such requirements and standards is necessary before the </w:t>
            </w:r>
            <w:r w:rsidRPr="00F457C9">
              <w:rPr>
                <w:rFonts w:cstheme="minorHAnsi"/>
                <w:b/>
                <w:lang w:val="en-AU"/>
              </w:rPr>
              <w:t>distributor</w:t>
            </w:r>
            <w:r w:rsidRPr="00F457C9">
              <w:rPr>
                <w:rFonts w:cstheme="minorHAnsi"/>
                <w:bCs/>
                <w:lang w:val="en-AU"/>
              </w:rPr>
              <w:t xml:space="preserve"> is obliged to connect those assets to the </w:t>
            </w:r>
            <w:r w:rsidRPr="00F457C9">
              <w:rPr>
                <w:rFonts w:cstheme="minorHAnsi"/>
                <w:b/>
                <w:lang w:val="en-AU"/>
              </w:rPr>
              <w:t>distribution system</w:t>
            </w:r>
            <w:r w:rsidRPr="00F457C9">
              <w:rPr>
                <w:rFonts w:cstheme="minorHAnsi"/>
                <w:bCs/>
                <w:lang w:val="en-AU"/>
              </w:rPr>
              <w:t>.</w:t>
            </w:r>
          </w:p>
        </w:tc>
        <w:tc>
          <w:tcPr>
            <w:tcW w:w="7341" w:type="dxa"/>
            <w:vMerge/>
          </w:tcPr>
          <w:p w14:paraId="26428238" w14:textId="27DF8ECF" w:rsidR="00166995" w:rsidRPr="00F457C9" w:rsidRDefault="00166995" w:rsidP="00166995">
            <w:pPr>
              <w:spacing w:before="0" w:line="240" w:lineRule="auto"/>
              <w:rPr>
                <w:rFonts w:cstheme="minorHAnsi"/>
                <w:b/>
                <w:highlight w:val="yellow"/>
              </w:rPr>
            </w:pPr>
          </w:p>
        </w:tc>
      </w:tr>
      <w:tr w:rsidR="00E7542A" w:rsidRPr="00F457C9" w14:paraId="1D468002" w14:textId="77777777" w:rsidTr="00223042">
        <w:trPr>
          <w:cnfStyle w:val="000000100000" w:firstRow="0" w:lastRow="0" w:firstColumn="0" w:lastColumn="0" w:oddVBand="0" w:evenVBand="0" w:oddHBand="1" w:evenHBand="0" w:firstRowFirstColumn="0" w:firstRowLastColumn="0" w:lastRowFirstColumn="0" w:lastRowLastColumn="0"/>
          <w:cantSplit/>
          <w:trHeight w:val="300"/>
        </w:trPr>
        <w:tc>
          <w:tcPr>
            <w:tcW w:w="7371" w:type="dxa"/>
          </w:tcPr>
          <w:p w14:paraId="18995691" w14:textId="77777777" w:rsidR="00E7542A" w:rsidRPr="00F457C9" w:rsidRDefault="00015C29" w:rsidP="00E659B4">
            <w:pPr>
              <w:pStyle w:val="TableBody"/>
              <w:rPr>
                <w:rFonts w:cstheme="minorHAnsi"/>
                <w:b/>
                <w:lang w:val="en-AU"/>
              </w:rPr>
            </w:pPr>
            <w:r w:rsidRPr="00F457C9">
              <w:rPr>
                <w:rFonts w:cstheme="minorHAnsi"/>
                <w:b/>
                <w:lang w:val="en-AU"/>
              </w:rPr>
              <w:t>3.7 Notice of proposed works</w:t>
            </w:r>
          </w:p>
          <w:p w14:paraId="573AB01C" w14:textId="6E05B63A" w:rsidR="00015C29" w:rsidRPr="00F457C9" w:rsidRDefault="00131D0F" w:rsidP="00E659B4">
            <w:pPr>
              <w:pStyle w:val="TableBody"/>
              <w:rPr>
                <w:rFonts w:cstheme="minorHAnsi"/>
                <w:bCs/>
                <w:lang w:val="en-AU"/>
              </w:rPr>
            </w:pPr>
            <w:r w:rsidRPr="00F457C9">
              <w:rPr>
                <w:rFonts w:cstheme="minorHAnsi"/>
                <w:bCs/>
                <w:lang w:val="en-AU"/>
              </w:rPr>
              <w:t xml:space="preserve">A </w:t>
            </w:r>
            <w:r w:rsidRPr="00F457C9">
              <w:rPr>
                <w:rFonts w:cstheme="minorHAnsi"/>
                <w:b/>
                <w:lang w:val="en-AU"/>
              </w:rPr>
              <w:t>distributor</w:t>
            </w:r>
            <w:r w:rsidRPr="00F457C9">
              <w:rPr>
                <w:rFonts w:cstheme="minorHAnsi"/>
                <w:bCs/>
                <w:lang w:val="en-AU"/>
              </w:rPr>
              <w:t xml:space="preserve"> is not obliged to commence or facilitate construction of a new </w:t>
            </w:r>
            <w:r w:rsidRPr="00F457C9">
              <w:rPr>
                <w:rFonts w:cstheme="minorHAnsi"/>
                <w:b/>
                <w:lang w:val="en-AU"/>
              </w:rPr>
              <w:t>public lighting asset</w:t>
            </w:r>
            <w:r w:rsidRPr="00F457C9">
              <w:rPr>
                <w:rFonts w:cstheme="minorHAnsi"/>
                <w:bCs/>
                <w:lang w:val="en-AU"/>
              </w:rPr>
              <w:t xml:space="preserve"> unless all interested persons are given adequate notice by the </w:t>
            </w:r>
            <w:r w:rsidRPr="00F457C9">
              <w:rPr>
                <w:rFonts w:cstheme="minorHAnsi"/>
                <w:b/>
                <w:lang w:val="en-AU"/>
              </w:rPr>
              <w:t>distributor</w:t>
            </w:r>
            <w:r w:rsidRPr="00F457C9">
              <w:rPr>
                <w:rFonts w:cstheme="minorHAnsi"/>
                <w:bCs/>
                <w:lang w:val="en-AU"/>
              </w:rPr>
              <w:t xml:space="preserve"> or the </w:t>
            </w:r>
            <w:r w:rsidRPr="00F457C9">
              <w:rPr>
                <w:rFonts w:cstheme="minorHAnsi"/>
                <w:b/>
                <w:lang w:val="en-AU"/>
              </w:rPr>
              <w:t>public lighting customer</w:t>
            </w:r>
            <w:r w:rsidRPr="00F457C9">
              <w:rPr>
                <w:rFonts w:cstheme="minorHAnsi"/>
                <w:bCs/>
                <w:lang w:val="en-AU"/>
              </w:rPr>
              <w:t xml:space="preserve"> (as agreed between them) of proposed works for new lighting including, where relevant, any associated installation of temporary lighting.</w:t>
            </w:r>
          </w:p>
        </w:tc>
        <w:tc>
          <w:tcPr>
            <w:tcW w:w="7341" w:type="dxa"/>
          </w:tcPr>
          <w:p w14:paraId="4092CC42" w14:textId="2F9A6CD8" w:rsidR="00051985" w:rsidRDefault="002C0986" w:rsidP="00051985">
            <w:pPr>
              <w:spacing w:before="0" w:line="240" w:lineRule="auto"/>
              <w:rPr>
                <w:rFonts w:cstheme="minorHAnsi"/>
                <w:color w:val="000000"/>
              </w:rPr>
            </w:pPr>
            <w:r w:rsidRPr="002C0986">
              <w:rPr>
                <w:rFonts w:cstheme="minorHAnsi"/>
                <w:color w:val="000000"/>
              </w:rPr>
              <w:t>We consider</w:t>
            </w:r>
            <w:r w:rsidR="00051985" w:rsidRPr="00F457C9">
              <w:rPr>
                <w:rFonts w:cstheme="minorHAnsi"/>
                <w:color w:val="000000"/>
              </w:rPr>
              <w:t xml:space="preserve"> clause 3.</w:t>
            </w:r>
            <w:r w:rsidR="00051985">
              <w:rPr>
                <w:rFonts w:cstheme="minorHAnsi"/>
                <w:color w:val="000000"/>
              </w:rPr>
              <w:t>7</w:t>
            </w:r>
            <w:r w:rsidR="00051985" w:rsidRPr="00F457C9">
              <w:rPr>
                <w:rFonts w:cstheme="minorHAnsi"/>
                <w:color w:val="000000"/>
              </w:rPr>
              <w:t xml:space="preserve"> redundant</w:t>
            </w:r>
            <w:r w:rsidR="00113A1D" w:rsidRPr="002C0986">
              <w:rPr>
                <w:rFonts w:cstheme="minorHAnsi"/>
                <w:color w:val="000000"/>
              </w:rPr>
              <w:t>, or superseded by other regulations</w:t>
            </w:r>
            <w:r w:rsidR="00051985" w:rsidRPr="00F457C9">
              <w:rPr>
                <w:rFonts w:cstheme="minorHAnsi"/>
                <w:color w:val="000000"/>
              </w:rPr>
              <w:t xml:space="preserve">. </w:t>
            </w:r>
          </w:p>
          <w:p w14:paraId="075C8553" w14:textId="77777777" w:rsidR="00A212C3" w:rsidRDefault="00A212C3" w:rsidP="00051985">
            <w:pPr>
              <w:spacing w:before="0" w:line="240" w:lineRule="auto"/>
              <w:rPr>
                <w:rFonts w:cstheme="minorHAnsi"/>
                <w:color w:val="000000"/>
              </w:rPr>
            </w:pPr>
          </w:p>
          <w:p w14:paraId="24C98035" w14:textId="216E44C8" w:rsidR="00A212C3" w:rsidRDefault="007431C5" w:rsidP="00A212C3">
            <w:pPr>
              <w:spacing w:before="0" w:line="240" w:lineRule="auto"/>
              <w:rPr>
                <w:rFonts w:cstheme="minorHAnsi"/>
                <w:color w:val="000000"/>
              </w:rPr>
            </w:pPr>
            <w:r>
              <w:rPr>
                <w:color w:val="000000"/>
              </w:rPr>
              <w:t>We note t</w:t>
            </w:r>
            <w:r w:rsidR="00A212C3">
              <w:rPr>
                <w:color w:val="000000"/>
              </w:rPr>
              <w:t>he National Electricity (Victoria) Act 2005, Schedule 2, Part C</w:t>
            </w:r>
            <w:r w:rsidR="001E1BC9">
              <w:rPr>
                <w:color w:val="000000"/>
              </w:rPr>
              <w:t>, clause 5A.C.3</w:t>
            </w:r>
            <w:r>
              <w:rPr>
                <w:color w:val="000000"/>
              </w:rPr>
              <w:t>(a)</w:t>
            </w:r>
            <w:r w:rsidR="001E1BC9">
              <w:rPr>
                <w:color w:val="000000"/>
              </w:rPr>
              <w:t>(4)</w:t>
            </w:r>
            <w:r w:rsidR="00A212C3">
              <w:rPr>
                <w:color w:val="000000"/>
              </w:rPr>
              <w:t xml:space="preserve"> (</w:t>
            </w:r>
            <w:hyperlink r:id="rId26" w:history="1">
              <w:r w:rsidR="00A212C3" w:rsidRPr="000E5B5B">
                <w:rPr>
                  <w:rStyle w:val="Hyperlink"/>
                </w:rPr>
                <w:t>Negotiation of connection</w:t>
              </w:r>
            </w:hyperlink>
            <w:r w:rsidR="00A212C3">
              <w:rPr>
                <w:color w:val="000000"/>
              </w:rPr>
              <w:t xml:space="preserve">) </w:t>
            </w:r>
            <w:r>
              <w:rPr>
                <w:color w:val="000000"/>
              </w:rPr>
              <w:t>provisions for</w:t>
            </w:r>
            <w:r w:rsidR="00A212C3">
              <w:rPr>
                <w:color w:val="000000"/>
              </w:rPr>
              <w:t xml:space="preserve"> distributors</w:t>
            </w:r>
            <w:r>
              <w:rPr>
                <w:color w:val="000000"/>
              </w:rPr>
              <w:t xml:space="preserve"> to </w:t>
            </w:r>
            <w:r w:rsidR="00A212C3">
              <w:rPr>
                <w:rFonts w:cstheme="minorHAnsi"/>
                <w:color w:val="000000"/>
              </w:rPr>
              <w:t>engag</w:t>
            </w:r>
            <w:r>
              <w:rPr>
                <w:rFonts w:cstheme="minorHAnsi"/>
                <w:color w:val="000000"/>
              </w:rPr>
              <w:t xml:space="preserve">e </w:t>
            </w:r>
            <w:r w:rsidR="00A212C3">
              <w:rPr>
                <w:rFonts w:cstheme="minorHAnsi"/>
                <w:color w:val="000000"/>
              </w:rPr>
              <w:t xml:space="preserve">with </w:t>
            </w:r>
            <w:r w:rsidR="00A212C3" w:rsidRPr="00F457C9">
              <w:rPr>
                <w:rFonts w:cstheme="minorHAnsi"/>
                <w:color w:val="000000"/>
              </w:rPr>
              <w:t xml:space="preserve">other parties related to the connection enquiry. </w:t>
            </w:r>
            <w:r w:rsidR="00A212C3">
              <w:rPr>
                <w:rFonts w:cstheme="minorHAnsi"/>
                <w:color w:val="000000"/>
              </w:rPr>
              <w:t xml:space="preserve">Therefore, we consider clause 3.7 to be </w:t>
            </w:r>
            <w:r w:rsidR="00690B16">
              <w:rPr>
                <w:rFonts w:cstheme="minorHAnsi"/>
                <w:color w:val="000000"/>
              </w:rPr>
              <w:t xml:space="preserve">redundant and </w:t>
            </w:r>
            <w:r w:rsidR="00A212C3">
              <w:rPr>
                <w:rFonts w:cstheme="minorHAnsi"/>
                <w:color w:val="000000"/>
              </w:rPr>
              <w:t>superseded.</w:t>
            </w:r>
          </w:p>
          <w:p w14:paraId="01831843" w14:textId="77777777" w:rsidR="00E7542A" w:rsidRPr="00F457C9" w:rsidRDefault="00E7542A" w:rsidP="00A212C3">
            <w:pPr>
              <w:spacing w:before="0" w:line="240" w:lineRule="auto"/>
              <w:rPr>
                <w:rFonts w:cstheme="minorHAnsi"/>
                <w:b/>
                <w:highlight w:val="yellow"/>
              </w:rPr>
            </w:pPr>
          </w:p>
        </w:tc>
      </w:tr>
      <w:tr w:rsidR="00131D0F" w:rsidRPr="00F457C9" w14:paraId="4B703272" w14:textId="77777777" w:rsidTr="00223042">
        <w:trPr>
          <w:cnfStyle w:val="000000010000" w:firstRow="0" w:lastRow="0" w:firstColumn="0" w:lastColumn="0" w:oddVBand="0" w:evenVBand="0" w:oddHBand="0" w:evenHBand="1" w:firstRowFirstColumn="0" w:firstRowLastColumn="0" w:lastRowFirstColumn="0" w:lastRowLastColumn="0"/>
          <w:cantSplit/>
          <w:trHeight w:val="300"/>
        </w:trPr>
        <w:tc>
          <w:tcPr>
            <w:tcW w:w="14712" w:type="dxa"/>
            <w:gridSpan w:val="2"/>
            <w:vAlign w:val="center"/>
          </w:tcPr>
          <w:p w14:paraId="7FD28CCB" w14:textId="6D5F420D" w:rsidR="00131D0F" w:rsidRPr="00F457C9" w:rsidRDefault="00131D0F" w:rsidP="00131D0F">
            <w:pPr>
              <w:pStyle w:val="TableBody"/>
              <w:jc w:val="center"/>
              <w:rPr>
                <w:rFonts w:cstheme="minorHAnsi"/>
                <w:b/>
                <w:highlight w:val="yellow"/>
              </w:rPr>
            </w:pPr>
            <w:r w:rsidRPr="00F457C9">
              <w:rPr>
                <w:rFonts w:cstheme="minorHAnsi"/>
                <w:b/>
              </w:rPr>
              <w:t>4. AL</w:t>
            </w:r>
            <w:r w:rsidR="00BA28BA" w:rsidRPr="00F457C9">
              <w:rPr>
                <w:rFonts w:cstheme="minorHAnsi"/>
                <w:b/>
              </w:rPr>
              <w:t>TERATION</w:t>
            </w:r>
            <w:r w:rsidR="006119A2">
              <w:rPr>
                <w:rFonts w:cstheme="minorHAnsi"/>
                <w:b/>
              </w:rPr>
              <w:t>S</w:t>
            </w:r>
            <w:r w:rsidR="0039182A">
              <w:rPr>
                <w:rFonts w:cstheme="minorHAnsi"/>
                <w:b/>
              </w:rPr>
              <w:t xml:space="preserve"> </w:t>
            </w:r>
            <w:r w:rsidR="00BA28BA" w:rsidRPr="00F457C9">
              <w:rPr>
                <w:rFonts w:cstheme="minorHAnsi"/>
                <w:b/>
              </w:rPr>
              <w:t xml:space="preserve">TO EXITING PUBLIC LIGHTING </w:t>
            </w:r>
          </w:p>
        </w:tc>
      </w:tr>
      <w:tr w:rsidR="004D45F8" w:rsidRPr="00F457C9" w14:paraId="18AA02D3" w14:textId="77777777" w:rsidTr="00223042">
        <w:trPr>
          <w:cnfStyle w:val="000000100000" w:firstRow="0" w:lastRow="0" w:firstColumn="0" w:lastColumn="0" w:oddVBand="0" w:evenVBand="0" w:oddHBand="1" w:evenHBand="0" w:firstRowFirstColumn="0" w:firstRowLastColumn="0" w:lastRowFirstColumn="0" w:lastRowLastColumn="0"/>
          <w:cantSplit/>
          <w:trHeight w:val="300"/>
        </w:trPr>
        <w:tc>
          <w:tcPr>
            <w:tcW w:w="7371" w:type="dxa"/>
          </w:tcPr>
          <w:p w14:paraId="4137A1DC" w14:textId="77777777" w:rsidR="004D45F8" w:rsidRPr="00F457C9" w:rsidRDefault="004D45F8" w:rsidP="00E659B4">
            <w:pPr>
              <w:pStyle w:val="TableBody"/>
              <w:rPr>
                <w:rFonts w:cstheme="minorHAnsi"/>
                <w:b/>
                <w:lang w:val="en-AU"/>
              </w:rPr>
            </w:pPr>
            <w:r w:rsidRPr="00F457C9">
              <w:rPr>
                <w:rFonts w:cstheme="minorHAnsi"/>
                <w:b/>
                <w:lang w:val="en-AU"/>
              </w:rPr>
              <w:t>4.1 Design brief</w:t>
            </w:r>
          </w:p>
          <w:p w14:paraId="064F9128" w14:textId="2579D974" w:rsidR="004D45F8" w:rsidRPr="00F457C9" w:rsidRDefault="004D45F8" w:rsidP="00E659B4">
            <w:pPr>
              <w:pStyle w:val="TableBody"/>
              <w:rPr>
                <w:rFonts w:cstheme="minorHAnsi"/>
                <w:bCs/>
                <w:lang w:val="en-AU"/>
              </w:rPr>
            </w:pPr>
            <w:r w:rsidRPr="00F457C9">
              <w:rPr>
                <w:rFonts w:cstheme="minorHAnsi"/>
                <w:bCs/>
                <w:lang w:val="en-AU"/>
              </w:rPr>
              <w:t xml:space="preserve">A </w:t>
            </w:r>
            <w:r w:rsidRPr="00F457C9">
              <w:rPr>
                <w:rFonts w:cstheme="minorHAnsi"/>
                <w:b/>
                <w:lang w:val="en-AU"/>
              </w:rPr>
              <w:t>distributor</w:t>
            </w:r>
            <w:r w:rsidRPr="00F457C9">
              <w:rPr>
                <w:rFonts w:cstheme="minorHAnsi"/>
                <w:bCs/>
                <w:lang w:val="en-AU"/>
              </w:rPr>
              <w:t xml:space="preserve"> is not required to alter </w:t>
            </w:r>
            <w:r w:rsidRPr="00F457C9">
              <w:rPr>
                <w:rFonts w:cstheme="minorHAnsi"/>
                <w:b/>
                <w:lang w:val="en-AU"/>
              </w:rPr>
              <w:t>public lighting assets</w:t>
            </w:r>
            <w:r w:rsidRPr="00F457C9">
              <w:rPr>
                <w:rFonts w:cstheme="minorHAnsi"/>
                <w:bCs/>
                <w:lang w:val="en-AU"/>
              </w:rPr>
              <w:t xml:space="preserve"> until </w:t>
            </w:r>
            <w:r w:rsidRPr="00F457C9">
              <w:rPr>
                <w:rFonts w:cstheme="minorHAnsi"/>
                <w:b/>
                <w:lang w:val="en-AU"/>
              </w:rPr>
              <w:t>a public lighting customer</w:t>
            </w:r>
            <w:r w:rsidRPr="00F457C9">
              <w:rPr>
                <w:rFonts w:cstheme="minorHAnsi"/>
                <w:bCs/>
                <w:lang w:val="en-AU"/>
              </w:rPr>
              <w:t xml:space="preserve"> has provided a </w:t>
            </w:r>
            <w:r w:rsidRPr="00F457C9">
              <w:rPr>
                <w:rFonts w:cstheme="minorHAnsi"/>
                <w:b/>
                <w:lang w:val="en-AU"/>
              </w:rPr>
              <w:t>design brief</w:t>
            </w:r>
            <w:r w:rsidRPr="00F457C9">
              <w:rPr>
                <w:rFonts w:cstheme="minorHAnsi"/>
                <w:bCs/>
                <w:lang w:val="en-AU"/>
              </w:rPr>
              <w:t xml:space="preserve"> in accordance with the </w:t>
            </w:r>
            <w:r w:rsidRPr="00F457C9">
              <w:rPr>
                <w:rFonts w:cstheme="minorHAnsi"/>
                <w:b/>
                <w:lang w:val="en-AU"/>
              </w:rPr>
              <w:t>public lighting standards</w:t>
            </w:r>
            <w:r w:rsidRPr="00F457C9">
              <w:rPr>
                <w:rFonts w:cstheme="minorHAnsi"/>
                <w:bCs/>
                <w:lang w:val="en-AU"/>
              </w:rPr>
              <w:t xml:space="preserve"> for any required alteration, relocation or replacement of </w:t>
            </w:r>
            <w:r w:rsidRPr="00F457C9">
              <w:rPr>
                <w:rFonts w:cstheme="minorHAnsi"/>
                <w:b/>
                <w:lang w:val="en-AU"/>
              </w:rPr>
              <w:t>public lighting assets</w:t>
            </w:r>
            <w:r w:rsidRPr="00F457C9">
              <w:rPr>
                <w:rFonts w:cstheme="minorHAnsi"/>
                <w:bCs/>
                <w:lang w:val="en-AU"/>
              </w:rPr>
              <w:t>.</w:t>
            </w:r>
          </w:p>
        </w:tc>
        <w:tc>
          <w:tcPr>
            <w:tcW w:w="7341" w:type="dxa"/>
            <w:vMerge w:val="restart"/>
          </w:tcPr>
          <w:p w14:paraId="6D5B20DF" w14:textId="0ACEF863" w:rsidR="00622B3A" w:rsidRDefault="007B347E" w:rsidP="00622B3A">
            <w:pPr>
              <w:spacing w:before="0" w:line="240" w:lineRule="auto"/>
              <w:rPr>
                <w:rFonts w:cstheme="minorHAnsi"/>
                <w:color w:val="000000"/>
              </w:rPr>
            </w:pPr>
            <w:r w:rsidRPr="007B347E">
              <w:rPr>
                <w:rFonts w:cstheme="minorHAnsi"/>
                <w:color w:val="000000"/>
              </w:rPr>
              <w:t xml:space="preserve">We consider </w:t>
            </w:r>
            <w:r w:rsidR="005B3104">
              <w:rPr>
                <w:rFonts w:cstheme="minorHAnsi"/>
                <w:color w:val="000000"/>
              </w:rPr>
              <w:t xml:space="preserve">section 4 </w:t>
            </w:r>
            <w:r w:rsidRPr="007B347E">
              <w:rPr>
                <w:rFonts w:cstheme="minorHAnsi"/>
                <w:color w:val="000000"/>
              </w:rPr>
              <w:t xml:space="preserve">to be </w:t>
            </w:r>
            <w:r w:rsidR="00690B16" w:rsidRPr="007B347E">
              <w:rPr>
                <w:rFonts w:cstheme="minorHAnsi"/>
                <w:color w:val="000000"/>
              </w:rPr>
              <w:t>redundant or</w:t>
            </w:r>
            <w:r w:rsidRPr="007B347E">
              <w:rPr>
                <w:rFonts w:cstheme="minorHAnsi"/>
                <w:color w:val="000000"/>
              </w:rPr>
              <w:t xml:space="preserve"> superseded by other regulations</w:t>
            </w:r>
            <w:r w:rsidR="00ED5CE4">
              <w:rPr>
                <w:rFonts w:cstheme="minorHAnsi"/>
                <w:color w:val="000000"/>
              </w:rPr>
              <w:t>.</w:t>
            </w:r>
            <w:r w:rsidRPr="007B347E">
              <w:rPr>
                <w:rFonts w:cstheme="minorHAnsi"/>
                <w:color w:val="000000"/>
              </w:rPr>
              <w:t xml:space="preserve"> </w:t>
            </w:r>
          </w:p>
          <w:p w14:paraId="117607C1" w14:textId="77777777" w:rsidR="00622B3A" w:rsidRDefault="00622B3A" w:rsidP="003D72C3">
            <w:pPr>
              <w:pStyle w:val="TableBody"/>
              <w:rPr>
                <w:rFonts w:cstheme="minorHAnsi"/>
                <w:b/>
              </w:rPr>
            </w:pPr>
          </w:p>
          <w:p w14:paraId="39DDA714" w14:textId="1592A3EF" w:rsidR="00622B3A" w:rsidRDefault="0039182A" w:rsidP="003D72C3">
            <w:pPr>
              <w:pStyle w:val="TableBody"/>
              <w:rPr>
                <w:color w:val="000000"/>
              </w:rPr>
            </w:pPr>
            <w:r>
              <w:rPr>
                <w:color w:val="000000"/>
                <w:lang w:val="en-AU"/>
              </w:rPr>
              <w:t>We note that t</w:t>
            </w:r>
            <w:r w:rsidR="00622B3A">
              <w:rPr>
                <w:color w:val="000000"/>
                <w:lang w:val="en-AU"/>
              </w:rPr>
              <w:t xml:space="preserve">he </w:t>
            </w:r>
            <w:r>
              <w:rPr>
                <w:color w:val="000000"/>
                <w:lang w:val="en-AU"/>
              </w:rPr>
              <w:t xml:space="preserve">connection framework under the </w:t>
            </w:r>
            <w:r w:rsidR="00622B3A">
              <w:rPr>
                <w:color w:val="000000"/>
                <w:lang w:val="en-AU"/>
              </w:rPr>
              <w:t>National Electricity (Victoria) Act 2005, Schedule 2</w:t>
            </w:r>
            <w:r w:rsidR="00622B3A">
              <w:rPr>
                <w:color w:val="000000"/>
              </w:rPr>
              <w:t xml:space="preserve"> </w:t>
            </w:r>
            <w:r w:rsidR="00622B3A">
              <w:rPr>
                <w:color w:val="000000"/>
                <w:lang w:val="en-AU"/>
              </w:rPr>
              <w:t>(</w:t>
            </w:r>
            <w:hyperlink r:id="rId27" w:history="1">
              <w:r w:rsidR="00622B3A" w:rsidRPr="000E5B5B">
                <w:rPr>
                  <w:rStyle w:val="Hyperlink"/>
                  <w:lang w:val="en-AU"/>
                </w:rPr>
                <w:t>Negotiation of connection</w:t>
              </w:r>
            </w:hyperlink>
            <w:r w:rsidR="00622B3A">
              <w:rPr>
                <w:color w:val="000000"/>
                <w:lang w:val="en-AU"/>
              </w:rPr>
              <w:t>)</w:t>
            </w:r>
            <w:r>
              <w:rPr>
                <w:color w:val="000000"/>
              </w:rPr>
              <w:t>,</w:t>
            </w:r>
            <w:r w:rsidR="00622B3A">
              <w:rPr>
                <w:color w:val="000000"/>
              </w:rPr>
              <w:t xml:space="preserve"> applies to both new </w:t>
            </w:r>
            <w:r w:rsidR="007C6C97">
              <w:rPr>
                <w:color w:val="000000"/>
              </w:rPr>
              <w:t xml:space="preserve">connections </w:t>
            </w:r>
            <w:r w:rsidR="00F04A17">
              <w:rPr>
                <w:color w:val="000000"/>
              </w:rPr>
              <w:t>and</w:t>
            </w:r>
            <w:r w:rsidR="00622B3A">
              <w:rPr>
                <w:color w:val="000000"/>
              </w:rPr>
              <w:t xml:space="preserve"> alterations.</w:t>
            </w:r>
          </w:p>
          <w:p w14:paraId="48C83162" w14:textId="77777777" w:rsidR="00622B3A" w:rsidRDefault="00622B3A" w:rsidP="003D72C3">
            <w:pPr>
              <w:pStyle w:val="TableBody"/>
              <w:rPr>
                <w:color w:val="000000"/>
              </w:rPr>
            </w:pPr>
          </w:p>
          <w:p w14:paraId="092F317B" w14:textId="109DFE44" w:rsidR="00622B3A" w:rsidRDefault="00622B3A" w:rsidP="003D72C3">
            <w:pPr>
              <w:pStyle w:val="TableBody"/>
              <w:rPr>
                <w:color w:val="000000"/>
                <w:lang w:val="en-AU"/>
              </w:rPr>
            </w:pPr>
            <w:r w:rsidRPr="62027685">
              <w:rPr>
                <w:color w:val="000000" w:themeColor="text1"/>
                <w:lang w:val="en-AU"/>
              </w:rPr>
              <w:t xml:space="preserve">Therefore, </w:t>
            </w:r>
            <w:r w:rsidR="0039182A" w:rsidRPr="62027685">
              <w:rPr>
                <w:color w:val="000000" w:themeColor="text1"/>
                <w:lang w:val="en-AU"/>
              </w:rPr>
              <w:t xml:space="preserve">we consider the entire section 4 </w:t>
            </w:r>
            <w:r w:rsidR="00F20893" w:rsidRPr="62027685">
              <w:rPr>
                <w:color w:val="000000" w:themeColor="text1"/>
                <w:lang w:val="en-AU"/>
              </w:rPr>
              <w:t xml:space="preserve">regarding </w:t>
            </w:r>
            <w:r w:rsidR="00813498" w:rsidRPr="62027685">
              <w:rPr>
                <w:color w:val="000000" w:themeColor="text1"/>
                <w:lang w:val="en-AU"/>
              </w:rPr>
              <w:t xml:space="preserve">public lighting </w:t>
            </w:r>
            <w:r w:rsidR="0039182A" w:rsidRPr="62027685">
              <w:rPr>
                <w:color w:val="000000" w:themeColor="text1"/>
                <w:lang w:val="en-AU"/>
              </w:rPr>
              <w:t>alteration</w:t>
            </w:r>
            <w:r w:rsidR="00F20893" w:rsidRPr="62027685">
              <w:rPr>
                <w:color w:val="000000" w:themeColor="text1"/>
                <w:lang w:val="en-AU"/>
              </w:rPr>
              <w:t>s</w:t>
            </w:r>
            <w:r w:rsidR="0039182A" w:rsidRPr="62027685">
              <w:rPr>
                <w:color w:val="000000" w:themeColor="text1"/>
                <w:lang w:val="en-AU"/>
              </w:rPr>
              <w:t xml:space="preserve"> to be </w:t>
            </w:r>
            <w:r w:rsidR="00690B16">
              <w:rPr>
                <w:color w:val="000000" w:themeColor="text1"/>
                <w:lang w:val="en-AU"/>
              </w:rPr>
              <w:t xml:space="preserve">redundant or </w:t>
            </w:r>
            <w:r w:rsidR="0039182A" w:rsidRPr="62027685">
              <w:rPr>
                <w:color w:val="000000" w:themeColor="text1"/>
                <w:lang w:val="en-AU"/>
              </w:rPr>
              <w:t>superseded under the same analysis as</w:t>
            </w:r>
            <w:r w:rsidR="00130A7F" w:rsidRPr="62027685">
              <w:rPr>
                <w:color w:val="000000" w:themeColor="text1"/>
                <w:lang w:val="en-AU"/>
              </w:rPr>
              <w:t xml:space="preserve"> made for the</w:t>
            </w:r>
            <w:r w:rsidR="0039182A" w:rsidRPr="62027685">
              <w:rPr>
                <w:color w:val="000000" w:themeColor="text1"/>
                <w:lang w:val="en-AU"/>
              </w:rPr>
              <w:t xml:space="preserve"> </w:t>
            </w:r>
            <w:r w:rsidR="00813498" w:rsidRPr="62027685">
              <w:rPr>
                <w:color w:val="000000" w:themeColor="text1"/>
                <w:lang w:val="en-AU"/>
              </w:rPr>
              <w:t>section 3</w:t>
            </w:r>
            <w:r w:rsidR="001B7DDC" w:rsidRPr="62027685">
              <w:rPr>
                <w:color w:val="000000" w:themeColor="text1"/>
                <w:lang w:val="en-AU"/>
              </w:rPr>
              <w:t xml:space="preserve"> clauses</w:t>
            </w:r>
            <w:r w:rsidR="00813498" w:rsidRPr="62027685">
              <w:rPr>
                <w:color w:val="000000" w:themeColor="text1"/>
                <w:lang w:val="en-AU"/>
              </w:rPr>
              <w:t xml:space="preserve"> </w:t>
            </w:r>
            <w:r w:rsidR="00130A7F" w:rsidRPr="62027685">
              <w:rPr>
                <w:color w:val="000000" w:themeColor="text1"/>
                <w:lang w:val="en-AU"/>
              </w:rPr>
              <w:t xml:space="preserve">applying to </w:t>
            </w:r>
            <w:r w:rsidR="0039182A" w:rsidRPr="62027685">
              <w:rPr>
                <w:color w:val="000000" w:themeColor="text1"/>
                <w:lang w:val="en-AU"/>
              </w:rPr>
              <w:t xml:space="preserve">new </w:t>
            </w:r>
            <w:r w:rsidR="00813498" w:rsidRPr="62027685">
              <w:rPr>
                <w:color w:val="000000" w:themeColor="text1"/>
                <w:lang w:val="en-AU"/>
              </w:rPr>
              <w:t xml:space="preserve">public lighting </w:t>
            </w:r>
            <w:r w:rsidR="0039182A" w:rsidRPr="62027685">
              <w:rPr>
                <w:color w:val="000000" w:themeColor="text1"/>
                <w:lang w:val="en-AU"/>
              </w:rPr>
              <w:t xml:space="preserve">connections. </w:t>
            </w:r>
            <w:r w:rsidRPr="62027685">
              <w:rPr>
                <w:color w:val="000000" w:themeColor="text1"/>
                <w:lang w:val="en-AU"/>
              </w:rPr>
              <w:t xml:space="preserve">  </w:t>
            </w:r>
          </w:p>
          <w:p w14:paraId="01A5A6B0" w14:textId="27E82011" w:rsidR="00622B3A" w:rsidRPr="00F457C9" w:rsidRDefault="00622B3A" w:rsidP="003D72C3">
            <w:pPr>
              <w:pStyle w:val="TableBody"/>
              <w:rPr>
                <w:rFonts w:cstheme="minorHAnsi"/>
                <w:b/>
              </w:rPr>
            </w:pPr>
          </w:p>
          <w:p w14:paraId="35805E2F" w14:textId="1114158D" w:rsidR="004D45F8" w:rsidRPr="00F457C9" w:rsidRDefault="004D45F8" w:rsidP="003D72C3">
            <w:pPr>
              <w:pStyle w:val="TableBody"/>
              <w:rPr>
                <w:rFonts w:cstheme="minorHAnsi"/>
                <w:b/>
                <w:highlight w:val="yellow"/>
              </w:rPr>
            </w:pPr>
          </w:p>
        </w:tc>
      </w:tr>
      <w:tr w:rsidR="004D45F8" w:rsidRPr="00F457C9" w14:paraId="5CB3ADBE" w14:textId="77777777" w:rsidTr="00223042">
        <w:trPr>
          <w:cnfStyle w:val="000000010000" w:firstRow="0" w:lastRow="0" w:firstColumn="0" w:lastColumn="0" w:oddVBand="0" w:evenVBand="0" w:oddHBand="0" w:evenHBand="1" w:firstRowFirstColumn="0" w:firstRowLastColumn="0" w:lastRowFirstColumn="0" w:lastRowLastColumn="0"/>
          <w:cantSplit/>
          <w:trHeight w:val="300"/>
        </w:trPr>
        <w:tc>
          <w:tcPr>
            <w:tcW w:w="7371" w:type="dxa"/>
          </w:tcPr>
          <w:p w14:paraId="453884A3" w14:textId="77777777" w:rsidR="004D45F8" w:rsidRPr="00F457C9" w:rsidRDefault="004D45F8" w:rsidP="00E659B4">
            <w:pPr>
              <w:pStyle w:val="TableBody"/>
              <w:rPr>
                <w:rFonts w:cstheme="minorHAnsi"/>
                <w:b/>
                <w:lang w:val="en-AU"/>
              </w:rPr>
            </w:pPr>
            <w:r w:rsidRPr="00F457C9">
              <w:rPr>
                <w:rFonts w:cstheme="minorHAnsi"/>
                <w:b/>
                <w:lang w:val="en-AU"/>
              </w:rPr>
              <w:t>4.2 Non-standard fittings</w:t>
            </w:r>
          </w:p>
          <w:p w14:paraId="3CB26C46" w14:textId="4866AD9B" w:rsidR="004D45F8" w:rsidRPr="00F457C9" w:rsidRDefault="004D45F8" w:rsidP="00E659B4">
            <w:pPr>
              <w:pStyle w:val="TableBody"/>
              <w:rPr>
                <w:rFonts w:cstheme="minorHAnsi"/>
                <w:bCs/>
                <w:lang w:val="en-AU"/>
              </w:rPr>
            </w:pPr>
            <w:r w:rsidRPr="00F457C9">
              <w:rPr>
                <w:rFonts w:cstheme="minorHAnsi"/>
                <w:bCs/>
                <w:lang w:val="en-AU"/>
              </w:rPr>
              <w:t xml:space="preserve">If a </w:t>
            </w:r>
            <w:r w:rsidRPr="00F457C9">
              <w:rPr>
                <w:rFonts w:cstheme="minorHAnsi"/>
                <w:b/>
                <w:lang w:val="en-AU"/>
              </w:rPr>
              <w:t>public lighting customer</w:t>
            </w:r>
            <w:r w:rsidRPr="00F457C9">
              <w:rPr>
                <w:rFonts w:cstheme="minorHAnsi"/>
                <w:bCs/>
                <w:lang w:val="en-AU"/>
              </w:rPr>
              <w:t xml:space="preserve"> which requests an alteration, relocation or replacement of </w:t>
            </w:r>
            <w:r w:rsidRPr="00F457C9">
              <w:rPr>
                <w:rFonts w:cstheme="minorHAnsi"/>
                <w:b/>
                <w:lang w:val="en-AU"/>
              </w:rPr>
              <w:t>public lighting assets</w:t>
            </w:r>
            <w:r w:rsidRPr="00F457C9">
              <w:rPr>
                <w:rFonts w:cstheme="minorHAnsi"/>
                <w:bCs/>
                <w:lang w:val="en-AU"/>
              </w:rPr>
              <w:t xml:space="preserve"> specifies the use of non-standard fittings or light types with </w:t>
            </w:r>
            <w:r w:rsidRPr="00F457C9">
              <w:rPr>
                <w:rFonts w:cstheme="minorHAnsi"/>
                <w:b/>
                <w:lang w:val="en-AU"/>
              </w:rPr>
              <w:t>non-standard fittings</w:t>
            </w:r>
            <w:r w:rsidRPr="00F457C9">
              <w:rPr>
                <w:rFonts w:cstheme="minorHAnsi"/>
                <w:bCs/>
                <w:lang w:val="en-AU"/>
              </w:rPr>
              <w:t xml:space="preserve"> the </w:t>
            </w:r>
            <w:r w:rsidRPr="00F457C9">
              <w:rPr>
                <w:rFonts w:cstheme="minorHAnsi"/>
                <w:b/>
                <w:lang w:val="en-AU"/>
              </w:rPr>
              <w:t>distributor</w:t>
            </w:r>
            <w:r w:rsidRPr="00F457C9">
              <w:rPr>
                <w:rFonts w:cstheme="minorHAnsi"/>
                <w:bCs/>
                <w:lang w:val="en-AU"/>
              </w:rPr>
              <w:t xml:space="preserve"> must offer to perform the alteration, relocation or replacement on fair and reasonable terms. In considering the acceptability to it of </w:t>
            </w:r>
            <w:r w:rsidRPr="00F457C9">
              <w:rPr>
                <w:rFonts w:cstheme="minorHAnsi"/>
                <w:b/>
                <w:lang w:val="en-AU"/>
              </w:rPr>
              <w:t>non-standard fittings</w:t>
            </w:r>
            <w:r w:rsidRPr="00F457C9">
              <w:rPr>
                <w:rFonts w:cstheme="minorHAnsi"/>
                <w:bCs/>
                <w:lang w:val="en-AU"/>
              </w:rPr>
              <w:t xml:space="preserve">, the </w:t>
            </w:r>
            <w:r w:rsidRPr="00F457C9">
              <w:rPr>
                <w:rFonts w:cstheme="minorHAnsi"/>
                <w:b/>
                <w:lang w:val="en-AU"/>
              </w:rPr>
              <w:t>distributor</w:t>
            </w:r>
            <w:r w:rsidRPr="00F457C9">
              <w:rPr>
                <w:rFonts w:cstheme="minorHAnsi"/>
                <w:bCs/>
                <w:lang w:val="en-AU"/>
              </w:rPr>
              <w:t xml:space="preserve"> must have regard to its </w:t>
            </w:r>
            <w:r w:rsidRPr="00F457C9">
              <w:rPr>
                <w:rFonts w:cstheme="minorHAnsi"/>
                <w:b/>
                <w:lang w:val="en-AU"/>
              </w:rPr>
              <w:t>public lighting technical standards</w:t>
            </w:r>
            <w:r w:rsidRPr="00F457C9">
              <w:rPr>
                <w:rFonts w:cstheme="minorHAnsi"/>
                <w:bCs/>
                <w:lang w:val="en-AU"/>
              </w:rPr>
              <w:t>.</w:t>
            </w:r>
          </w:p>
        </w:tc>
        <w:tc>
          <w:tcPr>
            <w:tcW w:w="7341" w:type="dxa"/>
            <w:vMerge/>
          </w:tcPr>
          <w:p w14:paraId="23F081E3" w14:textId="77777777" w:rsidR="004D45F8" w:rsidRPr="00F457C9" w:rsidRDefault="004D45F8" w:rsidP="00E659B4">
            <w:pPr>
              <w:pStyle w:val="TableBody"/>
              <w:rPr>
                <w:rFonts w:cstheme="minorHAnsi"/>
                <w:b/>
                <w:highlight w:val="yellow"/>
              </w:rPr>
            </w:pPr>
          </w:p>
        </w:tc>
      </w:tr>
      <w:tr w:rsidR="004D45F8" w:rsidRPr="00F457C9" w14:paraId="1A045627" w14:textId="77777777" w:rsidTr="00223042">
        <w:trPr>
          <w:cnfStyle w:val="000000100000" w:firstRow="0" w:lastRow="0" w:firstColumn="0" w:lastColumn="0" w:oddVBand="0" w:evenVBand="0" w:oddHBand="1" w:evenHBand="0" w:firstRowFirstColumn="0" w:firstRowLastColumn="0" w:lastRowFirstColumn="0" w:lastRowLastColumn="0"/>
          <w:cantSplit/>
          <w:trHeight w:val="300"/>
        </w:trPr>
        <w:tc>
          <w:tcPr>
            <w:tcW w:w="7371" w:type="dxa"/>
          </w:tcPr>
          <w:p w14:paraId="717688C1" w14:textId="77777777" w:rsidR="004D45F8" w:rsidRPr="00F457C9" w:rsidRDefault="004D45F8" w:rsidP="00E659B4">
            <w:pPr>
              <w:pStyle w:val="TableBody"/>
              <w:rPr>
                <w:rFonts w:cstheme="minorHAnsi"/>
                <w:b/>
                <w:lang w:val="en-AU"/>
              </w:rPr>
            </w:pPr>
            <w:r w:rsidRPr="00F457C9">
              <w:rPr>
                <w:rFonts w:cstheme="minorHAnsi"/>
                <w:b/>
                <w:lang w:val="en-AU"/>
              </w:rPr>
              <w:lastRenderedPageBreak/>
              <w:t>4.3 Detailed design documentation</w:t>
            </w:r>
          </w:p>
          <w:p w14:paraId="445A1F6C" w14:textId="6532BFB7" w:rsidR="004D45F8" w:rsidRPr="00F457C9" w:rsidRDefault="004D45F8" w:rsidP="00E659B4">
            <w:pPr>
              <w:pStyle w:val="TableBody"/>
              <w:rPr>
                <w:rFonts w:cstheme="minorHAnsi"/>
                <w:bCs/>
                <w:lang w:val="en-AU"/>
              </w:rPr>
            </w:pPr>
            <w:r w:rsidRPr="00F457C9">
              <w:rPr>
                <w:rFonts w:cstheme="minorHAnsi"/>
                <w:bCs/>
                <w:lang w:val="en-AU"/>
              </w:rPr>
              <w:t xml:space="preserve">Clause 3.5 applies to the preparation of design documentation for alteration, relocation or replacement of </w:t>
            </w:r>
            <w:r w:rsidRPr="00F457C9">
              <w:rPr>
                <w:rFonts w:cstheme="minorHAnsi"/>
                <w:b/>
                <w:lang w:val="en-AU"/>
              </w:rPr>
              <w:t>public lighting assets</w:t>
            </w:r>
            <w:r w:rsidRPr="00F457C9">
              <w:rPr>
                <w:rFonts w:cstheme="minorHAnsi"/>
                <w:bCs/>
                <w:lang w:val="en-AU"/>
              </w:rPr>
              <w:t>.</w:t>
            </w:r>
          </w:p>
        </w:tc>
        <w:tc>
          <w:tcPr>
            <w:tcW w:w="7341" w:type="dxa"/>
            <w:vMerge/>
          </w:tcPr>
          <w:p w14:paraId="50745597" w14:textId="77777777" w:rsidR="004D45F8" w:rsidRPr="00F457C9" w:rsidRDefault="004D45F8" w:rsidP="00E659B4">
            <w:pPr>
              <w:pStyle w:val="TableBody"/>
              <w:rPr>
                <w:rFonts w:cstheme="minorHAnsi"/>
                <w:b/>
                <w:highlight w:val="yellow"/>
              </w:rPr>
            </w:pPr>
          </w:p>
        </w:tc>
      </w:tr>
      <w:tr w:rsidR="004D45F8" w:rsidRPr="00F457C9" w14:paraId="3E2DF975" w14:textId="77777777" w:rsidTr="00223042">
        <w:trPr>
          <w:cnfStyle w:val="000000010000" w:firstRow="0" w:lastRow="0" w:firstColumn="0" w:lastColumn="0" w:oddVBand="0" w:evenVBand="0" w:oddHBand="0" w:evenHBand="1" w:firstRowFirstColumn="0" w:firstRowLastColumn="0" w:lastRowFirstColumn="0" w:lastRowLastColumn="0"/>
          <w:cantSplit/>
          <w:trHeight w:val="300"/>
        </w:trPr>
        <w:tc>
          <w:tcPr>
            <w:tcW w:w="7371" w:type="dxa"/>
          </w:tcPr>
          <w:p w14:paraId="4FC8EDB5" w14:textId="77777777" w:rsidR="004D45F8" w:rsidRPr="00F457C9" w:rsidRDefault="004D45F8" w:rsidP="00E659B4">
            <w:pPr>
              <w:pStyle w:val="TableBody"/>
              <w:rPr>
                <w:rFonts w:cstheme="minorHAnsi"/>
                <w:b/>
                <w:lang w:val="en-AU"/>
              </w:rPr>
            </w:pPr>
            <w:r w:rsidRPr="00F457C9">
              <w:rPr>
                <w:rFonts w:cstheme="minorHAnsi"/>
                <w:b/>
                <w:lang w:val="en-AU"/>
              </w:rPr>
              <w:t xml:space="preserve">4.4 Alterations by public lighting customer </w:t>
            </w:r>
          </w:p>
          <w:p w14:paraId="378CE713" w14:textId="1D7C9766" w:rsidR="004D45F8" w:rsidRPr="00F457C9" w:rsidRDefault="004D45F8" w:rsidP="00E659B4">
            <w:pPr>
              <w:pStyle w:val="TableBody"/>
              <w:rPr>
                <w:rFonts w:cstheme="minorHAnsi"/>
                <w:bCs/>
                <w:lang w:val="en-AU"/>
              </w:rPr>
            </w:pPr>
            <w:r w:rsidRPr="00F457C9">
              <w:rPr>
                <w:rFonts w:cstheme="minorHAnsi"/>
                <w:bCs/>
                <w:lang w:val="en-AU"/>
              </w:rPr>
              <w:t xml:space="preserve">A </w:t>
            </w:r>
            <w:r w:rsidRPr="00F457C9">
              <w:rPr>
                <w:rFonts w:cstheme="minorHAnsi"/>
                <w:b/>
                <w:lang w:val="en-AU"/>
              </w:rPr>
              <w:t>distributor</w:t>
            </w:r>
            <w:r w:rsidRPr="00F457C9">
              <w:rPr>
                <w:rFonts w:cstheme="minorHAnsi"/>
                <w:bCs/>
                <w:lang w:val="en-AU"/>
              </w:rPr>
              <w:t xml:space="preserve"> must within 20 </w:t>
            </w:r>
            <w:r w:rsidRPr="00F457C9">
              <w:rPr>
                <w:rFonts w:cstheme="minorHAnsi"/>
                <w:b/>
                <w:lang w:val="en-AU"/>
              </w:rPr>
              <w:t>business days</w:t>
            </w:r>
            <w:r w:rsidRPr="00F457C9">
              <w:rPr>
                <w:rFonts w:cstheme="minorHAnsi"/>
                <w:bCs/>
                <w:lang w:val="en-AU"/>
              </w:rPr>
              <w:t xml:space="preserve"> of a request provide all necessary information including advice of its reasonable requirements and applicable </w:t>
            </w:r>
            <w:r w:rsidRPr="00F457C9">
              <w:rPr>
                <w:rFonts w:cstheme="minorHAnsi"/>
                <w:b/>
                <w:lang w:val="en-AU"/>
              </w:rPr>
              <w:t>public lighting technical standards</w:t>
            </w:r>
            <w:r w:rsidRPr="00F457C9">
              <w:rPr>
                <w:rFonts w:cstheme="minorHAnsi"/>
                <w:bCs/>
                <w:lang w:val="en-AU"/>
              </w:rPr>
              <w:t xml:space="preserve"> to enable another person to alter, relocate or replace </w:t>
            </w:r>
            <w:r w:rsidRPr="00F457C9">
              <w:rPr>
                <w:rFonts w:cstheme="minorHAnsi"/>
                <w:b/>
                <w:lang w:val="en-AU"/>
              </w:rPr>
              <w:t>public lighting assets</w:t>
            </w:r>
            <w:r w:rsidRPr="00F457C9">
              <w:rPr>
                <w:rFonts w:cstheme="minorHAnsi"/>
                <w:bCs/>
                <w:lang w:val="en-AU"/>
              </w:rPr>
              <w:t xml:space="preserve"> at the request of the </w:t>
            </w:r>
            <w:r w:rsidRPr="00F457C9">
              <w:rPr>
                <w:rFonts w:cstheme="minorHAnsi"/>
                <w:b/>
                <w:lang w:val="en-AU"/>
              </w:rPr>
              <w:t>public lighting customer</w:t>
            </w:r>
            <w:r w:rsidRPr="00F457C9">
              <w:rPr>
                <w:rFonts w:cstheme="minorHAnsi"/>
                <w:bCs/>
                <w:lang w:val="en-AU"/>
              </w:rPr>
              <w:t xml:space="preserve"> if the </w:t>
            </w:r>
            <w:r w:rsidRPr="00F457C9">
              <w:rPr>
                <w:rFonts w:cstheme="minorHAnsi"/>
                <w:b/>
                <w:lang w:val="en-AU"/>
              </w:rPr>
              <w:t>public lighting customer</w:t>
            </w:r>
            <w:r w:rsidRPr="00F457C9">
              <w:rPr>
                <w:rFonts w:cstheme="minorHAnsi"/>
                <w:bCs/>
                <w:lang w:val="en-AU"/>
              </w:rPr>
              <w:t xml:space="preserve"> has obtained the </w:t>
            </w:r>
            <w:r w:rsidRPr="00F457C9">
              <w:rPr>
                <w:rFonts w:cstheme="minorHAnsi"/>
                <w:b/>
                <w:lang w:val="en-AU"/>
              </w:rPr>
              <w:t>distributor’s</w:t>
            </w:r>
            <w:r w:rsidRPr="00F457C9">
              <w:rPr>
                <w:rFonts w:cstheme="minorHAnsi"/>
                <w:bCs/>
                <w:lang w:val="en-AU"/>
              </w:rPr>
              <w:t xml:space="preserve"> approval of the person who will be undertaking the alteration, relocation or replacement. The </w:t>
            </w:r>
            <w:r w:rsidRPr="00F457C9">
              <w:rPr>
                <w:rFonts w:cstheme="minorHAnsi"/>
                <w:b/>
                <w:lang w:val="en-AU"/>
              </w:rPr>
              <w:t>distributor</w:t>
            </w:r>
            <w:r w:rsidRPr="00F457C9">
              <w:rPr>
                <w:rFonts w:cstheme="minorHAnsi"/>
                <w:bCs/>
                <w:lang w:val="en-AU"/>
              </w:rPr>
              <w:t xml:space="preserve"> must not unreasonably withhold such approval, subject to any applicable </w:t>
            </w:r>
            <w:r w:rsidRPr="00F457C9">
              <w:rPr>
                <w:rFonts w:cstheme="minorHAnsi"/>
                <w:b/>
                <w:lang w:val="en-AU"/>
              </w:rPr>
              <w:t>guideline</w:t>
            </w:r>
            <w:r w:rsidRPr="00F457C9">
              <w:rPr>
                <w:rFonts w:cstheme="minorHAnsi"/>
                <w:bCs/>
                <w:lang w:val="en-AU"/>
              </w:rPr>
              <w:t xml:space="preserve">. Compliance with such requirements and standards is necessary before the </w:t>
            </w:r>
            <w:r w:rsidRPr="00F457C9">
              <w:rPr>
                <w:rFonts w:cstheme="minorHAnsi"/>
                <w:b/>
                <w:lang w:val="en-AU"/>
              </w:rPr>
              <w:t>distributor</w:t>
            </w:r>
            <w:r w:rsidRPr="00F457C9">
              <w:rPr>
                <w:rFonts w:cstheme="minorHAnsi"/>
                <w:bCs/>
                <w:lang w:val="en-AU"/>
              </w:rPr>
              <w:t xml:space="preserve"> is obliged to reconnect or connect those altered, relocated or replaced assets to the </w:t>
            </w:r>
            <w:r w:rsidRPr="00F457C9">
              <w:rPr>
                <w:rFonts w:cstheme="minorHAnsi"/>
                <w:b/>
                <w:lang w:val="en-AU"/>
              </w:rPr>
              <w:t>distribution system</w:t>
            </w:r>
            <w:r w:rsidRPr="00F457C9">
              <w:rPr>
                <w:rFonts w:cstheme="minorHAnsi"/>
                <w:bCs/>
                <w:lang w:val="en-AU"/>
              </w:rPr>
              <w:t>.</w:t>
            </w:r>
          </w:p>
        </w:tc>
        <w:tc>
          <w:tcPr>
            <w:tcW w:w="7341" w:type="dxa"/>
            <w:vMerge/>
          </w:tcPr>
          <w:p w14:paraId="338987DD" w14:textId="77777777" w:rsidR="004D45F8" w:rsidRPr="00F457C9" w:rsidRDefault="004D45F8" w:rsidP="00E659B4">
            <w:pPr>
              <w:pStyle w:val="TableBody"/>
              <w:rPr>
                <w:rFonts w:cstheme="minorHAnsi"/>
                <w:b/>
                <w:highlight w:val="yellow"/>
              </w:rPr>
            </w:pPr>
          </w:p>
        </w:tc>
      </w:tr>
      <w:tr w:rsidR="004D45F8" w:rsidRPr="00F457C9" w14:paraId="7C78A2B2" w14:textId="77777777" w:rsidTr="00223042">
        <w:trPr>
          <w:cnfStyle w:val="000000100000" w:firstRow="0" w:lastRow="0" w:firstColumn="0" w:lastColumn="0" w:oddVBand="0" w:evenVBand="0" w:oddHBand="1" w:evenHBand="0" w:firstRowFirstColumn="0" w:firstRowLastColumn="0" w:lastRowFirstColumn="0" w:lastRowLastColumn="0"/>
          <w:cantSplit/>
          <w:trHeight w:val="300"/>
        </w:trPr>
        <w:tc>
          <w:tcPr>
            <w:tcW w:w="7371" w:type="dxa"/>
          </w:tcPr>
          <w:p w14:paraId="284AE25B" w14:textId="77777777" w:rsidR="004D45F8" w:rsidRPr="00F457C9" w:rsidRDefault="004D45F8" w:rsidP="00E659B4">
            <w:pPr>
              <w:pStyle w:val="TableBody"/>
              <w:rPr>
                <w:rFonts w:cstheme="minorHAnsi"/>
                <w:b/>
                <w:lang w:val="en-AU"/>
              </w:rPr>
            </w:pPr>
            <w:r w:rsidRPr="00F457C9">
              <w:rPr>
                <w:rFonts w:cstheme="minorHAnsi"/>
                <w:b/>
                <w:lang w:val="en-AU"/>
              </w:rPr>
              <w:t xml:space="preserve">4.5 Notice of proposed works </w:t>
            </w:r>
          </w:p>
          <w:p w14:paraId="696FE111" w14:textId="332EDFC2" w:rsidR="004D45F8" w:rsidRPr="00F457C9" w:rsidRDefault="004D45F8" w:rsidP="00E659B4">
            <w:pPr>
              <w:pStyle w:val="TableBody"/>
              <w:rPr>
                <w:rFonts w:cstheme="minorHAnsi"/>
                <w:bCs/>
                <w:lang w:val="en-AU"/>
              </w:rPr>
            </w:pPr>
            <w:r w:rsidRPr="00F457C9">
              <w:rPr>
                <w:rFonts w:cstheme="minorHAnsi"/>
                <w:bCs/>
                <w:lang w:val="en-AU"/>
              </w:rPr>
              <w:t xml:space="preserve">A </w:t>
            </w:r>
            <w:r w:rsidRPr="00F457C9">
              <w:rPr>
                <w:rFonts w:cstheme="minorHAnsi"/>
                <w:b/>
                <w:lang w:val="en-AU"/>
              </w:rPr>
              <w:t>distributor</w:t>
            </w:r>
            <w:r w:rsidRPr="00F457C9">
              <w:rPr>
                <w:rFonts w:cstheme="minorHAnsi"/>
                <w:bCs/>
                <w:lang w:val="en-AU"/>
              </w:rPr>
              <w:t xml:space="preserve"> is not obliged to commence or facilitate proposed works for alteration, relocation, replacement or removal of </w:t>
            </w:r>
            <w:r w:rsidRPr="00F457C9">
              <w:rPr>
                <w:rFonts w:cstheme="minorHAnsi"/>
                <w:b/>
                <w:lang w:val="en-AU"/>
              </w:rPr>
              <w:t>public lighting assets</w:t>
            </w:r>
            <w:r w:rsidRPr="00F457C9">
              <w:rPr>
                <w:rFonts w:cstheme="minorHAnsi"/>
                <w:bCs/>
                <w:lang w:val="en-AU"/>
              </w:rPr>
              <w:t xml:space="preserve"> including, where relevant, any associated installation of temporary lighting unless all interested persons are given adequate notice by the </w:t>
            </w:r>
            <w:r w:rsidRPr="00F457C9">
              <w:rPr>
                <w:rFonts w:cstheme="minorHAnsi"/>
                <w:b/>
                <w:lang w:val="en-AU"/>
              </w:rPr>
              <w:t>distributor</w:t>
            </w:r>
            <w:r w:rsidRPr="00F457C9">
              <w:rPr>
                <w:rFonts w:cstheme="minorHAnsi"/>
                <w:bCs/>
                <w:lang w:val="en-AU"/>
              </w:rPr>
              <w:t xml:space="preserve"> or the </w:t>
            </w:r>
            <w:r w:rsidRPr="00F457C9">
              <w:rPr>
                <w:rFonts w:cstheme="minorHAnsi"/>
                <w:b/>
                <w:lang w:val="en-AU"/>
              </w:rPr>
              <w:t>public lighting customer</w:t>
            </w:r>
            <w:r w:rsidRPr="00F457C9">
              <w:rPr>
                <w:rFonts w:cstheme="minorHAnsi"/>
                <w:bCs/>
                <w:lang w:val="en-AU"/>
              </w:rPr>
              <w:t xml:space="preserve"> (as agreed between them).</w:t>
            </w:r>
          </w:p>
        </w:tc>
        <w:tc>
          <w:tcPr>
            <w:tcW w:w="7341" w:type="dxa"/>
            <w:vMerge/>
          </w:tcPr>
          <w:p w14:paraId="041A353A" w14:textId="77777777" w:rsidR="004D45F8" w:rsidRPr="00F457C9" w:rsidRDefault="004D45F8" w:rsidP="00E659B4">
            <w:pPr>
              <w:pStyle w:val="TableBody"/>
              <w:rPr>
                <w:rFonts w:cstheme="minorHAnsi"/>
                <w:b/>
                <w:highlight w:val="yellow"/>
              </w:rPr>
            </w:pPr>
          </w:p>
        </w:tc>
      </w:tr>
      <w:tr w:rsidR="0041020F" w:rsidRPr="00F457C9" w14:paraId="049A192C" w14:textId="77777777" w:rsidTr="00223042">
        <w:trPr>
          <w:cnfStyle w:val="000000010000" w:firstRow="0" w:lastRow="0" w:firstColumn="0" w:lastColumn="0" w:oddVBand="0" w:evenVBand="0" w:oddHBand="0" w:evenHBand="1" w:firstRowFirstColumn="0" w:firstRowLastColumn="0" w:lastRowFirstColumn="0" w:lastRowLastColumn="0"/>
          <w:cantSplit/>
          <w:trHeight w:val="300"/>
        </w:trPr>
        <w:tc>
          <w:tcPr>
            <w:tcW w:w="14712" w:type="dxa"/>
            <w:gridSpan w:val="2"/>
            <w:vAlign w:val="center"/>
          </w:tcPr>
          <w:p w14:paraId="650ED1F9" w14:textId="0549A643" w:rsidR="0041020F" w:rsidRPr="00F457C9" w:rsidRDefault="0041020F" w:rsidP="0041020F">
            <w:pPr>
              <w:pStyle w:val="TableBody"/>
              <w:jc w:val="center"/>
              <w:rPr>
                <w:rFonts w:cstheme="minorHAnsi"/>
                <w:b/>
                <w:highlight w:val="yellow"/>
              </w:rPr>
            </w:pPr>
            <w:r w:rsidRPr="00F457C9">
              <w:rPr>
                <w:rFonts w:cstheme="minorHAnsi"/>
                <w:b/>
                <w:lang w:val="en-AU"/>
              </w:rPr>
              <w:t>5. PROVISION OF INFORMATION</w:t>
            </w:r>
          </w:p>
        </w:tc>
      </w:tr>
      <w:tr w:rsidR="00902298" w:rsidRPr="00F457C9" w14:paraId="7CC3DF06" w14:textId="77777777" w:rsidTr="00223042">
        <w:trPr>
          <w:cnfStyle w:val="000000100000" w:firstRow="0" w:lastRow="0" w:firstColumn="0" w:lastColumn="0" w:oddVBand="0" w:evenVBand="0" w:oddHBand="1" w:evenHBand="0" w:firstRowFirstColumn="0" w:firstRowLastColumn="0" w:lastRowFirstColumn="0" w:lastRowLastColumn="0"/>
          <w:cantSplit/>
          <w:trHeight w:val="300"/>
        </w:trPr>
        <w:tc>
          <w:tcPr>
            <w:tcW w:w="7371" w:type="dxa"/>
          </w:tcPr>
          <w:p w14:paraId="39158BD1" w14:textId="77777777" w:rsidR="00DA5F44" w:rsidRPr="00F457C9" w:rsidRDefault="00DA5F44" w:rsidP="00E659B4">
            <w:pPr>
              <w:pStyle w:val="TableBody"/>
              <w:rPr>
                <w:rFonts w:cstheme="minorHAnsi"/>
                <w:b/>
                <w:lang w:val="en-AU"/>
              </w:rPr>
            </w:pPr>
            <w:r w:rsidRPr="00F457C9">
              <w:rPr>
                <w:rFonts w:cstheme="minorHAnsi"/>
                <w:b/>
                <w:lang w:val="en-AU"/>
              </w:rPr>
              <w:t xml:space="preserve">5.1 Public lighting data </w:t>
            </w:r>
          </w:p>
          <w:p w14:paraId="785A44C6" w14:textId="77777777" w:rsidR="00DA5F44" w:rsidRPr="00F457C9" w:rsidRDefault="00DA5F44" w:rsidP="00E659B4">
            <w:pPr>
              <w:pStyle w:val="TableBody"/>
              <w:rPr>
                <w:rFonts w:cstheme="minorHAnsi"/>
                <w:bCs/>
                <w:lang w:val="en-AU"/>
              </w:rPr>
            </w:pPr>
            <w:r w:rsidRPr="00F457C9">
              <w:rPr>
                <w:rFonts w:cstheme="minorHAnsi"/>
                <w:b/>
                <w:lang w:val="en-AU"/>
              </w:rPr>
              <w:t xml:space="preserve">5.1.1 </w:t>
            </w:r>
            <w:r w:rsidRPr="00F457C9">
              <w:rPr>
                <w:rFonts w:cstheme="minorHAnsi"/>
                <w:bCs/>
                <w:lang w:val="en-AU"/>
              </w:rPr>
              <w:t xml:space="preserve">A </w:t>
            </w:r>
            <w:r w:rsidRPr="00F457C9">
              <w:rPr>
                <w:rFonts w:cstheme="minorHAnsi"/>
                <w:b/>
                <w:lang w:val="en-AU"/>
              </w:rPr>
              <w:t>distributor</w:t>
            </w:r>
            <w:r w:rsidRPr="00F457C9">
              <w:rPr>
                <w:rFonts w:cstheme="minorHAnsi"/>
                <w:bCs/>
                <w:lang w:val="en-AU"/>
              </w:rPr>
              <w:t xml:space="preserve"> must provide to a </w:t>
            </w:r>
            <w:r w:rsidRPr="00F457C9">
              <w:rPr>
                <w:rFonts w:cstheme="minorHAnsi"/>
                <w:b/>
                <w:lang w:val="en-AU"/>
              </w:rPr>
              <w:t>public lighting customer</w:t>
            </w:r>
            <w:r w:rsidRPr="00F457C9">
              <w:rPr>
                <w:rFonts w:cstheme="minorHAnsi"/>
                <w:bCs/>
                <w:lang w:val="en-AU"/>
              </w:rPr>
              <w:t xml:space="preserve">: </w:t>
            </w:r>
          </w:p>
          <w:p w14:paraId="2FC8D7AE" w14:textId="77777777" w:rsidR="00DA5F44" w:rsidRPr="00F457C9" w:rsidRDefault="00DA5F44" w:rsidP="00E659B4">
            <w:pPr>
              <w:pStyle w:val="TableBody"/>
              <w:rPr>
                <w:rFonts w:cstheme="minorHAnsi"/>
                <w:bCs/>
                <w:lang w:val="en-AU"/>
              </w:rPr>
            </w:pPr>
            <w:r w:rsidRPr="00F457C9">
              <w:rPr>
                <w:rFonts w:cstheme="minorHAnsi"/>
                <w:bCs/>
                <w:lang w:val="en-AU"/>
              </w:rPr>
              <w:t xml:space="preserve">(a) an electronic copy of public lighting data held by the </w:t>
            </w:r>
            <w:r w:rsidRPr="00F457C9">
              <w:rPr>
                <w:rFonts w:cstheme="minorHAnsi"/>
                <w:b/>
                <w:lang w:val="en-AU"/>
              </w:rPr>
              <w:t>distributor</w:t>
            </w:r>
            <w:r w:rsidRPr="00F457C9">
              <w:rPr>
                <w:rFonts w:cstheme="minorHAnsi"/>
                <w:bCs/>
                <w:lang w:val="en-AU"/>
              </w:rPr>
              <w:t xml:space="preserve"> on request at reasonable intervals, using either csv or dxf format (or other format as agreed with the </w:t>
            </w:r>
            <w:r w:rsidRPr="00F457C9">
              <w:rPr>
                <w:rFonts w:cstheme="minorHAnsi"/>
                <w:b/>
                <w:lang w:val="en-AU"/>
              </w:rPr>
              <w:t>public lighting customer</w:t>
            </w:r>
            <w:r w:rsidRPr="00F457C9">
              <w:rPr>
                <w:rFonts w:cstheme="minorHAnsi"/>
                <w:bCs/>
                <w:lang w:val="en-AU"/>
              </w:rPr>
              <w:t xml:space="preserve">); and </w:t>
            </w:r>
          </w:p>
          <w:p w14:paraId="657AE527" w14:textId="3A0D6AD9" w:rsidR="00902298" w:rsidRPr="00F457C9" w:rsidRDefault="00DA5F44" w:rsidP="00E659B4">
            <w:pPr>
              <w:pStyle w:val="TableBody"/>
              <w:rPr>
                <w:rFonts w:cstheme="minorHAnsi"/>
                <w:b/>
                <w:lang w:val="en-AU"/>
              </w:rPr>
            </w:pPr>
            <w:r w:rsidRPr="00F457C9">
              <w:rPr>
                <w:rFonts w:cstheme="minorHAnsi"/>
                <w:bCs/>
                <w:lang w:val="en-AU"/>
              </w:rPr>
              <w:t xml:space="preserve">(b) ongoing access to public lighting data held by the </w:t>
            </w:r>
            <w:r w:rsidRPr="00F457C9">
              <w:rPr>
                <w:rFonts w:cstheme="minorHAnsi"/>
                <w:b/>
                <w:lang w:val="en-AU"/>
              </w:rPr>
              <w:t>distributor</w:t>
            </w:r>
            <w:r w:rsidRPr="00F457C9">
              <w:rPr>
                <w:rFonts w:cstheme="minorHAnsi"/>
                <w:bCs/>
                <w:lang w:val="en-AU"/>
              </w:rPr>
              <w:t xml:space="preserve"> through its Internet web site.</w:t>
            </w:r>
          </w:p>
        </w:tc>
        <w:tc>
          <w:tcPr>
            <w:tcW w:w="7341" w:type="dxa"/>
          </w:tcPr>
          <w:p w14:paraId="0AE0EB76" w14:textId="77777777" w:rsidR="008920CE" w:rsidRDefault="008920CE" w:rsidP="00E659B4">
            <w:pPr>
              <w:pStyle w:val="TableBody"/>
              <w:rPr>
                <w:rFonts w:cstheme="minorHAnsi"/>
                <w:bCs/>
                <w:lang w:val="en-AU"/>
              </w:rPr>
            </w:pPr>
          </w:p>
          <w:p w14:paraId="24A01DA7" w14:textId="377A8CC1" w:rsidR="00793FC3" w:rsidRDefault="00793FC3" w:rsidP="00E659B4">
            <w:pPr>
              <w:pStyle w:val="TableBody"/>
            </w:pPr>
            <w:r w:rsidRPr="00793FC3">
              <w:rPr>
                <w:rFonts w:cstheme="minorHAnsi"/>
                <w:bCs/>
                <w:lang w:val="en-AU"/>
              </w:rPr>
              <w:t xml:space="preserve">We proposed to transfer clause 5.1.1 (a) and (b) to </w:t>
            </w:r>
            <w:r>
              <w:rPr>
                <w:rFonts w:cstheme="minorHAnsi"/>
                <w:bCs/>
                <w:lang w:val="en-AU"/>
              </w:rPr>
              <w:t>new clause 25.3.4</w:t>
            </w:r>
            <w:r w:rsidRPr="00176C0C">
              <w:t xml:space="preserve"> </w:t>
            </w:r>
            <w:r>
              <w:t xml:space="preserve">in the </w:t>
            </w:r>
            <w:hyperlink r:id="rId28" w:history="1">
              <w:r w:rsidRPr="00BC6BD5">
                <w:rPr>
                  <w:rStyle w:val="Hyperlink"/>
                </w:rPr>
                <w:t>Electricity Distribution Code of Practice</w:t>
              </w:r>
            </w:hyperlink>
            <w:r>
              <w:t xml:space="preserve">. </w:t>
            </w:r>
          </w:p>
          <w:p w14:paraId="2F0F0B3F" w14:textId="77777777" w:rsidR="00793FC3" w:rsidRDefault="00793FC3" w:rsidP="00E659B4">
            <w:pPr>
              <w:pStyle w:val="TableBody"/>
              <w:rPr>
                <w:bCs/>
              </w:rPr>
            </w:pPr>
          </w:p>
          <w:p w14:paraId="36B5EFF8" w14:textId="773D5336" w:rsidR="003D72C3" w:rsidRPr="00F457C9" w:rsidRDefault="003D72C3" w:rsidP="00E659B4">
            <w:pPr>
              <w:pStyle w:val="TableBody"/>
              <w:rPr>
                <w:rFonts w:cstheme="minorHAnsi"/>
                <w:b/>
                <w:highlight w:val="yellow"/>
              </w:rPr>
            </w:pPr>
          </w:p>
        </w:tc>
      </w:tr>
      <w:tr w:rsidR="00793FC3" w:rsidRPr="00F457C9" w14:paraId="096AFAA8" w14:textId="77777777" w:rsidTr="00223042">
        <w:trPr>
          <w:cnfStyle w:val="000000010000" w:firstRow="0" w:lastRow="0" w:firstColumn="0" w:lastColumn="0" w:oddVBand="0" w:evenVBand="0" w:oddHBand="0" w:evenHBand="1" w:firstRowFirstColumn="0" w:firstRowLastColumn="0" w:lastRowFirstColumn="0" w:lastRowLastColumn="0"/>
          <w:cantSplit/>
          <w:trHeight w:val="300"/>
        </w:trPr>
        <w:tc>
          <w:tcPr>
            <w:tcW w:w="7371" w:type="dxa"/>
          </w:tcPr>
          <w:p w14:paraId="2AB503F4" w14:textId="77777777" w:rsidR="00793FC3" w:rsidRPr="00F457C9" w:rsidRDefault="00793FC3" w:rsidP="00793FC3">
            <w:pPr>
              <w:pStyle w:val="TableBody"/>
              <w:rPr>
                <w:rFonts w:cstheme="minorHAnsi"/>
                <w:b/>
                <w:lang w:val="en-AU"/>
              </w:rPr>
            </w:pPr>
            <w:r w:rsidRPr="00F457C9">
              <w:rPr>
                <w:rFonts w:cstheme="minorHAnsi"/>
                <w:b/>
                <w:lang w:val="en-AU"/>
              </w:rPr>
              <w:lastRenderedPageBreak/>
              <w:t xml:space="preserve">5.1.2 Public lighting data provided by the distributor under clause 5.1 must include: </w:t>
            </w:r>
          </w:p>
          <w:p w14:paraId="367647C6" w14:textId="77777777" w:rsidR="00793FC3" w:rsidRPr="00F457C9" w:rsidRDefault="00793FC3" w:rsidP="00793FC3">
            <w:pPr>
              <w:pStyle w:val="TableBody"/>
              <w:rPr>
                <w:rFonts w:cstheme="minorHAnsi"/>
                <w:bCs/>
                <w:lang w:val="en-AU"/>
              </w:rPr>
            </w:pPr>
            <w:r w:rsidRPr="00F457C9">
              <w:rPr>
                <w:rFonts w:cstheme="minorHAnsi"/>
                <w:bCs/>
                <w:lang w:val="en-AU"/>
              </w:rPr>
              <w:t xml:space="preserve">(a) spatial location; </w:t>
            </w:r>
          </w:p>
          <w:p w14:paraId="58F0D83C" w14:textId="77777777" w:rsidR="00793FC3" w:rsidRPr="00F457C9" w:rsidRDefault="00793FC3" w:rsidP="00793FC3">
            <w:pPr>
              <w:pStyle w:val="TableBody"/>
              <w:rPr>
                <w:rFonts w:cstheme="minorHAnsi"/>
                <w:bCs/>
                <w:lang w:val="en-AU"/>
              </w:rPr>
            </w:pPr>
            <w:r w:rsidRPr="00F457C9">
              <w:rPr>
                <w:rFonts w:cstheme="minorHAnsi"/>
                <w:bCs/>
                <w:lang w:val="en-AU"/>
              </w:rPr>
              <w:t xml:space="preserve">(b) ownership of the public light; </w:t>
            </w:r>
          </w:p>
          <w:p w14:paraId="7F9DCEB5" w14:textId="77777777" w:rsidR="00793FC3" w:rsidRPr="00F457C9" w:rsidRDefault="00793FC3" w:rsidP="00793FC3">
            <w:pPr>
              <w:pStyle w:val="TableBody"/>
              <w:rPr>
                <w:rFonts w:cstheme="minorHAnsi"/>
                <w:bCs/>
                <w:lang w:val="en-AU"/>
              </w:rPr>
            </w:pPr>
            <w:r w:rsidRPr="00F457C9">
              <w:rPr>
                <w:rFonts w:cstheme="minorHAnsi"/>
                <w:bCs/>
                <w:lang w:val="en-AU"/>
              </w:rPr>
              <w:t xml:space="preserve">(c) the </w:t>
            </w:r>
            <w:r w:rsidRPr="00F457C9">
              <w:rPr>
                <w:rFonts w:cstheme="minorHAnsi"/>
                <w:b/>
                <w:lang w:val="en-AU"/>
              </w:rPr>
              <w:t>public lighting customer</w:t>
            </w:r>
            <w:r w:rsidRPr="00F457C9">
              <w:rPr>
                <w:rFonts w:cstheme="minorHAnsi"/>
                <w:bCs/>
                <w:lang w:val="en-AU"/>
              </w:rPr>
              <w:t xml:space="preserve">; </w:t>
            </w:r>
          </w:p>
          <w:p w14:paraId="52085903" w14:textId="77777777" w:rsidR="00793FC3" w:rsidRPr="00F457C9" w:rsidRDefault="00793FC3" w:rsidP="00793FC3">
            <w:pPr>
              <w:pStyle w:val="TableBody"/>
              <w:rPr>
                <w:rFonts w:cstheme="minorHAnsi"/>
                <w:bCs/>
                <w:lang w:val="en-AU"/>
              </w:rPr>
            </w:pPr>
            <w:r w:rsidRPr="00F457C9">
              <w:rPr>
                <w:rFonts w:cstheme="minorHAnsi"/>
                <w:bCs/>
                <w:lang w:val="en-AU"/>
              </w:rPr>
              <w:t xml:space="preserve">(d) whether it is a shared cost light; </w:t>
            </w:r>
          </w:p>
          <w:p w14:paraId="60ACE359" w14:textId="77777777" w:rsidR="00793FC3" w:rsidRPr="00F457C9" w:rsidRDefault="00793FC3" w:rsidP="00793FC3">
            <w:pPr>
              <w:pStyle w:val="TableBody"/>
              <w:rPr>
                <w:rFonts w:cstheme="minorHAnsi"/>
                <w:bCs/>
                <w:lang w:val="en-AU"/>
              </w:rPr>
            </w:pPr>
            <w:r w:rsidRPr="00F457C9">
              <w:rPr>
                <w:rFonts w:cstheme="minorHAnsi"/>
                <w:bCs/>
                <w:lang w:val="en-AU"/>
              </w:rPr>
              <w:t xml:space="preserve">(e) for assets installed after 30 June 2005, the date the public light was installed; </w:t>
            </w:r>
          </w:p>
          <w:p w14:paraId="41C6953B" w14:textId="77777777" w:rsidR="00793FC3" w:rsidRPr="00F457C9" w:rsidRDefault="00793FC3" w:rsidP="00793FC3">
            <w:pPr>
              <w:pStyle w:val="TableBody"/>
              <w:rPr>
                <w:rFonts w:cstheme="minorHAnsi"/>
                <w:bCs/>
                <w:lang w:val="en-AU"/>
              </w:rPr>
            </w:pPr>
            <w:r w:rsidRPr="00F457C9">
              <w:rPr>
                <w:rFonts w:cstheme="minorHAnsi"/>
                <w:bCs/>
                <w:lang w:val="en-AU"/>
              </w:rPr>
              <w:t xml:space="preserve">(f) date of bulk re-lamping of the public lights; </w:t>
            </w:r>
          </w:p>
          <w:p w14:paraId="158100BC" w14:textId="77777777" w:rsidR="00793FC3" w:rsidRPr="00F457C9" w:rsidRDefault="00793FC3" w:rsidP="00793FC3">
            <w:pPr>
              <w:pStyle w:val="TableBody"/>
              <w:rPr>
                <w:rFonts w:cstheme="minorHAnsi"/>
                <w:bCs/>
                <w:lang w:val="en-AU"/>
              </w:rPr>
            </w:pPr>
            <w:r w:rsidRPr="00F457C9">
              <w:rPr>
                <w:rFonts w:cstheme="minorHAnsi"/>
                <w:bCs/>
                <w:lang w:val="en-AU"/>
              </w:rPr>
              <w:t xml:space="preserve">(g) the type of </w:t>
            </w:r>
            <w:r w:rsidRPr="00F457C9">
              <w:rPr>
                <w:rFonts w:cstheme="minorHAnsi"/>
                <w:b/>
                <w:lang w:val="en-AU"/>
              </w:rPr>
              <w:t>lamp</w:t>
            </w:r>
            <w:r w:rsidRPr="00F457C9">
              <w:rPr>
                <w:rFonts w:cstheme="minorHAnsi"/>
                <w:bCs/>
                <w:lang w:val="en-AU"/>
              </w:rPr>
              <w:t xml:space="preserve">; </w:t>
            </w:r>
          </w:p>
          <w:p w14:paraId="2B496AE0" w14:textId="77777777" w:rsidR="00793FC3" w:rsidRPr="00F457C9" w:rsidRDefault="00793FC3" w:rsidP="00793FC3">
            <w:pPr>
              <w:pStyle w:val="TableBody"/>
              <w:rPr>
                <w:rFonts w:cstheme="minorHAnsi"/>
                <w:bCs/>
                <w:lang w:val="en-AU"/>
              </w:rPr>
            </w:pPr>
            <w:r w:rsidRPr="00F457C9">
              <w:rPr>
                <w:rFonts w:cstheme="minorHAnsi"/>
                <w:bCs/>
                <w:lang w:val="en-AU"/>
              </w:rPr>
              <w:t xml:space="preserve">(h) the </w:t>
            </w:r>
            <w:r w:rsidRPr="00F457C9">
              <w:rPr>
                <w:rFonts w:cstheme="minorHAnsi"/>
                <w:b/>
                <w:lang w:val="en-AU"/>
              </w:rPr>
              <w:t>rated power</w:t>
            </w:r>
            <w:r w:rsidRPr="00F457C9">
              <w:rPr>
                <w:rFonts w:cstheme="minorHAnsi"/>
                <w:bCs/>
                <w:lang w:val="en-AU"/>
              </w:rPr>
              <w:t xml:space="preserve"> of the lamp; and </w:t>
            </w:r>
          </w:p>
          <w:p w14:paraId="051FBBEA" w14:textId="2F819A57" w:rsidR="00793FC3" w:rsidRPr="00F457C9" w:rsidRDefault="00793FC3" w:rsidP="00793FC3">
            <w:pPr>
              <w:pStyle w:val="TableBody"/>
              <w:rPr>
                <w:rFonts w:cstheme="minorHAnsi"/>
                <w:b/>
                <w:lang w:val="en-AU"/>
              </w:rPr>
            </w:pPr>
            <w:r w:rsidRPr="00F457C9">
              <w:rPr>
                <w:rFonts w:cstheme="minorHAnsi"/>
                <w:bCs/>
                <w:lang w:val="en-AU"/>
              </w:rPr>
              <w:t>(i) for poles installed after 30 June 2005, the type of pole (ie standard/non-standard/frangible)</w:t>
            </w:r>
          </w:p>
        </w:tc>
        <w:tc>
          <w:tcPr>
            <w:tcW w:w="7341" w:type="dxa"/>
          </w:tcPr>
          <w:p w14:paraId="32565902" w14:textId="0CE3D360" w:rsidR="008920CE" w:rsidRDefault="003E02D4" w:rsidP="00793FC3">
            <w:pPr>
              <w:pStyle w:val="TableBody"/>
              <w:rPr>
                <w:rFonts w:cstheme="minorHAnsi"/>
                <w:bCs/>
                <w:lang w:val="en-AU"/>
              </w:rPr>
            </w:pPr>
            <w:r w:rsidRPr="00806885">
              <w:rPr>
                <w:rFonts w:cstheme="minorHAnsi"/>
                <w:color w:val="000000"/>
              </w:rPr>
              <w:t>We consider this clause to be redundant, or superseded by other regulations</w:t>
            </w:r>
          </w:p>
          <w:p w14:paraId="5CEA9D81" w14:textId="77777777" w:rsidR="00E375B6" w:rsidRDefault="00E375B6" w:rsidP="00793FC3">
            <w:pPr>
              <w:pStyle w:val="TableBody"/>
            </w:pPr>
          </w:p>
          <w:p w14:paraId="269C54F9" w14:textId="1B06D6E7" w:rsidR="00793FC3" w:rsidRDefault="00793FC3" w:rsidP="00793FC3">
            <w:pPr>
              <w:pStyle w:val="TableBody"/>
            </w:pPr>
            <w:r>
              <w:t xml:space="preserve">We consider these public lighting data to be </w:t>
            </w:r>
            <w:r w:rsidR="008C6197">
              <w:t xml:space="preserve">duplicated </w:t>
            </w:r>
            <w:r w:rsidR="00566640">
              <w:t xml:space="preserve">as </w:t>
            </w:r>
            <w:r>
              <w:t xml:space="preserve">part of the distributor’s existing </w:t>
            </w:r>
            <w:r w:rsidR="00853093">
              <w:t xml:space="preserve">asset management </w:t>
            </w:r>
            <w:r>
              <w:t xml:space="preserve">obligation under clause 19.2.1 (a) in the </w:t>
            </w:r>
            <w:hyperlink r:id="rId29" w:history="1">
              <w:r w:rsidRPr="00BC6BD5">
                <w:rPr>
                  <w:rStyle w:val="Hyperlink"/>
                </w:rPr>
                <w:t>Electricity Distribution Code of Practice</w:t>
              </w:r>
            </w:hyperlink>
            <w:r>
              <w:t>.</w:t>
            </w:r>
          </w:p>
          <w:p w14:paraId="7EB453A3" w14:textId="77777777" w:rsidR="003F448B" w:rsidRDefault="003F448B" w:rsidP="00793FC3">
            <w:pPr>
              <w:pStyle w:val="TableBody"/>
            </w:pPr>
          </w:p>
          <w:p w14:paraId="577686B2" w14:textId="4874A6B4" w:rsidR="00885775" w:rsidRDefault="00CD11BD" w:rsidP="00793FC3">
            <w:pPr>
              <w:pStyle w:val="TableBody"/>
            </w:pPr>
            <w:r>
              <w:t>C</w:t>
            </w:r>
            <w:r w:rsidR="003F448B">
              <w:t xml:space="preserve">lause 19.2.1 (a) is a broad asset management obligation for distributors. It </w:t>
            </w:r>
            <w:r w:rsidR="0049065C">
              <w:t>applies to distributors as a whole of distribution system requirement</w:t>
            </w:r>
            <w:r w:rsidR="00E93962">
              <w:t xml:space="preserve"> </w:t>
            </w:r>
            <w:r w:rsidR="007135B4">
              <w:t xml:space="preserve">for </w:t>
            </w:r>
            <w:r w:rsidR="00E93962">
              <w:t>all asset categor</w:t>
            </w:r>
            <w:r w:rsidR="007135B4">
              <w:t>ies</w:t>
            </w:r>
            <w:r w:rsidR="00E93962">
              <w:t xml:space="preserve"> </w:t>
            </w:r>
            <w:r w:rsidR="007135B4">
              <w:t xml:space="preserve">and the management of </w:t>
            </w:r>
            <w:r w:rsidR="00552FF8">
              <w:t xml:space="preserve">all </w:t>
            </w:r>
            <w:r w:rsidR="007135B4">
              <w:t xml:space="preserve">such asset </w:t>
            </w:r>
            <w:r w:rsidR="00E93962">
              <w:t>data</w:t>
            </w:r>
            <w:r w:rsidR="00A0390E">
              <w:t xml:space="preserve">. </w:t>
            </w:r>
            <w:r w:rsidR="00612493">
              <w:t>T</w:t>
            </w:r>
            <w:r w:rsidR="00552FF8">
              <w:t xml:space="preserve">he broad coverage </w:t>
            </w:r>
            <w:r w:rsidR="00E93962">
              <w:t>under clause 19.2.1</w:t>
            </w:r>
            <w:r w:rsidR="00552FF8">
              <w:t xml:space="preserve"> </w:t>
            </w:r>
            <w:r w:rsidR="00612493">
              <w:t xml:space="preserve">for the distributor’s own asset management and </w:t>
            </w:r>
            <w:r w:rsidR="00552FF8">
              <w:t>through the new clause 25.3.4</w:t>
            </w:r>
            <w:r w:rsidR="00612493">
              <w:t>,</w:t>
            </w:r>
            <w:r w:rsidR="00552FF8">
              <w:t xml:space="preserve"> obligates </w:t>
            </w:r>
            <w:r w:rsidR="00E93962">
              <w:t xml:space="preserve">distributors </w:t>
            </w:r>
            <w:r w:rsidR="00552FF8">
              <w:t>to</w:t>
            </w:r>
            <w:r w:rsidR="00E93962">
              <w:t xml:space="preserve"> provide </w:t>
            </w:r>
            <w:r w:rsidR="00215BC8">
              <w:t xml:space="preserve">the </w:t>
            </w:r>
            <w:r w:rsidR="00F8258E">
              <w:t>data</w:t>
            </w:r>
            <w:r w:rsidR="00215BC8">
              <w:t xml:space="preserve"> to public lighting customers</w:t>
            </w:r>
            <w:r w:rsidR="00612493">
              <w:t>.</w:t>
            </w:r>
            <w:r w:rsidR="00F8258E">
              <w:t xml:space="preserve"> </w:t>
            </w:r>
          </w:p>
          <w:p w14:paraId="4E046713" w14:textId="77777777" w:rsidR="00F8258E" w:rsidRDefault="00F8258E" w:rsidP="00793FC3">
            <w:pPr>
              <w:pStyle w:val="TableBody"/>
            </w:pPr>
          </w:p>
          <w:p w14:paraId="2D78ABFE" w14:textId="14234CC3" w:rsidR="00793FC3" w:rsidRPr="00CD11BD" w:rsidRDefault="00CD11BD" w:rsidP="00793FC3">
            <w:pPr>
              <w:pStyle w:val="TableBody"/>
            </w:pPr>
            <w:r>
              <w:t xml:space="preserve">Where the </w:t>
            </w:r>
            <w:r w:rsidR="0049065C">
              <w:t xml:space="preserve">public lighting customer </w:t>
            </w:r>
            <w:r w:rsidR="00F8258E">
              <w:t xml:space="preserve">may </w:t>
            </w:r>
            <w:r>
              <w:t xml:space="preserve">seek </w:t>
            </w:r>
            <w:r w:rsidR="00215BC8">
              <w:t xml:space="preserve">bespoke or </w:t>
            </w:r>
            <w:r w:rsidR="00DC19E7">
              <w:t>more</w:t>
            </w:r>
            <w:r w:rsidR="00D63E16">
              <w:t xml:space="preserve"> </w:t>
            </w:r>
            <w:r w:rsidR="00DC19E7">
              <w:t xml:space="preserve">comprehensive </w:t>
            </w:r>
            <w:r>
              <w:t xml:space="preserve">asset </w:t>
            </w:r>
            <w:r w:rsidR="0049065C">
              <w:t>information</w:t>
            </w:r>
            <w:r w:rsidR="00612493">
              <w:t xml:space="preserve"> service</w:t>
            </w:r>
            <w:r>
              <w:t xml:space="preserve">, </w:t>
            </w:r>
            <w:r w:rsidR="00F8258E">
              <w:t xml:space="preserve">the public lighting customer </w:t>
            </w:r>
            <w:r w:rsidR="00612493">
              <w:t>can</w:t>
            </w:r>
            <w:r w:rsidR="00EC201C">
              <w:t xml:space="preserve"> n</w:t>
            </w:r>
            <w:r>
              <w:t>egotiat</w:t>
            </w:r>
            <w:r w:rsidR="00EC201C">
              <w:t xml:space="preserve">ion </w:t>
            </w:r>
            <w:r w:rsidR="00F8258E">
              <w:t xml:space="preserve">these </w:t>
            </w:r>
            <w:r>
              <w:t>with</w:t>
            </w:r>
            <w:r w:rsidR="00EC201C">
              <w:t xml:space="preserve"> the</w:t>
            </w:r>
            <w:r>
              <w:t xml:space="preserve"> distributor. </w:t>
            </w:r>
            <w:r w:rsidR="0049065C">
              <w:t xml:space="preserve"> </w:t>
            </w:r>
            <w:r w:rsidR="003F448B">
              <w:t xml:space="preserve">    </w:t>
            </w:r>
          </w:p>
        </w:tc>
      </w:tr>
      <w:tr w:rsidR="00793FC3" w:rsidRPr="00F457C9" w14:paraId="29C51FC8" w14:textId="77777777" w:rsidTr="00223042">
        <w:trPr>
          <w:cnfStyle w:val="000000100000" w:firstRow="0" w:lastRow="0" w:firstColumn="0" w:lastColumn="0" w:oddVBand="0" w:evenVBand="0" w:oddHBand="1" w:evenHBand="0" w:firstRowFirstColumn="0" w:firstRowLastColumn="0" w:lastRowFirstColumn="0" w:lastRowLastColumn="0"/>
          <w:trHeight w:val="300"/>
        </w:trPr>
        <w:tc>
          <w:tcPr>
            <w:tcW w:w="7371" w:type="dxa"/>
          </w:tcPr>
          <w:p w14:paraId="22DB37A0" w14:textId="77777777" w:rsidR="00793FC3" w:rsidRPr="00F457C9" w:rsidRDefault="00793FC3" w:rsidP="00793FC3">
            <w:pPr>
              <w:pStyle w:val="TableBody"/>
              <w:rPr>
                <w:rFonts w:cstheme="minorHAnsi"/>
                <w:b/>
                <w:lang w:val="en-AU"/>
              </w:rPr>
            </w:pPr>
            <w:r w:rsidRPr="00F457C9">
              <w:rPr>
                <w:rFonts w:cstheme="minorHAnsi"/>
                <w:b/>
                <w:lang w:val="en-AU"/>
              </w:rPr>
              <w:t xml:space="preserve">5.2 Reports </w:t>
            </w:r>
          </w:p>
          <w:p w14:paraId="2C199CDD" w14:textId="77777777" w:rsidR="00793FC3" w:rsidRPr="00F457C9" w:rsidRDefault="00793FC3" w:rsidP="00793FC3">
            <w:pPr>
              <w:pStyle w:val="TableBody"/>
              <w:rPr>
                <w:rFonts w:cstheme="minorHAnsi"/>
                <w:bCs/>
                <w:lang w:val="en-AU"/>
              </w:rPr>
            </w:pPr>
            <w:r w:rsidRPr="00F457C9">
              <w:rPr>
                <w:rFonts w:cstheme="minorHAnsi"/>
                <w:b/>
                <w:lang w:val="en-AU"/>
              </w:rPr>
              <w:t>5.2.1</w:t>
            </w:r>
            <w:r w:rsidRPr="00F457C9">
              <w:rPr>
                <w:rFonts w:cstheme="minorHAnsi"/>
                <w:bCs/>
                <w:lang w:val="en-AU"/>
              </w:rPr>
              <w:t xml:space="preserve"> A </w:t>
            </w:r>
            <w:r w:rsidRPr="00F457C9">
              <w:rPr>
                <w:rFonts w:cstheme="minorHAnsi"/>
                <w:b/>
                <w:lang w:val="en-AU"/>
              </w:rPr>
              <w:t>distributor</w:t>
            </w:r>
            <w:r w:rsidRPr="00F457C9">
              <w:rPr>
                <w:rFonts w:cstheme="minorHAnsi"/>
                <w:bCs/>
                <w:lang w:val="en-AU"/>
              </w:rPr>
              <w:t xml:space="preserve"> must provide to a </w:t>
            </w:r>
            <w:r w:rsidRPr="00F457C9">
              <w:rPr>
                <w:rFonts w:cstheme="minorHAnsi"/>
                <w:b/>
                <w:lang w:val="en-AU"/>
              </w:rPr>
              <w:t>public lighting customer</w:t>
            </w:r>
            <w:r w:rsidRPr="00F457C9">
              <w:rPr>
                <w:rFonts w:cstheme="minorHAnsi"/>
                <w:bCs/>
                <w:lang w:val="en-AU"/>
              </w:rPr>
              <w:t xml:space="preserve">: </w:t>
            </w:r>
          </w:p>
          <w:p w14:paraId="3B637F5B" w14:textId="77777777" w:rsidR="00793FC3" w:rsidRPr="00F457C9" w:rsidRDefault="00793FC3" w:rsidP="00793FC3">
            <w:pPr>
              <w:pStyle w:val="TableBody"/>
              <w:rPr>
                <w:rFonts w:cstheme="minorHAnsi"/>
                <w:bCs/>
                <w:lang w:val="en-AU"/>
              </w:rPr>
            </w:pPr>
            <w:r w:rsidRPr="00F457C9">
              <w:rPr>
                <w:rFonts w:cstheme="minorHAnsi"/>
                <w:bCs/>
                <w:lang w:val="en-AU"/>
              </w:rPr>
              <w:t>(a) upon any material change, an up-to-date report and map in hard copy or electronic format (</w:t>
            </w:r>
            <w:r w:rsidRPr="00F457C9">
              <w:rPr>
                <w:rFonts w:cstheme="minorHAnsi"/>
                <w:b/>
                <w:lang w:val="en-AU"/>
              </w:rPr>
              <w:t>csv</w:t>
            </w:r>
            <w:r w:rsidRPr="00F457C9">
              <w:rPr>
                <w:rFonts w:cstheme="minorHAnsi"/>
                <w:bCs/>
                <w:lang w:val="en-AU"/>
              </w:rPr>
              <w:t xml:space="preserve"> or </w:t>
            </w:r>
            <w:r w:rsidRPr="00F457C9">
              <w:rPr>
                <w:rFonts w:cstheme="minorHAnsi"/>
                <w:b/>
                <w:lang w:val="en-AU"/>
              </w:rPr>
              <w:t>dxf</w:t>
            </w:r>
            <w:r w:rsidRPr="00F457C9">
              <w:rPr>
                <w:rFonts w:cstheme="minorHAnsi"/>
                <w:bCs/>
                <w:lang w:val="en-AU"/>
              </w:rPr>
              <w:t xml:space="preserve">), as requested by the </w:t>
            </w:r>
            <w:r w:rsidRPr="00F457C9">
              <w:rPr>
                <w:rFonts w:cstheme="minorHAnsi"/>
                <w:b/>
                <w:lang w:val="en-AU"/>
              </w:rPr>
              <w:t>public lighting customer</w:t>
            </w:r>
            <w:r w:rsidRPr="00F457C9">
              <w:rPr>
                <w:rFonts w:cstheme="minorHAnsi"/>
                <w:bCs/>
                <w:lang w:val="en-AU"/>
              </w:rPr>
              <w:t xml:space="preserve">, conveying the asset records referred to in clause 5.1 insofar as they detail location, type and </w:t>
            </w:r>
            <w:r w:rsidRPr="00F457C9">
              <w:rPr>
                <w:rFonts w:cstheme="minorHAnsi"/>
                <w:b/>
                <w:lang w:val="en-AU"/>
              </w:rPr>
              <w:t>rated power</w:t>
            </w:r>
            <w:r w:rsidRPr="00F457C9">
              <w:rPr>
                <w:rFonts w:cstheme="minorHAnsi"/>
                <w:bCs/>
                <w:lang w:val="en-AU"/>
              </w:rPr>
              <w:t xml:space="preserve"> of the </w:t>
            </w:r>
            <w:r w:rsidRPr="00F457C9">
              <w:rPr>
                <w:rFonts w:cstheme="minorHAnsi"/>
                <w:b/>
                <w:lang w:val="en-AU"/>
              </w:rPr>
              <w:t>public lighting assets</w:t>
            </w:r>
            <w:r w:rsidRPr="00F457C9">
              <w:rPr>
                <w:rFonts w:cstheme="minorHAnsi"/>
                <w:bCs/>
                <w:lang w:val="en-AU"/>
              </w:rPr>
              <w:t xml:space="preserve"> relevant to that </w:t>
            </w:r>
            <w:r w:rsidRPr="00F457C9">
              <w:rPr>
                <w:rFonts w:cstheme="minorHAnsi"/>
                <w:b/>
                <w:lang w:val="en-AU"/>
              </w:rPr>
              <w:t>public lighting customer</w:t>
            </w:r>
            <w:r w:rsidRPr="00F457C9">
              <w:rPr>
                <w:rFonts w:cstheme="minorHAnsi"/>
                <w:bCs/>
                <w:lang w:val="en-AU"/>
              </w:rPr>
              <w:t xml:space="preserve">; </w:t>
            </w:r>
          </w:p>
          <w:p w14:paraId="36D3665A" w14:textId="77777777" w:rsidR="00793FC3" w:rsidRPr="00F457C9" w:rsidRDefault="00793FC3" w:rsidP="00793FC3">
            <w:pPr>
              <w:pStyle w:val="TableBody"/>
              <w:rPr>
                <w:rFonts w:cstheme="minorHAnsi"/>
                <w:bCs/>
                <w:lang w:val="en-AU"/>
              </w:rPr>
            </w:pPr>
            <w:r w:rsidRPr="00F457C9">
              <w:rPr>
                <w:rFonts w:cstheme="minorHAnsi"/>
                <w:bCs/>
                <w:lang w:val="en-AU"/>
              </w:rPr>
              <w:t xml:space="preserve">(b) upon any material change, a current copy of its plans for the operation, maintenance, refurbishment, replacement, repair and disposal of its </w:t>
            </w:r>
            <w:r w:rsidRPr="00F457C9">
              <w:rPr>
                <w:rFonts w:cstheme="minorHAnsi"/>
                <w:b/>
                <w:lang w:val="en-AU"/>
              </w:rPr>
              <w:t>public lighting assets</w:t>
            </w:r>
            <w:r w:rsidRPr="00F457C9">
              <w:rPr>
                <w:rFonts w:cstheme="minorHAnsi"/>
                <w:bCs/>
                <w:lang w:val="en-AU"/>
              </w:rPr>
              <w:t xml:space="preserve">; </w:t>
            </w:r>
          </w:p>
          <w:p w14:paraId="12F3C223" w14:textId="77777777" w:rsidR="00793FC3" w:rsidRPr="00F457C9" w:rsidRDefault="00793FC3" w:rsidP="00793FC3">
            <w:pPr>
              <w:pStyle w:val="TableBody"/>
              <w:rPr>
                <w:rFonts w:cstheme="minorHAnsi"/>
                <w:bCs/>
                <w:lang w:val="en-AU"/>
              </w:rPr>
            </w:pPr>
            <w:r w:rsidRPr="00F457C9">
              <w:rPr>
                <w:rFonts w:cstheme="minorHAnsi"/>
                <w:bCs/>
                <w:lang w:val="en-AU"/>
              </w:rPr>
              <w:t xml:space="preserve">(c) a quarterly report of progress against the maintenance plan including identification of the number of fault repairs and preventative maintenance activities; </w:t>
            </w:r>
          </w:p>
          <w:p w14:paraId="312519D6" w14:textId="77777777" w:rsidR="00793FC3" w:rsidRPr="00F457C9" w:rsidRDefault="00793FC3" w:rsidP="00793FC3">
            <w:pPr>
              <w:pStyle w:val="TableBody"/>
              <w:rPr>
                <w:rFonts w:cstheme="minorHAnsi"/>
                <w:bCs/>
                <w:lang w:val="en-AU"/>
              </w:rPr>
            </w:pPr>
            <w:r w:rsidRPr="00F457C9">
              <w:rPr>
                <w:rFonts w:cstheme="minorHAnsi"/>
                <w:bCs/>
                <w:lang w:val="en-AU"/>
              </w:rPr>
              <w:t xml:space="preserve">(d) a quarterly report containing analysis of performance against any performance targets referred to in clause 2.3 and the guaranteed service level set out in clause 2.5; </w:t>
            </w:r>
          </w:p>
          <w:p w14:paraId="4203D2CE" w14:textId="0412655F" w:rsidR="00793FC3" w:rsidRPr="00F457C9" w:rsidRDefault="00793FC3" w:rsidP="00793FC3">
            <w:pPr>
              <w:pStyle w:val="TableBody"/>
              <w:rPr>
                <w:rFonts w:cstheme="minorHAnsi"/>
                <w:bCs/>
                <w:lang w:val="en-AU"/>
              </w:rPr>
            </w:pPr>
            <w:r w:rsidRPr="00F457C9">
              <w:rPr>
                <w:rFonts w:cstheme="minorHAnsi"/>
                <w:bCs/>
                <w:lang w:val="en-AU"/>
              </w:rPr>
              <w:lastRenderedPageBreak/>
              <w:t xml:space="preserve">(e) an annual report of operations and maintenance, including refurbishment, replacement, repair and disposal, expenditure for the distribution business allocated by </w:t>
            </w:r>
            <w:r w:rsidRPr="00F457C9">
              <w:rPr>
                <w:rFonts w:cstheme="minorHAnsi"/>
                <w:b/>
                <w:lang w:val="en-AU"/>
              </w:rPr>
              <w:t>public lighting customer</w:t>
            </w:r>
            <w:r w:rsidRPr="00F457C9">
              <w:rPr>
                <w:rFonts w:cstheme="minorHAnsi"/>
                <w:bCs/>
                <w:lang w:val="en-AU"/>
              </w:rPr>
              <w:t xml:space="preserve">. The report should be provided at a time to align with the </w:t>
            </w:r>
            <w:r w:rsidRPr="00F457C9">
              <w:rPr>
                <w:rFonts w:cstheme="minorHAnsi"/>
                <w:b/>
                <w:lang w:val="en-AU"/>
              </w:rPr>
              <w:t>public lighting customer’s</w:t>
            </w:r>
            <w:r w:rsidRPr="00F457C9">
              <w:rPr>
                <w:rFonts w:cstheme="minorHAnsi"/>
                <w:bCs/>
                <w:lang w:val="en-AU"/>
              </w:rPr>
              <w:t xml:space="preserve"> annual budgeting requirements; </w:t>
            </w:r>
          </w:p>
          <w:p w14:paraId="4E8A5FB0" w14:textId="77777777" w:rsidR="00793FC3" w:rsidRPr="00F457C9" w:rsidRDefault="00793FC3" w:rsidP="00793FC3">
            <w:pPr>
              <w:pStyle w:val="TableBody"/>
              <w:rPr>
                <w:rFonts w:cstheme="minorHAnsi"/>
                <w:bCs/>
                <w:lang w:val="en-AU"/>
              </w:rPr>
            </w:pPr>
            <w:r w:rsidRPr="00F457C9">
              <w:rPr>
                <w:rFonts w:cstheme="minorHAnsi"/>
                <w:bCs/>
                <w:lang w:val="en-AU"/>
              </w:rPr>
              <w:t xml:space="preserve">(f) not less often than annually, a report on its work program providing details of the timing and extent of works to be undertaken on the </w:t>
            </w:r>
            <w:r w:rsidRPr="00F457C9">
              <w:rPr>
                <w:rFonts w:cstheme="minorHAnsi"/>
                <w:b/>
                <w:lang w:val="en-AU"/>
              </w:rPr>
              <w:t>public lighting assets</w:t>
            </w:r>
            <w:r w:rsidRPr="00F457C9">
              <w:rPr>
                <w:rFonts w:cstheme="minorHAnsi"/>
                <w:bCs/>
                <w:lang w:val="en-AU"/>
              </w:rPr>
              <w:t xml:space="preserve"> relevant to that public lighting customer; and </w:t>
            </w:r>
          </w:p>
          <w:p w14:paraId="06C19A09" w14:textId="27BB1110" w:rsidR="00793FC3" w:rsidRPr="00F457C9" w:rsidRDefault="00793FC3" w:rsidP="00793FC3">
            <w:pPr>
              <w:pStyle w:val="TableBody"/>
              <w:rPr>
                <w:rFonts w:cstheme="minorHAnsi"/>
                <w:bCs/>
                <w:lang w:val="en-AU"/>
              </w:rPr>
            </w:pPr>
            <w:r w:rsidRPr="00F457C9">
              <w:rPr>
                <w:rFonts w:cstheme="minorHAnsi"/>
                <w:bCs/>
                <w:lang w:val="en-AU"/>
              </w:rPr>
              <w:t xml:space="preserve">(g) upon request from a </w:t>
            </w:r>
            <w:r w:rsidRPr="00F457C9">
              <w:rPr>
                <w:rFonts w:cstheme="minorHAnsi"/>
                <w:b/>
                <w:lang w:val="en-AU"/>
              </w:rPr>
              <w:t>public lighting customer</w:t>
            </w:r>
            <w:r w:rsidRPr="00F457C9">
              <w:rPr>
                <w:rFonts w:cstheme="minorHAnsi"/>
                <w:bCs/>
                <w:lang w:val="en-AU"/>
              </w:rPr>
              <w:t>, any other reports which a public lighting customer may reasonably require.</w:t>
            </w:r>
          </w:p>
        </w:tc>
        <w:tc>
          <w:tcPr>
            <w:tcW w:w="7341" w:type="dxa"/>
          </w:tcPr>
          <w:p w14:paraId="4C3F0C3B" w14:textId="0646EDF3" w:rsidR="00793FC3" w:rsidRPr="00D30C58" w:rsidRDefault="00D30C58" w:rsidP="00793FC3">
            <w:pPr>
              <w:pStyle w:val="TableBody"/>
              <w:rPr>
                <w:rFonts w:cstheme="minorHAnsi"/>
                <w:bCs/>
                <w:highlight w:val="yellow"/>
              </w:rPr>
            </w:pPr>
            <w:r w:rsidRPr="00D30C58">
              <w:rPr>
                <w:rFonts w:cstheme="minorHAnsi"/>
                <w:bCs/>
                <w:lang w:val="en-AU"/>
              </w:rPr>
              <w:lastRenderedPageBreak/>
              <w:t>We proposed to transfer clause 5.</w:t>
            </w:r>
            <w:r>
              <w:rPr>
                <w:rFonts w:cstheme="minorHAnsi"/>
                <w:bCs/>
                <w:lang w:val="en-AU"/>
              </w:rPr>
              <w:t>2.1</w:t>
            </w:r>
            <w:r w:rsidRPr="00D30C58">
              <w:rPr>
                <w:rFonts w:cstheme="minorHAnsi"/>
                <w:bCs/>
                <w:lang w:val="en-AU"/>
              </w:rPr>
              <w:t xml:space="preserve"> to new clause 25.3.4 </w:t>
            </w:r>
            <w:r>
              <w:rPr>
                <w:rFonts w:cstheme="minorHAnsi"/>
                <w:bCs/>
                <w:lang w:val="en-AU"/>
              </w:rPr>
              <w:t xml:space="preserve">(c) to (j) </w:t>
            </w:r>
            <w:r w:rsidRPr="00D30C58">
              <w:rPr>
                <w:rFonts w:cstheme="minorHAnsi"/>
                <w:bCs/>
                <w:lang w:val="en-AU"/>
              </w:rPr>
              <w:t xml:space="preserve">in the </w:t>
            </w:r>
            <w:hyperlink r:id="rId30" w:history="1">
              <w:r w:rsidRPr="00BC6BD5">
                <w:rPr>
                  <w:rStyle w:val="Hyperlink"/>
                </w:rPr>
                <w:t>Electricity Distribution Code of Practice</w:t>
              </w:r>
            </w:hyperlink>
            <w:r w:rsidR="00FA1008">
              <w:t>.</w:t>
            </w:r>
          </w:p>
        </w:tc>
      </w:tr>
      <w:tr w:rsidR="00793FC3" w:rsidRPr="00F457C9" w14:paraId="64C734B3" w14:textId="77777777" w:rsidTr="00223042">
        <w:trPr>
          <w:cnfStyle w:val="000000010000" w:firstRow="0" w:lastRow="0" w:firstColumn="0" w:lastColumn="0" w:oddVBand="0" w:evenVBand="0" w:oddHBand="0" w:evenHBand="1" w:firstRowFirstColumn="0" w:firstRowLastColumn="0" w:lastRowFirstColumn="0" w:lastRowLastColumn="0"/>
          <w:cantSplit/>
          <w:trHeight w:val="300"/>
        </w:trPr>
        <w:tc>
          <w:tcPr>
            <w:tcW w:w="7371" w:type="dxa"/>
          </w:tcPr>
          <w:p w14:paraId="00B8900E" w14:textId="5B97D71D" w:rsidR="00793FC3" w:rsidRPr="00F457C9" w:rsidRDefault="00793FC3" w:rsidP="00793FC3">
            <w:pPr>
              <w:pStyle w:val="TableBody"/>
              <w:rPr>
                <w:rFonts w:cstheme="minorHAnsi"/>
                <w:b/>
                <w:lang w:val="en-AU"/>
              </w:rPr>
            </w:pPr>
            <w:r w:rsidRPr="00F457C9">
              <w:rPr>
                <w:rFonts w:cstheme="minorHAnsi"/>
                <w:b/>
                <w:lang w:val="en-AU"/>
              </w:rPr>
              <w:t xml:space="preserve">5.2.2 </w:t>
            </w:r>
            <w:r w:rsidRPr="00F457C9">
              <w:rPr>
                <w:rFonts w:cstheme="minorHAnsi"/>
                <w:bCs/>
                <w:lang w:val="en-AU"/>
              </w:rPr>
              <w:t>Reports under paragraphs (a) to (f) will be provided at no additional charge. A fair and reasonable charge may be made for other reports.</w:t>
            </w:r>
          </w:p>
        </w:tc>
        <w:tc>
          <w:tcPr>
            <w:tcW w:w="7341" w:type="dxa"/>
          </w:tcPr>
          <w:p w14:paraId="437B1AFD" w14:textId="71B1ECAC" w:rsidR="00793FC3" w:rsidRPr="00D30C58" w:rsidRDefault="00D30C58" w:rsidP="00793FC3">
            <w:pPr>
              <w:pStyle w:val="TableBody"/>
              <w:rPr>
                <w:rFonts w:cstheme="minorHAnsi"/>
                <w:bCs/>
                <w:highlight w:val="yellow"/>
              </w:rPr>
            </w:pPr>
            <w:r w:rsidRPr="00D30C58">
              <w:rPr>
                <w:rFonts w:cstheme="minorHAnsi"/>
                <w:bCs/>
                <w:lang w:val="en-AU"/>
              </w:rPr>
              <w:t>We proposed to transfer clause 5.</w:t>
            </w:r>
            <w:r>
              <w:rPr>
                <w:rFonts w:cstheme="minorHAnsi"/>
                <w:bCs/>
                <w:lang w:val="en-AU"/>
              </w:rPr>
              <w:t>2.2</w:t>
            </w:r>
            <w:r w:rsidRPr="00D30C58">
              <w:rPr>
                <w:rFonts w:cstheme="minorHAnsi"/>
                <w:bCs/>
                <w:lang w:val="en-AU"/>
              </w:rPr>
              <w:t xml:space="preserve"> to new clause 25.3.4</w:t>
            </w:r>
            <w:r>
              <w:rPr>
                <w:rFonts w:cstheme="minorHAnsi"/>
                <w:bCs/>
                <w:lang w:val="en-AU"/>
              </w:rPr>
              <w:t>(l)</w:t>
            </w:r>
            <w:r w:rsidRPr="00D30C58">
              <w:rPr>
                <w:rFonts w:cstheme="minorHAnsi"/>
                <w:bCs/>
                <w:lang w:val="en-AU"/>
              </w:rPr>
              <w:t xml:space="preserve"> in the </w:t>
            </w:r>
            <w:hyperlink r:id="rId31" w:history="1">
              <w:r w:rsidRPr="00BC6BD5">
                <w:rPr>
                  <w:rStyle w:val="Hyperlink"/>
                </w:rPr>
                <w:t>Electricity Distribution Code of Practice</w:t>
              </w:r>
            </w:hyperlink>
            <w:r>
              <w:t>.</w:t>
            </w:r>
          </w:p>
        </w:tc>
      </w:tr>
      <w:tr w:rsidR="00CA07FF" w:rsidRPr="00F457C9" w14:paraId="09B5E7B7" w14:textId="77777777" w:rsidTr="00223042">
        <w:trPr>
          <w:cnfStyle w:val="000000100000" w:firstRow="0" w:lastRow="0" w:firstColumn="0" w:lastColumn="0" w:oddVBand="0" w:evenVBand="0" w:oddHBand="1" w:evenHBand="0" w:firstRowFirstColumn="0" w:firstRowLastColumn="0" w:lastRowFirstColumn="0" w:lastRowLastColumn="0"/>
          <w:cantSplit/>
          <w:trHeight w:val="300"/>
        </w:trPr>
        <w:tc>
          <w:tcPr>
            <w:tcW w:w="7371" w:type="dxa"/>
          </w:tcPr>
          <w:p w14:paraId="1E01AEB9" w14:textId="77777777" w:rsidR="00CA07FF" w:rsidRPr="00F457C9" w:rsidRDefault="00CA07FF" w:rsidP="00CA07FF">
            <w:pPr>
              <w:pStyle w:val="TableBody"/>
              <w:rPr>
                <w:rFonts w:cstheme="minorHAnsi"/>
                <w:b/>
                <w:lang w:val="en-AU"/>
              </w:rPr>
            </w:pPr>
            <w:r w:rsidRPr="00F457C9">
              <w:rPr>
                <w:rFonts w:cstheme="minorHAnsi"/>
                <w:b/>
                <w:lang w:val="en-AU"/>
              </w:rPr>
              <w:t xml:space="preserve">5.3 Billing information </w:t>
            </w:r>
          </w:p>
          <w:p w14:paraId="4198A6CE" w14:textId="77777777" w:rsidR="00CA07FF" w:rsidRPr="00F457C9" w:rsidRDefault="00CA07FF" w:rsidP="00CA07FF">
            <w:pPr>
              <w:pStyle w:val="TableBody"/>
              <w:rPr>
                <w:rFonts w:cstheme="minorHAnsi"/>
                <w:bCs/>
                <w:lang w:val="en-AU"/>
              </w:rPr>
            </w:pPr>
            <w:r w:rsidRPr="00F457C9">
              <w:rPr>
                <w:rFonts w:cstheme="minorHAnsi"/>
                <w:bCs/>
                <w:lang w:val="en-AU"/>
              </w:rPr>
              <w:t xml:space="preserve">Bills provided by a </w:t>
            </w:r>
            <w:r w:rsidRPr="00F457C9">
              <w:rPr>
                <w:rFonts w:cstheme="minorHAnsi"/>
                <w:b/>
                <w:lang w:val="en-AU"/>
              </w:rPr>
              <w:t>distributor</w:t>
            </w:r>
            <w:r w:rsidRPr="00F457C9">
              <w:rPr>
                <w:rFonts w:cstheme="minorHAnsi"/>
                <w:bCs/>
                <w:lang w:val="en-AU"/>
              </w:rPr>
              <w:t xml:space="preserve"> must identify separately the charge for each type of </w:t>
            </w:r>
            <w:r w:rsidRPr="00F457C9">
              <w:rPr>
                <w:rFonts w:cstheme="minorHAnsi"/>
                <w:b/>
                <w:lang w:val="en-AU"/>
              </w:rPr>
              <w:t>public lighting service</w:t>
            </w:r>
            <w:r w:rsidRPr="00F457C9">
              <w:rPr>
                <w:rFonts w:cstheme="minorHAnsi"/>
                <w:bCs/>
                <w:lang w:val="en-AU"/>
              </w:rPr>
              <w:t xml:space="preserve"> provided and must contain at least the following information: </w:t>
            </w:r>
          </w:p>
          <w:p w14:paraId="0435E57B" w14:textId="1843FE23" w:rsidR="00CA07FF" w:rsidRPr="00F457C9" w:rsidRDefault="00CA07FF" w:rsidP="00CA07FF">
            <w:pPr>
              <w:pStyle w:val="TableBody"/>
              <w:rPr>
                <w:rFonts w:cstheme="minorHAnsi"/>
                <w:b/>
                <w:lang w:val="en-AU"/>
              </w:rPr>
            </w:pPr>
            <w:r w:rsidRPr="00F457C9">
              <w:rPr>
                <w:rFonts w:cstheme="minorHAnsi"/>
                <w:bCs/>
                <w:lang w:val="en-AU"/>
              </w:rPr>
              <w:t xml:space="preserve">(a) detail of the number and type of lights operated and maintained; and (b) any other information necessary for the </w:t>
            </w:r>
            <w:r w:rsidRPr="00F457C9">
              <w:rPr>
                <w:rFonts w:cstheme="minorHAnsi"/>
                <w:b/>
                <w:lang w:val="en-AU"/>
              </w:rPr>
              <w:t>public lighting customer</w:t>
            </w:r>
            <w:r w:rsidRPr="00F457C9">
              <w:rPr>
                <w:rFonts w:cstheme="minorHAnsi"/>
                <w:bCs/>
                <w:lang w:val="en-AU"/>
              </w:rPr>
              <w:t xml:space="preserve"> to verify the accuracy of an amount charged on the bill.</w:t>
            </w:r>
          </w:p>
        </w:tc>
        <w:tc>
          <w:tcPr>
            <w:tcW w:w="7341" w:type="dxa"/>
          </w:tcPr>
          <w:p w14:paraId="22B15FD3" w14:textId="1953CDDE" w:rsidR="00CA07FF" w:rsidRPr="00D30C58" w:rsidRDefault="00CA07FF" w:rsidP="00D30C58">
            <w:pPr>
              <w:pStyle w:val="TableBody"/>
              <w:rPr>
                <w:rFonts w:cstheme="minorHAnsi"/>
                <w:bCs/>
                <w:lang w:val="en-AU"/>
              </w:rPr>
            </w:pPr>
            <w:r w:rsidRPr="00D30C58">
              <w:rPr>
                <w:rFonts w:cstheme="minorHAnsi"/>
                <w:bCs/>
                <w:lang w:val="en-AU"/>
              </w:rPr>
              <w:t>We proposed to transfer clause 5.</w:t>
            </w:r>
            <w:r>
              <w:rPr>
                <w:rFonts w:cstheme="minorHAnsi"/>
                <w:bCs/>
                <w:lang w:val="en-AU"/>
              </w:rPr>
              <w:t xml:space="preserve">3 </w:t>
            </w:r>
            <w:r w:rsidRPr="00D30C58">
              <w:rPr>
                <w:rFonts w:cstheme="minorHAnsi"/>
                <w:bCs/>
                <w:lang w:val="en-AU"/>
              </w:rPr>
              <w:t>to new clause 25.3.4</w:t>
            </w:r>
            <w:r>
              <w:rPr>
                <w:rFonts w:cstheme="minorHAnsi"/>
                <w:bCs/>
                <w:lang w:val="en-AU"/>
              </w:rPr>
              <w:t>(k)</w:t>
            </w:r>
            <w:r w:rsidRPr="00D30C58">
              <w:rPr>
                <w:rFonts w:cstheme="minorHAnsi"/>
                <w:bCs/>
                <w:lang w:val="en-AU"/>
              </w:rPr>
              <w:t xml:space="preserve"> in the </w:t>
            </w:r>
            <w:hyperlink r:id="rId32" w:history="1">
              <w:r w:rsidRPr="00BC6BD5">
                <w:rPr>
                  <w:rStyle w:val="Hyperlink"/>
                </w:rPr>
                <w:t>Electricity Distribution Code of Practice</w:t>
              </w:r>
            </w:hyperlink>
            <w:r>
              <w:t>.</w:t>
            </w:r>
          </w:p>
        </w:tc>
      </w:tr>
      <w:tr w:rsidR="00D30C58" w:rsidRPr="00F457C9" w14:paraId="5CED4010" w14:textId="77777777" w:rsidTr="00223042">
        <w:trPr>
          <w:cnfStyle w:val="000000010000" w:firstRow="0" w:lastRow="0" w:firstColumn="0" w:lastColumn="0" w:oddVBand="0" w:evenVBand="0" w:oddHBand="0" w:evenHBand="1" w:firstRowFirstColumn="0" w:firstRowLastColumn="0" w:lastRowFirstColumn="0" w:lastRowLastColumn="0"/>
          <w:cantSplit/>
          <w:trHeight w:val="300"/>
        </w:trPr>
        <w:tc>
          <w:tcPr>
            <w:tcW w:w="7371" w:type="dxa"/>
          </w:tcPr>
          <w:p w14:paraId="023BB148" w14:textId="77777777" w:rsidR="00CA07FF" w:rsidRPr="00F457C9" w:rsidRDefault="00CA07FF" w:rsidP="00CA07FF">
            <w:pPr>
              <w:pStyle w:val="TableBody"/>
              <w:rPr>
                <w:rFonts w:cstheme="minorHAnsi"/>
                <w:b/>
                <w:lang w:val="en-AU"/>
              </w:rPr>
            </w:pPr>
            <w:r w:rsidRPr="00F457C9">
              <w:rPr>
                <w:rFonts w:cstheme="minorHAnsi"/>
                <w:b/>
                <w:lang w:val="en-AU"/>
              </w:rPr>
              <w:t xml:space="preserve">5.4 Energy procurement information </w:t>
            </w:r>
          </w:p>
          <w:p w14:paraId="0C2E09EB" w14:textId="470CB940" w:rsidR="00D30C58" w:rsidRPr="00F457C9" w:rsidRDefault="00CA07FF" w:rsidP="00CA07FF">
            <w:pPr>
              <w:pStyle w:val="TableBody"/>
              <w:rPr>
                <w:rFonts w:cstheme="minorHAnsi"/>
                <w:bCs/>
                <w:lang w:val="en-AU"/>
              </w:rPr>
            </w:pPr>
            <w:r w:rsidRPr="00F457C9">
              <w:rPr>
                <w:rFonts w:cstheme="minorHAnsi"/>
                <w:bCs/>
                <w:lang w:val="en-AU"/>
              </w:rPr>
              <w:t xml:space="preserve">A </w:t>
            </w:r>
            <w:r w:rsidRPr="00F457C9">
              <w:rPr>
                <w:rFonts w:cstheme="minorHAnsi"/>
                <w:b/>
                <w:lang w:val="en-AU"/>
              </w:rPr>
              <w:t>distributor</w:t>
            </w:r>
            <w:r w:rsidRPr="00F457C9">
              <w:rPr>
                <w:rFonts w:cstheme="minorHAnsi"/>
                <w:bCs/>
                <w:lang w:val="en-AU"/>
              </w:rPr>
              <w:t xml:space="preserve"> must promptly provide to the </w:t>
            </w:r>
            <w:r w:rsidRPr="00F457C9">
              <w:rPr>
                <w:rFonts w:cstheme="minorHAnsi"/>
                <w:b/>
                <w:lang w:val="en-AU"/>
              </w:rPr>
              <w:t>public lighting customer</w:t>
            </w:r>
            <w:r w:rsidRPr="00F457C9">
              <w:rPr>
                <w:rFonts w:cstheme="minorHAnsi"/>
                <w:bCs/>
                <w:lang w:val="en-AU"/>
              </w:rPr>
              <w:t xml:space="preserve"> or the </w:t>
            </w:r>
            <w:r w:rsidRPr="00F457C9">
              <w:rPr>
                <w:rFonts w:cstheme="minorHAnsi"/>
                <w:b/>
                <w:lang w:val="en-AU"/>
              </w:rPr>
              <w:t>public lighting customer’s retailer</w:t>
            </w:r>
            <w:r w:rsidRPr="00F457C9">
              <w:rPr>
                <w:rFonts w:cstheme="minorHAnsi"/>
                <w:bCs/>
                <w:lang w:val="en-AU"/>
              </w:rPr>
              <w:t xml:space="preserve"> any information held by the </w:t>
            </w:r>
            <w:r w:rsidRPr="00F457C9">
              <w:rPr>
                <w:rFonts w:cstheme="minorHAnsi"/>
                <w:b/>
                <w:lang w:val="en-AU"/>
              </w:rPr>
              <w:t>Distributor</w:t>
            </w:r>
            <w:r w:rsidRPr="00F457C9">
              <w:rPr>
                <w:rFonts w:cstheme="minorHAnsi"/>
                <w:bCs/>
                <w:lang w:val="en-AU"/>
              </w:rPr>
              <w:t xml:space="preserve"> which a </w:t>
            </w:r>
            <w:r w:rsidRPr="00F457C9">
              <w:rPr>
                <w:rFonts w:cstheme="minorHAnsi"/>
                <w:b/>
                <w:lang w:val="en-AU"/>
              </w:rPr>
              <w:t>public lighting customer</w:t>
            </w:r>
            <w:r w:rsidRPr="00F457C9">
              <w:rPr>
                <w:rFonts w:cstheme="minorHAnsi"/>
                <w:bCs/>
                <w:lang w:val="en-AU"/>
              </w:rPr>
              <w:t xml:space="preserve"> or a </w:t>
            </w:r>
            <w:r w:rsidRPr="00F457C9">
              <w:rPr>
                <w:rFonts w:cstheme="minorHAnsi"/>
                <w:b/>
                <w:lang w:val="en-AU"/>
              </w:rPr>
              <w:t>public lighting customer’s retailer</w:t>
            </w:r>
            <w:r w:rsidRPr="00F457C9">
              <w:rPr>
                <w:rFonts w:cstheme="minorHAnsi"/>
                <w:bCs/>
                <w:lang w:val="en-AU"/>
              </w:rPr>
              <w:t xml:space="preserve"> needs in order for the </w:t>
            </w:r>
            <w:r w:rsidRPr="00F457C9">
              <w:rPr>
                <w:rFonts w:cstheme="minorHAnsi"/>
                <w:b/>
                <w:lang w:val="en-AU"/>
              </w:rPr>
              <w:t>public lighting customer</w:t>
            </w:r>
            <w:r w:rsidRPr="00F457C9">
              <w:rPr>
                <w:rFonts w:cstheme="minorHAnsi"/>
                <w:bCs/>
                <w:lang w:val="en-AU"/>
              </w:rPr>
              <w:t xml:space="preserve"> to purchase the electricity required for operation of the public lighting directly from a </w:t>
            </w:r>
            <w:r w:rsidRPr="00F457C9">
              <w:rPr>
                <w:rFonts w:cstheme="minorHAnsi"/>
                <w:b/>
                <w:lang w:val="en-AU"/>
              </w:rPr>
              <w:t>retailer</w:t>
            </w:r>
            <w:r w:rsidRPr="00F457C9">
              <w:rPr>
                <w:rFonts w:cstheme="minorHAnsi"/>
                <w:bCs/>
                <w:lang w:val="en-AU"/>
              </w:rPr>
              <w:t xml:space="preserve"> or the wholesale electricity market (in accordance with its right under clause 9.4 of </w:t>
            </w:r>
            <w:r w:rsidRPr="00F457C9">
              <w:rPr>
                <w:rFonts w:cstheme="minorHAnsi"/>
                <w:b/>
                <w:lang w:val="en-AU"/>
              </w:rPr>
              <w:t>distribution licences</w:t>
            </w:r>
            <w:r w:rsidRPr="00F457C9">
              <w:rPr>
                <w:rFonts w:cstheme="minorHAnsi"/>
                <w:bCs/>
                <w:lang w:val="en-AU"/>
              </w:rPr>
              <w:t>).</w:t>
            </w:r>
          </w:p>
        </w:tc>
        <w:tc>
          <w:tcPr>
            <w:tcW w:w="7341" w:type="dxa"/>
          </w:tcPr>
          <w:p w14:paraId="5D3F3551" w14:textId="2EDA65E7" w:rsidR="00D30C58" w:rsidRPr="00D30C58" w:rsidRDefault="00D30C58" w:rsidP="00D30C58">
            <w:pPr>
              <w:pStyle w:val="TableBody"/>
              <w:rPr>
                <w:rFonts w:cstheme="minorHAnsi"/>
                <w:bCs/>
                <w:highlight w:val="yellow"/>
              </w:rPr>
            </w:pPr>
            <w:r w:rsidRPr="00D30C58">
              <w:rPr>
                <w:rFonts w:cstheme="minorHAnsi"/>
                <w:bCs/>
                <w:lang w:val="en-AU"/>
              </w:rPr>
              <w:t>We proposed to transfer clause 5.</w:t>
            </w:r>
            <w:r w:rsidR="00CA07FF">
              <w:rPr>
                <w:rFonts w:cstheme="minorHAnsi"/>
                <w:bCs/>
                <w:lang w:val="en-AU"/>
              </w:rPr>
              <w:t>4</w:t>
            </w:r>
            <w:r>
              <w:rPr>
                <w:rFonts w:cstheme="minorHAnsi"/>
                <w:bCs/>
                <w:lang w:val="en-AU"/>
              </w:rPr>
              <w:t xml:space="preserve"> </w:t>
            </w:r>
            <w:r w:rsidRPr="00D30C58">
              <w:rPr>
                <w:rFonts w:cstheme="minorHAnsi"/>
                <w:bCs/>
                <w:lang w:val="en-AU"/>
              </w:rPr>
              <w:t>to new clause 25.3.4</w:t>
            </w:r>
            <w:r>
              <w:rPr>
                <w:rFonts w:cstheme="minorHAnsi"/>
                <w:bCs/>
                <w:lang w:val="en-AU"/>
              </w:rPr>
              <w:t>(</w:t>
            </w:r>
            <w:r w:rsidR="00CA07FF">
              <w:rPr>
                <w:rFonts w:cstheme="minorHAnsi"/>
                <w:bCs/>
                <w:lang w:val="en-AU"/>
              </w:rPr>
              <w:t>j</w:t>
            </w:r>
            <w:r>
              <w:rPr>
                <w:rFonts w:cstheme="minorHAnsi"/>
                <w:bCs/>
                <w:lang w:val="en-AU"/>
              </w:rPr>
              <w:t>)</w:t>
            </w:r>
            <w:r w:rsidRPr="00D30C58">
              <w:rPr>
                <w:rFonts w:cstheme="minorHAnsi"/>
                <w:bCs/>
                <w:lang w:val="en-AU"/>
              </w:rPr>
              <w:t xml:space="preserve"> in the </w:t>
            </w:r>
            <w:hyperlink r:id="rId33" w:history="1">
              <w:r w:rsidRPr="00BC6BD5">
                <w:rPr>
                  <w:rStyle w:val="Hyperlink"/>
                </w:rPr>
                <w:t>Electricity Distribution Code of Practice</w:t>
              </w:r>
            </w:hyperlink>
            <w:r>
              <w:t>.</w:t>
            </w:r>
          </w:p>
        </w:tc>
      </w:tr>
      <w:tr w:rsidR="00D30C58" w:rsidRPr="00F457C9" w14:paraId="70890913" w14:textId="77777777" w:rsidTr="00223042">
        <w:trPr>
          <w:cnfStyle w:val="000000100000" w:firstRow="0" w:lastRow="0" w:firstColumn="0" w:lastColumn="0" w:oddVBand="0" w:evenVBand="0" w:oddHBand="1" w:evenHBand="0" w:firstRowFirstColumn="0" w:firstRowLastColumn="0" w:lastRowFirstColumn="0" w:lastRowLastColumn="0"/>
          <w:cantSplit/>
          <w:trHeight w:val="300"/>
        </w:trPr>
        <w:tc>
          <w:tcPr>
            <w:tcW w:w="14712" w:type="dxa"/>
            <w:gridSpan w:val="2"/>
            <w:vAlign w:val="center"/>
          </w:tcPr>
          <w:p w14:paraId="39BBB12E" w14:textId="180393F6" w:rsidR="00D30C58" w:rsidRPr="00F457C9" w:rsidRDefault="00D30C58" w:rsidP="00D30C58">
            <w:pPr>
              <w:pStyle w:val="TableBody"/>
              <w:jc w:val="center"/>
              <w:rPr>
                <w:rFonts w:cstheme="minorHAnsi"/>
                <w:b/>
                <w:highlight w:val="yellow"/>
              </w:rPr>
            </w:pPr>
            <w:r w:rsidRPr="00F457C9">
              <w:rPr>
                <w:rFonts w:cstheme="minorHAnsi"/>
                <w:b/>
                <w:lang w:val="en-AU"/>
              </w:rPr>
              <w:t>6. BILLING</w:t>
            </w:r>
          </w:p>
        </w:tc>
      </w:tr>
      <w:tr w:rsidR="00D30C58" w:rsidRPr="00F457C9" w14:paraId="05AAE2D5" w14:textId="77777777" w:rsidTr="00223042">
        <w:trPr>
          <w:cnfStyle w:val="000000010000" w:firstRow="0" w:lastRow="0" w:firstColumn="0" w:lastColumn="0" w:oddVBand="0" w:evenVBand="0" w:oddHBand="0" w:evenHBand="1" w:firstRowFirstColumn="0" w:firstRowLastColumn="0" w:lastRowFirstColumn="0" w:lastRowLastColumn="0"/>
          <w:cantSplit/>
          <w:trHeight w:val="300"/>
        </w:trPr>
        <w:tc>
          <w:tcPr>
            <w:tcW w:w="7371" w:type="dxa"/>
          </w:tcPr>
          <w:p w14:paraId="4E442688" w14:textId="36851539" w:rsidR="00D30C58" w:rsidRPr="00F457C9" w:rsidRDefault="00D30C58" w:rsidP="00D30C58">
            <w:pPr>
              <w:pStyle w:val="TableBody"/>
              <w:rPr>
                <w:rFonts w:cstheme="minorHAnsi"/>
                <w:bCs/>
                <w:lang w:val="en-AU"/>
              </w:rPr>
            </w:pPr>
            <w:r w:rsidRPr="00F457C9">
              <w:rPr>
                <w:rFonts w:cstheme="minorHAnsi"/>
                <w:bCs/>
                <w:lang w:val="en-AU"/>
              </w:rPr>
              <w:lastRenderedPageBreak/>
              <w:t xml:space="preserve">Where a </w:t>
            </w:r>
            <w:r w:rsidRPr="00F457C9">
              <w:rPr>
                <w:rFonts w:cstheme="minorHAnsi"/>
                <w:b/>
                <w:lang w:val="en-AU"/>
              </w:rPr>
              <w:t>public lighting customer</w:t>
            </w:r>
            <w:r w:rsidRPr="00F457C9">
              <w:rPr>
                <w:rFonts w:cstheme="minorHAnsi"/>
                <w:bCs/>
                <w:lang w:val="en-AU"/>
              </w:rPr>
              <w:t xml:space="preserve"> does not have an agreement with a retailer for </w:t>
            </w:r>
            <w:r w:rsidRPr="00F457C9">
              <w:rPr>
                <w:rFonts w:cstheme="minorHAnsi"/>
                <w:b/>
                <w:lang w:val="en-AU"/>
              </w:rPr>
              <w:t>billing all public lighting services</w:t>
            </w:r>
            <w:r w:rsidRPr="00F457C9">
              <w:rPr>
                <w:rFonts w:cstheme="minorHAnsi"/>
                <w:bCs/>
                <w:lang w:val="en-AU"/>
              </w:rPr>
              <w:t xml:space="preserve"> other than installation of new </w:t>
            </w:r>
            <w:r w:rsidRPr="00F457C9">
              <w:rPr>
                <w:rFonts w:cstheme="minorHAnsi"/>
                <w:b/>
                <w:lang w:val="en-AU"/>
              </w:rPr>
              <w:t>public lighting assets</w:t>
            </w:r>
            <w:r w:rsidRPr="00F457C9">
              <w:rPr>
                <w:rFonts w:cstheme="minorHAnsi"/>
                <w:bCs/>
                <w:lang w:val="en-AU"/>
              </w:rPr>
              <w:t xml:space="preserve">, the </w:t>
            </w:r>
            <w:r w:rsidRPr="00F457C9">
              <w:rPr>
                <w:rFonts w:cstheme="minorHAnsi"/>
                <w:b/>
                <w:lang w:val="en-AU"/>
              </w:rPr>
              <w:t>distributor</w:t>
            </w:r>
            <w:r w:rsidRPr="00F457C9">
              <w:rPr>
                <w:rFonts w:cstheme="minorHAnsi"/>
                <w:bCs/>
                <w:lang w:val="en-AU"/>
              </w:rPr>
              <w:t xml:space="preserve"> must issue a bill to a </w:t>
            </w:r>
            <w:r w:rsidRPr="00F457C9">
              <w:rPr>
                <w:rFonts w:cstheme="minorHAnsi"/>
                <w:b/>
                <w:lang w:val="en-AU"/>
              </w:rPr>
              <w:t>public lighting customer</w:t>
            </w:r>
            <w:r w:rsidRPr="00F457C9">
              <w:rPr>
                <w:rFonts w:cstheme="minorHAnsi"/>
                <w:bCs/>
                <w:lang w:val="en-AU"/>
              </w:rPr>
              <w:t xml:space="preserve"> each month, specifying a pay by date which must be not less than 12 </w:t>
            </w:r>
            <w:r w:rsidRPr="00F457C9">
              <w:rPr>
                <w:rFonts w:cstheme="minorHAnsi"/>
                <w:b/>
                <w:lang w:val="en-AU"/>
              </w:rPr>
              <w:t>business days</w:t>
            </w:r>
            <w:r w:rsidRPr="00F457C9">
              <w:rPr>
                <w:rFonts w:cstheme="minorHAnsi"/>
                <w:bCs/>
                <w:lang w:val="en-AU"/>
              </w:rPr>
              <w:t xml:space="preserve"> after the date of dispatch.</w:t>
            </w:r>
          </w:p>
        </w:tc>
        <w:tc>
          <w:tcPr>
            <w:tcW w:w="7341" w:type="dxa"/>
          </w:tcPr>
          <w:p w14:paraId="0CBD82CE" w14:textId="65F50DA6" w:rsidR="00FA1008" w:rsidRDefault="00806885" w:rsidP="00D30C58">
            <w:pPr>
              <w:spacing w:before="0" w:line="240" w:lineRule="auto"/>
              <w:rPr>
                <w:rFonts w:cstheme="minorHAnsi"/>
                <w:color w:val="000000"/>
              </w:rPr>
            </w:pPr>
            <w:r w:rsidRPr="00806885">
              <w:rPr>
                <w:rFonts w:cstheme="minorHAnsi"/>
                <w:color w:val="000000"/>
              </w:rPr>
              <w:t xml:space="preserve">We consider this clause to be </w:t>
            </w:r>
            <w:r w:rsidR="00690B16" w:rsidRPr="00806885">
              <w:rPr>
                <w:rFonts w:cstheme="minorHAnsi"/>
                <w:color w:val="000000"/>
              </w:rPr>
              <w:t>redundant or</w:t>
            </w:r>
            <w:r w:rsidRPr="00806885">
              <w:rPr>
                <w:rFonts w:cstheme="minorHAnsi"/>
                <w:color w:val="000000"/>
              </w:rPr>
              <w:t xml:space="preserve"> superseded by other regulations</w:t>
            </w:r>
            <w:r w:rsidR="00FA1008">
              <w:rPr>
                <w:rFonts w:cstheme="minorHAnsi"/>
                <w:color w:val="000000"/>
              </w:rPr>
              <w:t>.</w:t>
            </w:r>
          </w:p>
          <w:p w14:paraId="024E15CE" w14:textId="77777777" w:rsidR="00D30C58" w:rsidRDefault="00D30C58" w:rsidP="00D30C58">
            <w:pPr>
              <w:pStyle w:val="TableBody"/>
              <w:rPr>
                <w:rFonts w:cstheme="minorHAnsi"/>
                <w:bCs/>
              </w:rPr>
            </w:pPr>
          </w:p>
          <w:p w14:paraId="27871E87" w14:textId="6B458A8E" w:rsidR="00803D56" w:rsidRPr="00B82E2B" w:rsidRDefault="00094DCC" w:rsidP="00094DCC">
            <w:pPr>
              <w:pStyle w:val="TableBody"/>
              <w:rPr>
                <w:rFonts w:cstheme="minorHAnsi"/>
                <w:bCs/>
              </w:rPr>
            </w:pPr>
            <w:r w:rsidRPr="62027685">
              <w:rPr>
                <w:lang w:val="en-AU"/>
              </w:rPr>
              <w:t xml:space="preserve">We </w:t>
            </w:r>
            <w:r w:rsidR="00973A6E" w:rsidRPr="62027685">
              <w:rPr>
                <w:lang w:val="en-AU"/>
              </w:rPr>
              <w:t>understand</w:t>
            </w:r>
            <w:r w:rsidRPr="62027685">
              <w:rPr>
                <w:lang w:val="en-AU"/>
              </w:rPr>
              <w:t xml:space="preserve"> that un-metered connection</w:t>
            </w:r>
            <w:r w:rsidR="00A4678C" w:rsidRPr="62027685">
              <w:rPr>
                <w:lang w:val="en-AU"/>
              </w:rPr>
              <w:t>s</w:t>
            </w:r>
            <w:r w:rsidRPr="62027685">
              <w:rPr>
                <w:lang w:val="en-AU"/>
              </w:rPr>
              <w:t xml:space="preserve"> without a retail</w:t>
            </w:r>
            <w:r w:rsidR="00F956B7" w:rsidRPr="62027685">
              <w:rPr>
                <w:lang w:val="en-AU"/>
              </w:rPr>
              <w:t>er</w:t>
            </w:r>
            <w:r w:rsidRPr="62027685">
              <w:rPr>
                <w:lang w:val="en-AU"/>
              </w:rPr>
              <w:t xml:space="preserve"> </w:t>
            </w:r>
            <w:r w:rsidR="00A4678C" w:rsidRPr="62027685">
              <w:rPr>
                <w:lang w:val="en-AU"/>
              </w:rPr>
              <w:t xml:space="preserve">were a historical practice, but no longer occurs. </w:t>
            </w:r>
            <w:r>
              <w:rPr>
                <w:rFonts w:cstheme="minorHAnsi"/>
                <w:bCs/>
              </w:rPr>
              <w:t xml:space="preserve">Where </w:t>
            </w:r>
            <w:r w:rsidR="00A4678C">
              <w:rPr>
                <w:rFonts w:cstheme="minorHAnsi"/>
                <w:bCs/>
              </w:rPr>
              <w:t>similar</w:t>
            </w:r>
            <w:r>
              <w:rPr>
                <w:rFonts w:cstheme="minorHAnsi"/>
                <w:bCs/>
              </w:rPr>
              <w:t xml:space="preserve"> arrangements exist, t</w:t>
            </w:r>
            <w:r w:rsidR="00B82E2B">
              <w:rPr>
                <w:rFonts w:cstheme="minorHAnsi"/>
                <w:bCs/>
              </w:rPr>
              <w:t>he Electricity Distribution Code of Practice, clause 1.5 (variation of agreement with large customers</w:t>
            </w:r>
            <w:r w:rsidR="00F956B7">
              <w:rPr>
                <w:rFonts w:cstheme="minorHAnsi"/>
                <w:bCs/>
              </w:rPr>
              <w:t>)</w:t>
            </w:r>
            <w:r w:rsidR="00B82E2B">
              <w:rPr>
                <w:rFonts w:cstheme="minorHAnsi"/>
                <w:bCs/>
              </w:rPr>
              <w:t xml:space="preserve"> enable</w:t>
            </w:r>
            <w:r w:rsidR="00F956B7">
              <w:rPr>
                <w:rFonts w:cstheme="minorHAnsi"/>
                <w:bCs/>
              </w:rPr>
              <w:t>s</w:t>
            </w:r>
            <w:r w:rsidR="00B82E2B">
              <w:rPr>
                <w:rFonts w:cstheme="minorHAnsi"/>
                <w:bCs/>
              </w:rPr>
              <w:t xml:space="preserve"> bespoke commercial agreements between </w:t>
            </w:r>
            <w:r w:rsidR="005105B5">
              <w:rPr>
                <w:rFonts w:cstheme="minorHAnsi"/>
                <w:bCs/>
              </w:rPr>
              <w:t>distributors and larger customers</w:t>
            </w:r>
            <w:r w:rsidR="00B82E2B">
              <w:rPr>
                <w:rFonts w:cstheme="minorHAnsi"/>
                <w:bCs/>
              </w:rPr>
              <w:t>.</w:t>
            </w:r>
          </w:p>
        </w:tc>
      </w:tr>
      <w:tr w:rsidR="00D30C58" w:rsidRPr="00F457C9" w14:paraId="4C464B43" w14:textId="77777777" w:rsidTr="00223042">
        <w:trPr>
          <w:cnfStyle w:val="000000100000" w:firstRow="0" w:lastRow="0" w:firstColumn="0" w:lastColumn="0" w:oddVBand="0" w:evenVBand="0" w:oddHBand="1" w:evenHBand="0" w:firstRowFirstColumn="0" w:firstRowLastColumn="0" w:lastRowFirstColumn="0" w:lastRowLastColumn="0"/>
          <w:cantSplit/>
          <w:trHeight w:val="300"/>
        </w:trPr>
        <w:tc>
          <w:tcPr>
            <w:tcW w:w="14712" w:type="dxa"/>
            <w:gridSpan w:val="2"/>
            <w:vAlign w:val="center"/>
          </w:tcPr>
          <w:p w14:paraId="396E01C2" w14:textId="614DA153" w:rsidR="00D30C58" w:rsidRPr="00F457C9" w:rsidRDefault="00D30C58" w:rsidP="00D30C58">
            <w:pPr>
              <w:pStyle w:val="TableBody"/>
              <w:jc w:val="center"/>
              <w:rPr>
                <w:rFonts w:cstheme="minorHAnsi"/>
                <w:b/>
                <w:highlight w:val="yellow"/>
              </w:rPr>
            </w:pPr>
            <w:r w:rsidRPr="00803D56">
              <w:rPr>
                <w:rFonts w:cstheme="minorHAnsi"/>
                <w:b/>
                <w:lang w:val="en-AU"/>
              </w:rPr>
              <w:t>7. DISPUTE RESOLUTION</w:t>
            </w:r>
          </w:p>
        </w:tc>
      </w:tr>
      <w:tr w:rsidR="00B51E4E" w:rsidRPr="00F457C9" w14:paraId="58B61C8F" w14:textId="77777777" w:rsidTr="00223042">
        <w:trPr>
          <w:cnfStyle w:val="000000010000" w:firstRow="0" w:lastRow="0" w:firstColumn="0" w:lastColumn="0" w:oddVBand="0" w:evenVBand="0" w:oddHBand="0" w:evenHBand="1" w:firstRowFirstColumn="0" w:firstRowLastColumn="0" w:lastRowFirstColumn="0" w:lastRowLastColumn="0"/>
          <w:cantSplit/>
          <w:trHeight w:val="300"/>
        </w:trPr>
        <w:tc>
          <w:tcPr>
            <w:tcW w:w="7371" w:type="dxa"/>
          </w:tcPr>
          <w:p w14:paraId="3DC84667" w14:textId="77777777" w:rsidR="00B51E4E" w:rsidRPr="00F457C9" w:rsidRDefault="00B51E4E" w:rsidP="00D30C58">
            <w:pPr>
              <w:pStyle w:val="TableBody"/>
              <w:rPr>
                <w:rFonts w:cstheme="minorHAnsi"/>
                <w:b/>
                <w:lang w:val="en-AU"/>
              </w:rPr>
            </w:pPr>
            <w:r w:rsidRPr="00F457C9">
              <w:rPr>
                <w:rFonts w:cstheme="minorHAnsi"/>
                <w:b/>
                <w:lang w:val="en-AU"/>
              </w:rPr>
              <w:t xml:space="preserve">7.1 Standard for dispute resolution </w:t>
            </w:r>
          </w:p>
          <w:p w14:paraId="4C571774" w14:textId="6C3EBC3C" w:rsidR="00B51E4E" w:rsidRPr="00F457C9" w:rsidRDefault="00B51E4E" w:rsidP="00D30C58">
            <w:pPr>
              <w:pStyle w:val="TableBody"/>
              <w:rPr>
                <w:rFonts w:cstheme="minorHAnsi"/>
                <w:bCs/>
                <w:lang w:val="en-AU"/>
              </w:rPr>
            </w:pPr>
            <w:r w:rsidRPr="00F457C9">
              <w:rPr>
                <w:rFonts w:cstheme="minorHAnsi"/>
                <w:bCs/>
                <w:lang w:val="en-AU"/>
              </w:rPr>
              <w:t xml:space="preserve">A </w:t>
            </w:r>
            <w:r w:rsidRPr="00F457C9">
              <w:rPr>
                <w:rFonts w:cstheme="minorHAnsi"/>
                <w:b/>
                <w:lang w:val="en-AU"/>
              </w:rPr>
              <w:t>distributor</w:t>
            </w:r>
            <w:r w:rsidRPr="00F457C9">
              <w:rPr>
                <w:rFonts w:cstheme="minorHAnsi"/>
                <w:bCs/>
                <w:lang w:val="en-AU"/>
              </w:rPr>
              <w:t xml:space="preserve"> must handle a </w:t>
            </w:r>
            <w:r w:rsidRPr="00F457C9">
              <w:rPr>
                <w:rFonts w:cstheme="minorHAnsi"/>
                <w:b/>
                <w:lang w:val="en-AU"/>
              </w:rPr>
              <w:t>complaint</w:t>
            </w:r>
            <w:r w:rsidRPr="00F457C9">
              <w:rPr>
                <w:rFonts w:cstheme="minorHAnsi"/>
                <w:bCs/>
                <w:lang w:val="en-AU"/>
              </w:rPr>
              <w:t xml:space="preserve"> by a </w:t>
            </w:r>
            <w:r w:rsidRPr="00F457C9">
              <w:rPr>
                <w:rFonts w:cstheme="minorHAnsi"/>
                <w:b/>
                <w:lang w:val="en-AU"/>
              </w:rPr>
              <w:t>public lighting customer</w:t>
            </w:r>
            <w:r w:rsidRPr="00F457C9">
              <w:rPr>
                <w:rFonts w:cstheme="minorHAnsi"/>
                <w:bCs/>
                <w:lang w:val="en-AU"/>
              </w:rPr>
              <w:t xml:space="preserve"> in accordance with the relevant Australian Standard on Complaints Handling or the ‘Benchmark for Industry Based Customer Dispute Resolution Schemes’ published by the Commonwealth Department of Industry, Science and Tourism.</w:t>
            </w:r>
          </w:p>
        </w:tc>
        <w:tc>
          <w:tcPr>
            <w:tcW w:w="7341" w:type="dxa"/>
            <w:vMerge w:val="restart"/>
          </w:tcPr>
          <w:p w14:paraId="61CB9D42" w14:textId="3F54423B" w:rsidR="00FA1008" w:rsidRPr="00C030F0" w:rsidRDefault="00806885" w:rsidP="00C030F0">
            <w:pPr>
              <w:pStyle w:val="TableBody"/>
              <w:rPr>
                <w:rFonts w:cstheme="minorHAnsi"/>
                <w:bCs/>
              </w:rPr>
            </w:pPr>
            <w:r w:rsidRPr="00806885">
              <w:rPr>
                <w:rFonts w:cstheme="minorHAnsi"/>
                <w:bCs/>
                <w:lang w:val="en-AU"/>
              </w:rPr>
              <w:t xml:space="preserve">We consider this clause to be </w:t>
            </w:r>
            <w:r w:rsidR="00690B16" w:rsidRPr="00806885">
              <w:rPr>
                <w:rFonts w:cstheme="minorHAnsi"/>
                <w:bCs/>
                <w:lang w:val="en-AU"/>
              </w:rPr>
              <w:t>redundant or</w:t>
            </w:r>
            <w:r w:rsidRPr="00806885">
              <w:rPr>
                <w:rFonts w:cstheme="minorHAnsi"/>
                <w:bCs/>
                <w:lang w:val="en-AU"/>
              </w:rPr>
              <w:t xml:space="preserve"> superseded by other regulations</w:t>
            </w:r>
            <w:r>
              <w:rPr>
                <w:rFonts w:cstheme="minorHAnsi"/>
                <w:bCs/>
                <w:lang w:val="en-AU"/>
              </w:rPr>
              <w:t>.</w:t>
            </w:r>
          </w:p>
          <w:p w14:paraId="6FE8EC83" w14:textId="77777777" w:rsidR="00B51E4E" w:rsidRPr="00C030F0" w:rsidRDefault="00B51E4E" w:rsidP="00C030F0">
            <w:pPr>
              <w:pStyle w:val="TableBody"/>
              <w:rPr>
                <w:rFonts w:cstheme="minorHAnsi"/>
                <w:bCs/>
              </w:rPr>
            </w:pPr>
          </w:p>
          <w:p w14:paraId="0E2617CD" w14:textId="77777777" w:rsidR="00B51E4E" w:rsidRDefault="00B51E4E" w:rsidP="00C030F0">
            <w:pPr>
              <w:pStyle w:val="TableBody"/>
              <w:rPr>
                <w:rFonts w:cstheme="minorHAnsi"/>
                <w:bCs/>
              </w:rPr>
            </w:pPr>
            <w:r>
              <w:rPr>
                <w:rFonts w:cstheme="minorHAnsi"/>
                <w:bCs/>
              </w:rPr>
              <w:t xml:space="preserve">We note the Electricity Distribution Code of Practice </w:t>
            </w:r>
            <w:r w:rsidRPr="00C030F0">
              <w:rPr>
                <w:rFonts w:cstheme="minorHAnsi"/>
                <w:bCs/>
              </w:rPr>
              <w:t xml:space="preserve">section 18 </w:t>
            </w:r>
            <w:r>
              <w:rPr>
                <w:rFonts w:cstheme="minorHAnsi"/>
                <w:bCs/>
              </w:rPr>
              <w:t>has existing provisions for d</w:t>
            </w:r>
            <w:r w:rsidRPr="00C030F0">
              <w:rPr>
                <w:rFonts w:cstheme="minorHAnsi"/>
                <w:bCs/>
              </w:rPr>
              <w:t>ispute resolution framework</w:t>
            </w:r>
            <w:r>
              <w:rPr>
                <w:rFonts w:cstheme="minorHAnsi"/>
                <w:bCs/>
              </w:rPr>
              <w:t>.</w:t>
            </w:r>
          </w:p>
          <w:p w14:paraId="4FCD692C" w14:textId="77777777" w:rsidR="00B51E4E" w:rsidRDefault="00B51E4E" w:rsidP="00C030F0">
            <w:pPr>
              <w:pStyle w:val="TableBody"/>
              <w:rPr>
                <w:rFonts w:cstheme="minorHAnsi"/>
                <w:bCs/>
                <w:highlight w:val="yellow"/>
              </w:rPr>
            </w:pPr>
          </w:p>
          <w:p w14:paraId="442BA06C" w14:textId="6FC849ED" w:rsidR="00B51E4E" w:rsidRPr="00C030F0" w:rsidRDefault="00B51E4E" w:rsidP="00C030F0">
            <w:pPr>
              <w:pStyle w:val="TableBody"/>
              <w:rPr>
                <w:rFonts w:cstheme="minorHAnsi"/>
                <w:bCs/>
                <w:highlight w:val="yellow"/>
              </w:rPr>
            </w:pPr>
            <w:r w:rsidRPr="00B51E4E">
              <w:rPr>
                <w:rFonts w:cstheme="minorHAnsi"/>
                <w:bCs/>
              </w:rPr>
              <w:t xml:space="preserve">We consider </w:t>
            </w:r>
            <w:r>
              <w:rPr>
                <w:rFonts w:cstheme="minorHAnsi"/>
                <w:bCs/>
              </w:rPr>
              <w:t>clauses 7.1 and 7.2 to be duplicated and superseded.</w:t>
            </w:r>
          </w:p>
        </w:tc>
      </w:tr>
      <w:tr w:rsidR="00B51E4E" w:rsidRPr="00F457C9" w14:paraId="475E4A38" w14:textId="77777777" w:rsidTr="00223042">
        <w:trPr>
          <w:cnfStyle w:val="000000100000" w:firstRow="0" w:lastRow="0" w:firstColumn="0" w:lastColumn="0" w:oddVBand="0" w:evenVBand="0" w:oddHBand="1" w:evenHBand="0" w:firstRowFirstColumn="0" w:firstRowLastColumn="0" w:lastRowFirstColumn="0" w:lastRowLastColumn="0"/>
          <w:cantSplit/>
          <w:trHeight w:val="300"/>
        </w:trPr>
        <w:tc>
          <w:tcPr>
            <w:tcW w:w="7371" w:type="dxa"/>
          </w:tcPr>
          <w:p w14:paraId="25452E3F" w14:textId="77777777" w:rsidR="00B51E4E" w:rsidRPr="00F457C9" w:rsidRDefault="00B51E4E" w:rsidP="00D30C58">
            <w:pPr>
              <w:pStyle w:val="TableBody"/>
              <w:rPr>
                <w:rFonts w:cstheme="minorHAnsi"/>
                <w:b/>
                <w:lang w:val="en-AU"/>
              </w:rPr>
            </w:pPr>
            <w:r w:rsidRPr="00F457C9">
              <w:rPr>
                <w:rFonts w:cstheme="minorHAnsi"/>
                <w:b/>
                <w:lang w:val="en-AU"/>
              </w:rPr>
              <w:t xml:space="preserve">7.2 Information to be given to complainant </w:t>
            </w:r>
          </w:p>
          <w:p w14:paraId="64437C27" w14:textId="77777777" w:rsidR="00B51E4E" w:rsidRPr="00F457C9" w:rsidRDefault="00B51E4E" w:rsidP="00D30C58">
            <w:pPr>
              <w:pStyle w:val="TableBody"/>
              <w:rPr>
                <w:rFonts w:cstheme="minorHAnsi"/>
                <w:bCs/>
                <w:lang w:val="en-AU"/>
              </w:rPr>
            </w:pPr>
            <w:r w:rsidRPr="00F457C9">
              <w:rPr>
                <w:rFonts w:cstheme="minorHAnsi"/>
                <w:bCs/>
                <w:lang w:val="en-AU"/>
              </w:rPr>
              <w:t xml:space="preserve">When a </w:t>
            </w:r>
            <w:r w:rsidRPr="00F457C9">
              <w:rPr>
                <w:rFonts w:cstheme="minorHAnsi"/>
                <w:b/>
                <w:lang w:val="en-AU"/>
              </w:rPr>
              <w:t>distributor</w:t>
            </w:r>
            <w:r w:rsidRPr="00F457C9">
              <w:rPr>
                <w:rFonts w:cstheme="minorHAnsi"/>
                <w:bCs/>
                <w:lang w:val="en-AU"/>
              </w:rPr>
              <w:t xml:space="preserve"> responds to a </w:t>
            </w:r>
            <w:r w:rsidRPr="00F457C9">
              <w:rPr>
                <w:rFonts w:cstheme="minorHAnsi"/>
                <w:b/>
                <w:lang w:val="en-AU"/>
              </w:rPr>
              <w:t>public lighting customer's</w:t>
            </w:r>
            <w:r w:rsidRPr="00F457C9">
              <w:rPr>
                <w:rFonts w:cstheme="minorHAnsi"/>
                <w:bCs/>
                <w:lang w:val="en-AU"/>
              </w:rPr>
              <w:t xml:space="preserve"> </w:t>
            </w:r>
            <w:r w:rsidRPr="00F457C9">
              <w:rPr>
                <w:rFonts w:cstheme="minorHAnsi"/>
                <w:b/>
                <w:lang w:val="en-AU"/>
              </w:rPr>
              <w:t>complaint</w:t>
            </w:r>
            <w:r w:rsidRPr="00F457C9">
              <w:rPr>
                <w:rFonts w:cstheme="minorHAnsi"/>
                <w:bCs/>
                <w:lang w:val="en-AU"/>
              </w:rPr>
              <w:t xml:space="preserve">, the </w:t>
            </w:r>
            <w:r w:rsidRPr="00F457C9">
              <w:rPr>
                <w:rFonts w:cstheme="minorHAnsi"/>
                <w:b/>
                <w:lang w:val="en-AU"/>
              </w:rPr>
              <w:t>distributor</w:t>
            </w:r>
            <w:r w:rsidRPr="00F457C9">
              <w:rPr>
                <w:rFonts w:cstheme="minorHAnsi"/>
                <w:bCs/>
                <w:lang w:val="en-AU"/>
              </w:rPr>
              <w:t xml:space="preserve"> must inform the </w:t>
            </w:r>
            <w:r w:rsidRPr="00F457C9">
              <w:rPr>
                <w:rFonts w:cstheme="minorHAnsi"/>
                <w:b/>
                <w:lang w:val="en-AU"/>
              </w:rPr>
              <w:t>public lighting customer</w:t>
            </w:r>
            <w:r w:rsidRPr="00F457C9">
              <w:rPr>
                <w:rFonts w:cstheme="minorHAnsi"/>
                <w:bCs/>
                <w:lang w:val="en-AU"/>
              </w:rPr>
              <w:t xml:space="preserve">: </w:t>
            </w:r>
          </w:p>
          <w:p w14:paraId="47955B58" w14:textId="77777777" w:rsidR="00B51E4E" w:rsidRPr="00F457C9" w:rsidRDefault="00B51E4E" w:rsidP="00D30C58">
            <w:pPr>
              <w:pStyle w:val="TableBody"/>
              <w:rPr>
                <w:rFonts w:cstheme="minorHAnsi"/>
                <w:bCs/>
                <w:lang w:val="en-AU"/>
              </w:rPr>
            </w:pPr>
            <w:r w:rsidRPr="00F457C9">
              <w:rPr>
                <w:rFonts w:cstheme="minorHAnsi"/>
                <w:bCs/>
                <w:lang w:val="en-AU"/>
              </w:rPr>
              <w:t xml:space="preserve">(a) that the </w:t>
            </w:r>
            <w:r w:rsidRPr="00F457C9">
              <w:rPr>
                <w:rFonts w:cstheme="minorHAnsi"/>
                <w:b/>
                <w:lang w:val="en-AU"/>
              </w:rPr>
              <w:t>public lighting customer</w:t>
            </w:r>
            <w:r w:rsidRPr="00F457C9">
              <w:rPr>
                <w:rFonts w:cstheme="minorHAnsi"/>
                <w:bCs/>
                <w:lang w:val="en-AU"/>
              </w:rPr>
              <w:t xml:space="preserve"> has a right to raise the complaint to a higher level within the </w:t>
            </w:r>
            <w:r w:rsidRPr="00F457C9">
              <w:rPr>
                <w:rFonts w:cstheme="minorHAnsi"/>
                <w:b/>
                <w:lang w:val="en-AU"/>
              </w:rPr>
              <w:t>distributor's</w:t>
            </w:r>
            <w:r w:rsidRPr="00F457C9">
              <w:rPr>
                <w:rFonts w:cstheme="minorHAnsi"/>
                <w:bCs/>
                <w:lang w:val="en-AU"/>
              </w:rPr>
              <w:t xml:space="preserve"> management structure; and </w:t>
            </w:r>
          </w:p>
          <w:p w14:paraId="79B38F1B" w14:textId="0BFEC341" w:rsidR="00B51E4E" w:rsidRPr="00F457C9" w:rsidRDefault="00B51E4E" w:rsidP="00D30C58">
            <w:pPr>
              <w:pStyle w:val="TableBody"/>
              <w:rPr>
                <w:rFonts w:cstheme="minorHAnsi"/>
                <w:bCs/>
                <w:lang w:val="en-AU"/>
              </w:rPr>
            </w:pPr>
            <w:r w:rsidRPr="00F457C9">
              <w:rPr>
                <w:rFonts w:cstheme="minorHAnsi"/>
                <w:bCs/>
                <w:lang w:val="en-AU"/>
              </w:rPr>
              <w:t xml:space="preserve">(b) if, after raising the </w:t>
            </w:r>
            <w:r w:rsidRPr="00F457C9">
              <w:rPr>
                <w:rFonts w:cstheme="minorHAnsi"/>
                <w:b/>
                <w:lang w:val="en-AU"/>
              </w:rPr>
              <w:t>complaint</w:t>
            </w:r>
            <w:r w:rsidRPr="00F457C9">
              <w:rPr>
                <w:rFonts w:cstheme="minorHAnsi"/>
                <w:bCs/>
                <w:lang w:val="en-AU"/>
              </w:rPr>
              <w:t xml:space="preserve"> to a higher level the </w:t>
            </w:r>
            <w:r w:rsidRPr="00F457C9">
              <w:rPr>
                <w:rFonts w:cstheme="minorHAnsi"/>
                <w:b/>
                <w:lang w:val="en-AU"/>
              </w:rPr>
              <w:t>public lighting customer</w:t>
            </w:r>
            <w:r w:rsidRPr="00F457C9">
              <w:rPr>
                <w:rFonts w:cstheme="minorHAnsi"/>
                <w:bCs/>
                <w:lang w:val="en-AU"/>
              </w:rPr>
              <w:t xml:space="preserve"> is still not satisfied with the distributor's response, the public lighting customer has a right to refer the </w:t>
            </w:r>
            <w:r w:rsidRPr="00F457C9">
              <w:rPr>
                <w:rFonts w:cstheme="minorHAnsi"/>
                <w:b/>
                <w:lang w:val="en-AU"/>
              </w:rPr>
              <w:t>complaint</w:t>
            </w:r>
            <w:r w:rsidRPr="00F457C9">
              <w:rPr>
                <w:rFonts w:cstheme="minorHAnsi"/>
                <w:bCs/>
                <w:lang w:val="en-AU"/>
              </w:rPr>
              <w:t xml:space="preserve"> to the Energy and Water Ombudsman (Victoria) Ltd. or other relevant external dispute resolution body. This information must be given in writing.</w:t>
            </w:r>
          </w:p>
        </w:tc>
        <w:tc>
          <w:tcPr>
            <w:tcW w:w="7341" w:type="dxa"/>
            <w:vMerge/>
          </w:tcPr>
          <w:p w14:paraId="7885FD96" w14:textId="41F1670F" w:rsidR="00B51E4E" w:rsidRPr="00F457C9" w:rsidRDefault="00B51E4E" w:rsidP="00D30C58">
            <w:pPr>
              <w:pStyle w:val="TableBody"/>
              <w:rPr>
                <w:rFonts w:cstheme="minorHAnsi"/>
                <w:b/>
                <w:highlight w:val="yellow"/>
              </w:rPr>
            </w:pPr>
          </w:p>
        </w:tc>
      </w:tr>
      <w:tr w:rsidR="00D30C58" w:rsidRPr="00F457C9" w14:paraId="14C3D3D9" w14:textId="77777777" w:rsidTr="00223042">
        <w:trPr>
          <w:cnfStyle w:val="000000010000" w:firstRow="0" w:lastRow="0" w:firstColumn="0" w:lastColumn="0" w:oddVBand="0" w:evenVBand="0" w:oddHBand="0" w:evenHBand="1" w:firstRowFirstColumn="0" w:firstRowLastColumn="0" w:lastRowFirstColumn="0" w:lastRowLastColumn="0"/>
          <w:cantSplit/>
          <w:trHeight w:val="300"/>
        </w:trPr>
        <w:tc>
          <w:tcPr>
            <w:tcW w:w="14712" w:type="dxa"/>
            <w:gridSpan w:val="2"/>
            <w:vAlign w:val="center"/>
          </w:tcPr>
          <w:p w14:paraId="136E97D7" w14:textId="7F94B5E2" w:rsidR="00D30C58" w:rsidRPr="00F457C9" w:rsidRDefault="00D30C58" w:rsidP="00D30C58">
            <w:pPr>
              <w:pStyle w:val="TableBody"/>
              <w:jc w:val="center"/>
              <w:rPr>
                <w:rFonts w:cstheme="minorHAnsi"/>
                <w:b/>
                <w:highlight w:val="yellow"/>
              </w:rPr>
            </w:pPr>
            <w:r w:rsidRPr="00803D56">
              <w:rPr>
                <w:rFonts w:cstheme="minorHAnsi"/>
                <w:b/>
                <w:lang w:val="en-AU"/>
              </w:rPr>
              <w:t>8. DEFINITIONS</w:t>
            </w:r>
          </w:p>
        </w:tc>
      </w:tr>
      <w:tr w:rsidR="00D30C58" w:rsidRPr="00F457C9" w14:paraId="396D5B42" w14:textId="77777777" w:rsidTr="00223042">
        <w:trPr>
          <w:cnfStyle w:val="000000100000" w:firstRow="0" w:lastRow="0" w:firstColumn="0" w:lastColumn="0" w:oddVBand="0" w:evenVBand="0" w:oddHBand="1" w:evenHBand="0" w:firstRowFirstColumn="0" w:firstRowLastColumn="0" w:lastRowFirstColumn="0" w:lastRowLastColumn="0"/>
          <w:trHeight w:val="300"/>
        </w:trPr>
        <w:tc>
          <w:tcPr>
            <w:tcW w:w="7371" w:type="dxa"/>
          </w:tcPr>
          <w:p w14:paraId="43B3501E" w14:textId="77777777" w:rsidR="00D30C58" w:rsidRPr="00F457C9" w:rsidRDefault="00D30C58" w:rsidP="00D30C58">
            <w:pPr>
              <w:pStyle w:val="TableBody"/>
              <w:rPr>
                <w:rFonts w:cstheme="minorHAnsi"/>
              </w:rPr>
            </w:pPr>
            <w:r w:rsidRPr="00F457C9">
              <w:rPr>
                <w:rFonts w:cstheme="minorHAnsi"/>
              </w:rPr>
              <w:t xml:space="preserve">In this Code: </w:t>
            </w:r>
          </w:p>
          <w:p w14:paraId="3A82ED50" w14:textId="77777777" w:rsidR="00D30C58" w:rsidRPr="00F457C9" w:rsidRDefault="00D30C58" w:rsidP="00D30C58">
            <w:pPr>
              <w:pStyle w:val="TableBody"/>
              <w:rPr>
                <w:lang w:val="en-AU"/>
              </w:rPr>
            </w:pPr>
            <w:r w:rsidRPr="62027685">
              <w:rPr>
                <w:b/>
                <w:lang w:val="en-AU"/>
              </w:rPr>
              <w:t>Act</w:t>
            </w:r>
            <w:r w:rsidRPr="62027685">
              <w:rPr>
                <w:lang w:val="en-AU"/>
              </w:rPr>
              <w:t xml:space="preserve"> means the Electricity Industry Act 2000 (Vic). Australian Standard or “AS” or “AS/NZ” means a standard published by Standards Australia. </w:t>
            </w:r>
            <w:r w:rsidRPr="62027685">
              <w:rPr>
                <w:b/>
                <w:lang w:val="en-AU"/>
              </w:rPr>
              <w:t>business day</w:t>
            </w:r>
            <w:r w:rsidRPr="62027685">
              <w:rPr>
                <w:lang w:val="en-AU"/>
              </w:rPr>
              <w:t xml:space="preserve"> means a day other than a Saturday or Sunday or a public holiday appointed under the Public Holidays Act 1993 (Vic). </w:t>
            </w:r>
          </w:p>
          <w:p w14:paraId="0C2F0B97" w14:textId="77777777" w:rsidR="00D30C58" w:rsidRPr="00F457C9" w:rsidRDefault="00D30C58" w:rsidP="00D30C58">
            <w:pPr>
              <w:pStyle w:val="TableBody"/>
              <w:rPr>
                <w:lang w:val="en-AU"/>
              </w:rPr>
            </w:pPr>
            <w:r w:rsidRPr="62027685">
              <w:rPr>
                <w:b/>
                <w:lang w:val="en-AU"/>
              </w:rPr>
              <w:lastRenderedPageBreak/>
              <w:t>Commission</w:t>
            </w:r>
            <w:r w:rsidRPr="62027685">
              <w:rPr>
                <w:lang w:val="en-AU"/>
              </w:rPr>
              <w:t xml:space="preserve"> means the Essential Services Commission established by the Essential Services Commission Act 2001 (Vic). </w:t>
            </w:r>
          </w:p>
          <w:p w14:paraId="36B212D6" w14:textId="77777777" w:rsidR="00D30C58" w:rsidRPr="00F457C9" w:rsidRDefault="00D30C58" w:rsidP="00D30C58">
            <w:pPr>
              <w:pStyle w:val="TableBody"/>
              <w:rPr>
                <w:lang w:val="en-AU"/>
              </w:rPr>
            </w:pPr>
            <w:r w:rsidRPr="62027685">
              <w:rPr>
                <w:b/>
                <w:lang w:val="en-AU"/>
              </w:rPr>
              <w:t>complaint</w:t>
            </w:r>
            <w:r w:rsidRPr="62027685">
              <w:rPr>
                <w:lang w:val="en-AU"/>
              </w:rPr>
              <w:t xml:space="preserve"> means a written or verbal expression of dissatisfaction about an action, a proposed action, or a failure to act by a distributor, its employees or contractors. This includes failure by a distributor to observe its published practices or procedures. </w:t>
            </w:r>
          </w:p>
          <w:p w14:paraId="7AE6D884" w14:textId="77777777" w:rsidR="00D30C58" w:rsidRPr="00F457C9" w:rsidRDefault="00D30C58" w:rsidP="00D30C58">
            <w:pPr>
              <w:pStyle w:val="TableBody"/>
              <w:rPr>
                <w:lang w:val="en-AU"/>
              </w:rPr>
            </w:pPr>
            <w:r w:rsidRPr="62027685">
              <w:rPr>
                <w:b/>
                <w:lang w:val="en-AU"/>
              </w:rPr>
              <w:t>csv</w:t>
            </w:r>
            <w:r w:rsidRPr="62027685">
              <w:rPr>
                <w:lang w:val="en-AU"/>
              </w:rPr>
              <w:t xml:space="preserve"> means comma separated values. design brief means all necessary information for the location and design of the new (or altered, relocated or replaced, as the case may be) public lighting assets. </w:t>
            </w:r>
          </w:p>
          <w:p w14:paraId="66B103BB" w14:textId="77777777" w:rsidR="00D30C58" w:rsidRPr="00F457C9" w:rsidRDefault="00D30C58" w:rsidP="00D30C58">
            <w:pPr>
              <w:pStyle w:val="TableBody"/>
              <w:rPr>
                <w:rFonts w:cstheme="minorHAnsi"/>
              </w:rPr>
            </w:pPr>
            <w:r w:rsidRPr="00F457C9">
              <w:rPr>
                <w:rFonts w:cstheme="minorHAnsi"/>
                <w:b/>
                <w:bCs/>
              </w:rPr>
              <w:t>distribution licence</w:t>
            </w:r>
            <w:r w:rsidRPr="00F457C9">
              <w:rPr>
                <w:rFonts w:cstheme="minorHAnsi"/>
              </w:rPr>
              <w:t xml:space="preserve"> means a licence to distribute and supply electricity granted under the Act. </w:t>
            </w:r>
          </w:p>
          <w:p w14:paraId="18836DC4" w14:textId="77777777" w:rsidR="00D30C58" w:rsidRPr="00F457C9" w:rsidRDefault="00D30C58" w:rsidP="00D30C58">
            <w:pPr>
              <w:pStyle w:val="TableBody"/>
              <w:rPr>
                <w:lang w:val="en-AU"/>
              </w:rPr>
            </w:pPr>
            <w:r w:rsidRPr="62027685">
              <w:rPr>
                <w:b/>
                <w:lang w:val="en-AU"/>
              </w:rPr>
              <w:t>distribution system</w:t>
            </w:r>
            <w:r w:rsidRPr="62027685">
              <w:rPr>
                <w:lang w:val="en-AU"/>
              </w:rPr>
              <w:t xml:space="preserve"> means in relation to a distributor a system of electric lines (generally at nominal voltage levels of 66kV or below) which that distributor is licensed to use to distribute electricity for supply under its distribution licence, excluding public lighting assets. </w:t>
            </w:r>
          </w:p>
          <w:p w14:paraId="1702711B" w14:textId="77777777" w:rsidR="00D30C58" w:rsidRPr="00F457C9" w:rsidRDefault="00D30C58" w:rsidP="00D30C58">
            <w:pPr>
              <w:pStyle w:val="TableBody"/>
              <w:rPr>
                <w:rFonts w:cstheme="minorHAnsi"/>
              </w:rPr>
            </w:pPr>
            <w:r w:rsidRPr="00F457C9">
              <w:rPr>
                <w:rFonts w:cstheme="minorHAnsi"/>
                <w:b/>
                <w:bCs/>
              </w:rPr>
              <w:t>distributor</w:t>
            </w:r>
            <w:r w:rsidRPr="00F457C9">
              <w:rPr>
                <w:rFonts w:cstheme="minorHAnsi"/>
              </w:rPr>
              <w:t xml:space="preserve"> means a person who holds a distribution licence under the Act. </w:t>
            </w:r>
          </w:p>
          <w:p w14:paraId="19DEDE32" w14:textId="77777777" w:rsidR="00D30C58" w:rsidRPr="00F457C9" w:rsidRDefault="00D30C58" w:rsidP="00D30C58">
            <w:pPr>
              <w:pStyle w:val="TableBody"/>
              <w:rPr>
                <w:lang w:val="en-AU"/>
              </w:rPr>
            </w:pPr>
            <w:r w:rsidRPr="62027685">
              <w:rPr>
                <w:b/>
                <w:lang w:val="en-AU"/>
              </w:rPr>
              <w:t>dxf</w:t>
            </w:r>
            <w:r w:rsidRPr="62027685">
              <w:rPr>
                <w:lang w:val="en-AU"/>
              </w:rPr>
              <w:t xml:space="preserve"> means drawing exchange format. </w:t>
            </w:r>
          </w:p>
          <w:p w14:paraId="6C924106" w14:textId="77777777" w:rsidR="00D30C58" w:rsidRPr="00F457C9" w:rsidRDefault="00D30C58" w:rsidP="00D30C58">
            <w:pPr>
              <w:pStyle w:val="TableBody"/>
              <w:rPr>
                <w:lang w:val="en-AU"/>
              </w:rPr>
            </w:pPr>
            <w:r w:rsidRPr="62027685">
              <w:rPr>
                <w:b/>
                <w:lang w:val="en-AU"/>
              </w:rPr>
              <w:t>fault report</w:t>
            </w:r>
            <w:r w:rsidRPr="62027685">
              <w:rPr>
                <w:lang w:val="en-AU"/>
              </w:rPr>
              <w:t xml:space="preserve"> means the time when a distributor’s 24 hour call centre receives a report of a fault (from any source). </w:t>
            </w:r>
          </w:p>
          <w:p w14:paraId="3501B0AA" w14:textId="77777777" w:rsidR="00D30C58" w:rsidRPr="00F457C9" w:rsidRDefault="00D30C58" w:rsidP="00D30C58">
            <w:pPr>
              <w:pStyle w:val="TableBody"/>
              <w:rPr>
                <w:rFonts w:cstheme="minorHAnsi"/>
              </w:rPr>
            </w:pPr>
            <w:r w:rsidRPr="00F457C9">
              <w:rPr>
                <w:rFonts w:cstheme="minorHAnsi"/>
                <w:b/>
                <w:bCs/>
              </w:rPr>
              <w:t>guideline</w:t>
            </w:r>
            <w:r w:rsidRPr="00F457C9">
              <w:rPr>
                <w:rFonts w:cstheme="minorHAnsi"/>
              </w:rPr>
              <w:t xml:space="preserve"> means a guideline published by the Commission. </w:t>
            </w:r>
          </w:p>
          <w:p w14:paraId="51FEE049" w14:textId="77777777" w:rsidR="00D30C58" w:rsidRPr="00F457C9" w:rsidRDefault="00D30C58" w:rsidP="00D30C58">
            <w:pPr>
              <w:pStyle w:val="TableBody"/>
              <w:rPr>
                <w:lang w:val="en-AU"/>
              </w:rPr>
            </w:pPr>
            <w:r w:rsidRPr="62027685">
              <w:rPr>
                <w:lang w:val="en-AU"/>
              </w:rPr>
              <w:t xml:space="preserve">lamp </w:t>
            </w:r>
            <w:r w:rsidRPr="62027685">
              <w:rPr>
                <w:b/>
                <w:lang w:val="en-AU"/>
              </w:rPr>
              <w:t>means</w:t>
            </w:r>
            <w:r w:rsidRPr="62027685">
              <w:rPr>
                <w:lang w:val="en-AU"/>
              </w:rPr>
              <w:t xml:space="preserve"> a source made in order to produce an optical radiation. </w:t>
            </w:r>
            <w:r w:rsidRPr="62027685">
              <w:rPr>
                <w:b/>
                <w:lang w:val="en-AU"/>
              </w:rPr>
              <w:t>luminaire</w:t>
            </w:r>
            <w:r w:rsidRPr="62027685">
              <w:rPr>
                <w:lang w:val="en-AU"/>
              </w:rPr>
              <w:t xml:space="preserve"> means an apparatus which distributes, filters or transforms the light transmitted from one or more lamps and which includes, other than the lamps themselves, all the parts necessary for fixing and protecting the lamps and where necessary circuit auxiliaries together with the means for connecting them to the distribution system. </w:t>
            </w:r>
          </w:p>
          <w:p w14:paraId="7879A458" w14:textId="77777777" w:rsidR="00D30C58" w:rsidRPr="00F457C9" w:rsidRDefault="00D30C58" w:rsidP="00D30C58">
            <w:pPr>
              <w:pStyle w:val="TableBody"/>
              <w:rPr>
                <w:lang w:val="en-AU"/>
              </w:rPr>
            </w:pPr>
            <w:r w:rsidRPr="62027685">
              <w:rPr>
                <w:b/>
                <w:lang w:val="en-AU"/>
              </w:rPr>
              <w:t>major road</w:t>
            </w:r>
            <w:r w:rsidRPr="62027685">
              <w:rPr>
                <w:lang w:val="en-AU"/>
              </w:rPr>
              <w:t xml:space="preserve"> means a primary or secondary road depicted by a black or red line in the current edition from time to time of the Melway street directory, or a road in the non-metropolitan area designated ‘M’, ‘A’ or ‘B’ by VicRoads. </w:t>
            </w:r>
          </w:p>
          <w:p w14:paraId="18FBF5C5" w14:textId="77777777" w:rsidR="00D30C58" w:rsidRPr="00F457C9" w:rsidRDefault="00D30C58" w:rsidP="00D30C58">
            <w:pPr>
              <w:pStyle w:val="TableBody"/>
              <w:rPr>
                <w:lang w:val="en-AU"/>
              </w:rPr>
            </w:pPr>
            <w:r w:rsidRPr="62027685">
              <w:rPr>
                <w:b/>
                <w:lang w:val="en-AU"/>
              </w:rPr>
              <w:t>non-major road lamps</w:t>
            </w:r>
            <w:r w:rsidRPr="62027685">
              <w:rPr>
                <w:lang w:val="en-AU"/>
              </w:rPr>
              <w:t xml:space="preserve"> means a lamp installed other than a on major road and includes lamps installed in parks. </w:t>
            </w:r>
          </w:p>
          <w:p w14:paraId="147C0650" w14:textId="77777777" w:rsidR="00D30C58" w:rsidRPr="00F457C9" w:rsidRDefault="00D30C58" w:rsidP="00D30C58">
            <w:pPr>
              <w:pStyle w:val="TableBody"/>
              <w:rPr>
                <w:rFonts w:cstheme="minorHAnsi"/>
              </w:rPr>
            </w:pPr>
            <w:r w:rsidRPr="00F457C9">
              <w:rPr>
                <w:rFonts w:cstheme="minorHAnsi"/>
                <w:b/>
                <w:bCs/>
              </w:rPr>
              <w:t>non-standard fitting</w:t>
            </w:r>
            <w:r w:rsidRPr="00F457C9">
              <w:rPr>
                <w:rFonts w:cstheme="minorHAnsi"/>
              </w:rPr>
              <w:t xml:space="preserve"> means a fitting other than a standard fitting. </w:t>
            </w:r>
          </w:p>
          <w:p w14:paraId="50B78BD6" w14:textId="77777777" w:rsidR="00D30C58" w:rsidRPr="00F457C9" w:rsidRDefault="00D30C58" w:rsidP="00D30C58">
            <w:pPr>
              <w:pStyle w:val="TableBody"/>
              <w:rPr>
                <w:rFonts w:cstheme="minorHAnsi"/>
              </w:rPr>
            </w:pPr>
            <w:r w:rsidRPr="00F457C9">
              <w:rPr>
                <w:rFonts w:cstheme="minorHAnsi"/>
                <w:b/>
                <w:bCs/>
              </w:rPr>
              <w:lastRenderedPageBreak/>
              <w:t>public lighting assets</w:t>
            </w:r>
            <w:r w:rsidRPr="00F457C9">
              <w:rPr>
                <w:rFonts w:cstheme="minorHAnsi"/>
              </w:rPr>
              <w:t xml:space="preserve"> means all assets of a distributor which are dedicated to the provision of public lighting, including lamps, luminaires, mounting brackets and poles on which the fixtures are mounted, supply cables and control equipment (for example, photoelectric cells and control circuitry) but not including the distributor’s protection equipment (for example fuses and circuit breakers). </w:t>
            </w:r>
          </w:p>
          <w:p w14:paraId="3F56222B" w14:textId="77777777" w:rsidR="00D30C58" w:rsidRPr="00F457C9" w:rsidRDefault="00D30C58" w:rsidP="00D30C58">
            <w:pPr>
              <w:pStyle w:val="TableBody"/>
              <w:rPr>
                <w:rFonts w:cstheme="minorHAnsi"/>
              </w:rPr>
            </w:pPr>
            <w:r w:rsidRPr="00F457C9">
              <w:rPr>
                <w:rFonts w:cstheme="minorHAnsi"/>
                <w:b/>
                <w:bCs/>
              </w:rPr>
              <w:t>public lighting customer</w:t>
            </w:r>
            <w:r w:rsidRPr="00F457C9">
              <w:rPr>
                <w:rFonts w:cstheme="minorHAnsi"/>
              </w:rPr>
              <w:t xml:space="preserve"> means: </w:t>
            </w:r>
          </w:p>
          <w:p w14:paraId="7C6DE383" w14:textId="77777777" w:rsidR="00D30C58" w:rsidRPr="00F457C9" w:rsidRDefault="00D30C58" w:rsidP="00D30C58">
            <w:pPr>
              <w:pStyle w:val="TableBody"/>
              <w:rPr>
                <w:lang w:val="en-AU"/>
              </w:rPr>
            </w:pPr>
            <w:r w:rsidRPr="62027685">
              <w:rPr>
                <w:lang w:val="en-AU"/>
              </w:rPr>
              <w:t xml:space="preserve">(a) VicRoads or a municipal council in its municipal district, as the case may be, in respect of public lighting of freeways or arterial roads within the meaning of the Road Management Act 2004; </w:t>
            </w:r>
          </w:p>
          <w:p w14:paraId="692A0A0B" w14:textId="77777777" w:rsidR="00D30C58" w:rsidRPr="00F457C9" w:rsidRDefault="00D30C58" w:rsidP="00D30C58">
            <w:pPr>
              <w:pStyle w:val="TableBody"/>
              <w:rPr>
                <w:rFonts w:cstheme="minorHAnsi"/>
              </w:rPr>
            </w:pPr>
            <w:r w:rsidRPr="00F457C9">
              <w:rPr>
                <w:rFonts w:cstheme="minorHAnsi"/>
              </w:rPr>
              <w:t xml:space="preserve">(b) the Docklands Authority in respect of public lighting in the docklands area (as defined in the Docklands Act 1991 (Vic)) other than public lighting in sub paragraph (a); and (c) a municipal council in respect of all other public lighting in its municipal district. </w:t>
            </w:r>
          </w:p>
          <w:p w14:paraId="26BF8AAD" w14:textId="77777777" w:rsidR="00D30C58" w:rsidRPr="00F457C9" w:rsidRDefault="00D30C58" w:rsidP="00D30C58">
            <w:pPr>
              <w:pStyle w:val="TableBody"/>
              <w:rPr>
                <w:rFonts w:cstheme="minorHAnsi"/>
              </w:rPr>
            </w:pPr>
            <w:r w:rsidRPr="00F457C9">
              <w:rPr>
                <w:rFonts w:cstheme="minorHAnsi"/>
                <w:b/>
                <w:bCs/>
              </w:rPr>
              <w:t>public lighting services</w:t>
            </w:r>
            <w:r w:rsidRPr="00F457C9">
              <w:rPr>
                <w:rFonts w:cstheme="minorHAnsi"/>
              </w:rPr>
              <w:t xml:space="preserve"> mean any of the following services provided for the purpose of lighting public places: </w:t>
            </w:r>
          </w:p>
          <w:p w14:paraId="78DE7B50" w14:textId="77777777" w:rsidR="00D30C58" w:rsidRPr="00F457C9" w:rsidRDefault="00D30C58" w:rsidP="00D30C58">
            <w:pPr>
              <w:pStyle w:val="TableBody"/>
              <w:rPr>
                <w:rFonts w:cstheme="minorHAnsi"/>
              </w:rPr>
            </w:pPr>
            <w:r w:rsidRPr="00F457C9">
              <w:rPr>
                <w:rFonts w:cstheme="minorHAnsi"/>
              </w:rPr>
              <w:t xml:space="preserve">(a) the operation of public lighting assets, including handling enquiries and complaints about public lighting, and dispatching crews to repair public lighting assets; </w:t>
            </w:r>
          </w:p>
          <w:p w14:paraId="15D1B778" w14:textId="77777777" w:rsidR="00D30C58" w:rsidRPr="00F457C9" w:rsidRDefault="00D30C58" w:rsidP="00D30C58">
            <w:pPr>
              <w:pStyle w:val="TableBody"/>
              <w:rPr>
                <w:lang w:val="en-AU"/>
              </w:rPr>
            </w:pPr>
            <w:r w:rsidRPr="62027685">
              <w:rPr>
                <w:lang w:val="en-AU"/>
              </w:rPr>
              <w:t xml:space="preserve">(b) the maintenance, repair, alteration, relocation and replacement of public lighting assets; and </w:t>
            </w:r>
          </w:p>
          <w:p w14:paraId="04120DC6" w14:textId="77777777" w:rsidR="00D30C58" w:rsidRPr="00F457C9" w:rsidRDefault="00D30C58" w:rsidP="00D30C58">
            <w:pPr>
              <w:pStyle w:val="TableBody"/>
              <w:rPr>
                <w:rFonts w:cstheme="minorHAnsi"/>
              </w:rPr>
            </w:pPr>
            <w:r w:rsidRPr="00F457C9">
              <w:rPr>
                <w:rFonts w:cstheme="minorHAnsi"/>
              </w:rPr>
              <w:t xml:space="preserve">(c) the installation of new public lighting assets. public lighting standard means the current version from time to time of AS/NZ 1158 and AS/NZ 3771. </w:t>
            </w:r>
          </w:p>
          <w:p w14:paraId="7A915445" w14:textId="77777777" w:rsidR="00D30C58" w:rsidRPr="00F457C9" w:rsidRDefault="00D30C58" w:rsidP="00D30C58">
            <w:pPr>
              <w:pStyle w:val="TableBody"/>
              <w:rPr>
                <w:rFonts w:cstheme="minorHAnsi"/>
              </w:rPr>
            </w:pPr>
            <w:r w:rsidRPr="00F457C9">
              <w:rPr>
                <w:rFonts w:cstheme="minorHAnsi"/>
                <w:b/>
                <w:bCs/>
              </w:rPr>
              <w:t>public lighting supply point</w:t>
            </w:r>
            <w:r w:rsidRPr="00F457C9">
              <w:rPr>
                <w:rFonts w:cstheme="minorHAnsi"/>
              </w:rPr>
              <w:t xml:space="preserve"> means a point at which public lighting assets are connected to the distribution system. </w:t>
            </w:r>
          </w:p>
          <w:p w14:paraId="1E3B84FD" w14:textId="77777777" w:rsidR="00D30C58" w:rsidRPr="00F457C9" w:rsidRDefault="00D30C58" w:rsidP="00D30C58">
            <w:pPr>
              <w:pStyle w:val="TableBody"/>
              <w:rPr>
                <w:rFonts w:cstheme="minorHAnsi"/>
              </w:rPr>
            </w:pPr>
            <w:r w:rsidRPr="00F457C9">
              <w:rPr>
                <w:rFonts w:cstheme="minorHAnsi"/>
                <w:b/>
                <w:bCs/>
              </w:rPr>
              <w:t>public lighting technical standards</w:t>
            </w:r>
            <w:r w:rsidRPr="00F457C9">
              <w:rPr>
                <w:rFonts w:cstheme="minorHAnsi"/>
              </w:rPr>
              <w:t xml:space="preserve"> means standards published by a distributor which are consistent with the public lighting standards and deal with technical requirements for connection to the distributor’s distribution system. </w:t>
            </w:r>
          </w:p>
          <w:p w14:paraId="27659F95" w14:textId="77777777" w:rsidR="00D30C58" w:rsidRPr="00F457C9" w:rsidRDefault="00D30C58" w:rsidP="00D30C58">
            <w:pPr>
              <w:pStyle w:val="TableBody"/>
              <w:rPr>
                <w:lang w:val="en-AU"/>
              </w:rPr>
            </w:pPr>
            <w:r w:rsidRPr="62027685">
              <w:rPr>
                <w:b/>
                <w:lang w:val="en-AU"/>
              </w:rPr>
              <w:t>rated power</w:t>
            </w:r>
            <w:r w:rsidRPr="62027685">
              <w:rPr>
                <w:lang w:val="en-AU"/>
              </w:rPr>
              <w:t xml:space="preserve"> means the value of the power of a type of lamp declared by the manufacturer or responsible vendor applying when the lamp is operated under the manufacturer’s or vendor’s specified conditions. </w:t>
            </w:r>
            <w:r w:rsidRPr="62027685">
              <w:rPr>
                <w:b/>
                <w:lang w:val="en-AU"/>
              </w:rPr>
              <w:t>retailer</w:t>
            </w:r>
            <w:r w:rsidRPr="62027685">
              <w:rPr>
                <w:lang w:val="en-AU"/>
              </w:rPr>
              <w:t xml:space="preserve"> means a person who holds, or is exempt from holding, a retail licence under the Act. </w:t>
            </w:r>
          </w:p>
          <w:p w14:paraId="663190BB" w14:textId="77777777" w:rsidR="00D30C58" w:rsidRPr="00F457C9" w:rsidRDefault="00D30C58" w:rsidP="00D30C58">
            <w:pPr>
              <w:pStyle w:val="TableBody"/>
              <w:rPr>
                <w:rFonts w:cstheme="minorHAnsi"/>
              </w:rPr>
            </w:pPr>
            <w:r w:rsidRPr="00F457C9">
              <w:rPr>
                <w:rFonts w:cstheme="minorHAnsi"/>
                <w:b/>
                <w:bCs/>
              </w:rPr>
              <w:lastRenderedPageBreak/>
              <w:t>retail licence</w:t>
            </w:r>
            <w:r w:rsidRPr="00F457C9">
              <w:rPr>
                <w:rFonts w:cstheme="minorHAnsi"/>
              </w:rPr>
              <w:t xml:space="preserve"> means a licence granted under the Act to sell electricity otherwise than through the wholesale electricity market.</w:t>
            </w:r>
          </w:p>
          <w:p w14:paraId="0B461541" w14:textId="77777777" w:rsidR="00D30C58" w:rsidRPr="00F457C9" w:rsidRDefault="00D30C58" w:rsidP="00D30C58">
            <w:pPr>
              <w:pStyle w:val="TableBody"/>
              <w:rPr>
                <w:rFonts w:cstheme="minorHAnsi"/>
              </w:rPr>
            </w:pPr>
            <w:r w:rsidRPr="00F457C9">
              <w:rPr>
                <w:rFonts w:cstheme="minorHAnsi"/>
                <w:b/>
                <w:bCs/>
              </w:rPr>
              <w:t>standard fitting</w:t>
            </w:r>
            <w:r w:rsidRPr="00F457C9">
              <w:rPr>
                <w:rFonts w:cstheme="minorHAnsi"/>
              </w:rPr>
              <w:t xml:space="preserve"> means a lamp, luminaire, mounting bracket, public lighting pole, supply cable or control equipment, normally used by or acceptable to a distributor. </w:t>
            </w:r>
          </w:p>
          <w:p w14:paraId="21B6F867" w14:textId="1AAA0A4D" w:rsidR="00D30C58" w:rsidRPr="00F457C9" w:rsidRDefault="00D30C58" w:rsidP="00D30C58">
            <w:pPr>
              <w:pStyle w:val="TableBody"/>
              <w:rPr>
                <w:rFonts w:cstheme="minorHAnsi"/>
                <w:b/>
                <w:lang w:val="en-AU"/>
              </w:rPr>
            </w:pPr>
            <w:r w:rsidRPr="00F457C9">
              <w:rPr>
                <w:rFonts w:cstheme="minorHAnsi"/>
                <w:b/>
                <w:bCs/>
              </w:rPr>
              <w:t>supply</w:t>
            </w:r>
            <w:r w:rsidRPr="00F457C9">
              <w:rPr>
                <w:rFonts w:cstheme="minorHAnsi"/>
              </w:rPr>
              <w:t>, in relation to electricity, means the delivery of electricity and related services.</w:t>
            </w:r>
          </w:p>
        </w:tc>
        <w:tc>
          <w:tcPr>
            <w:tcW w:w="7341" w:type="dxa"/>
          </w:tcPr>
          <w:p w14:paraId="41D4554D" w14:textId="77777777" w:rsidR="00C030F0" w:rsidRDefault="00C030F0" w:rsidP="00D30C58">
            <w:pPr>
              <w:pStyle w:val="TableBody"/>
              <w:rPr>
                <w:rFonts w:cstheme="minorHAnsi"/>
                <w:b/>
                <w:highlight w:val="yellow"/>
              </w:rPr>
            </w:pPr>
          </w:p>
          <w:p w14:paraId="73033CAC" w14:textId="4297DDE2" w:rsidR="00C030F0" w:rsidRDefault="00C030F0" w:rsidP="00D30C58">
            <w:pPr>
              <w:pStyle w:val="TableBody"/>
              <w:rPr>
                <w:rFonts w:cstheme="minorHAnsi"/>
                <w:bCs/>
              </w:rPr>
            </w:pPr>
            <w:r w:rsidRPr="00825E5A">
              <w:rPr>
                <w:rFonts w:cstheme="minorHAnsi"/>
                <w:bCs/>
              </w:rPr>
              <w:t>We proposed the following definitions to be transferred to</w:t>
            </w:r>
            <w:r w:rsidR="00791772">
              <w:rPr>
                <w:rFonts w:cstheme="minorHAnsi"/>
                <w:bCs/>
              </w:rPr>
              <w:t xml:space="preserve"> or amended in </w:t>
            </w:r>
            <w:r w:rsidRPr="00825E5A">
              <w:rPr>
                <w:rFonts w:cstheme="minorHAnsi"/>
                <w:bCs/>
              </w:rPr>
              <w:t>the Electricity Distribution Code of Practice.</w:t>
            </w:r>
          </w:p>
          <w:p w14:paraId="2EA5399E" w14:textId="77777777" w:rsidR="00C030F0" w:rsidRDefault="00C030F0" w:rsidP="00D30C58">
            <w:pPr>
              <w:pStyle w:val="TableBody"/>
              <w:rPr>
                <w:rFonts w:cstheme="minorHAnsi"/>
                <w:bCs/>
              </w:rPr>
            </w:pPr>
          </w:p>
          <w:p w14:paraId="3FD50EC7" w14:textId="00E4857E" w:rsidR="00C90719" w:rsidRPr="00731FA7" w:rsidRDefault="00C90719" w:rsidP="00731FA7">
            <w:pPr>
              <w:pStyle w:val="TableBody"/>
              <w:rPr>
                <w:lang w:val="en-AU"/>
              </w:rPr>
            </w:pPr>
            <w:r w:rsidRPr="62027685">
              <w:rPr>
                <w:b/>
                <w:lang w:val="en-AU"/>
              </w:rPr>
              <w:lastRenderedPageBreak/>
              <w:t>distribution system</w:t>
            </w:r>
            <w:r w:rsidRPr="62027685">
              <w:rPr>
                <w:lang w:val="en-AU"/>
              </w:rPr>
              <w:t xml:space="preserve"> in relation to a </w:t>
            </w:r>
            <w:r w:rsidRPr="62027685">
              <w:rPr>
                <w:i/>
                <w:lang w:val="en-AU"/>
              </w:rPr>
              <w:t>distributor</w:t>
            </w:r>
            <w:r w:rsidRPr="62027685">
              <w:rPr>
                <w:lang w:val="en-AU"/>
              </w:rPr>
              <w:t xml:space="preserve">, means a system of electric lines and associated equipment (generally at nominal voltage levels of 66 kV or below) which that </w:t>
            </w:r>
            <w:r w:rsidRPr="62027685">
              <w:rPr>
                <w:i/>
                <w:lang w:val="en-AU"/>
              </w:rPr>
              <w:t>distributor</w:t>
            </w:r>
            <w:r w:rsidRPr="62027685">
              <w:rPr>
                <w:lang w:val="en-AU"/>
              </w:rPr>
              <w:t xml:space="preserve"> is </w:t>
            </w:r>
            <w:r w:rsidRPr="62027685">
              <w:rPr>
                <w:i/>
                <w:lang w:val="en-AU"/>
              </w:rPr>
              <w:t>licensed</w:t>
            </w:r>
            <w:r w:rsidRPr="62027685">
              <w:rPr>
                <w:lang w:val="en-AU"/>
              </w:rPr>
              <w:t xml:space="preserve"> to use to </w:t>
            </w:r>
            <w:r w:rsidRPr="62027685">
              <w:rPr>
                <w:i/>
                <w:lang w:val="en-AU"/>
              </w:rPr>
              <w:t>distribute</w:t>
            </w:r>
            <w:r w:rsidRPr="62027685">
              <w:rPr>
                <w:lang w:val="en-AU"/>
              </w:rPr>
              <w:t xml:space="preserve"> electricity for </w:t>
            </w:r>
            <w:r w:rsidRPr="62027685">
              <w:rPr>
                <w:i/>
                <w:lang w:val="en-AU"/>
              </w:rPr>
              <w:t>supply</w:t>
            </w:r>
            <w:r w:rsidRPr="62027685">
              <w:rPr>
                <w:lang w:val="en-AU"/>
              </w:rPr>
              <w:t xml:space="preserve"> under its </w:t>
            </w:r>
            <w:r w:rsidRPr="62027685">
              <w:rPr>
                <w:i/>
                <w:lang w:val="en-AU"/>
              </w:rPr>
              <w:t>distribution licence</w:t>
            </w:r>
            <w:r w:rsidRPr="62027685">
              <w:rPr>
                <w:lang w:val="en-AU"/>
              </w:rPr>
              <w:t xml:space="preserve"> or exemption granted under the Act, </w:t>
            </w:r>
            <w:r w:rsidR="00BC2C25" w:rsidRPr="62027685">
              <w:rPr>
                <w:lang w:val="en-AU"/>
              </w:rPr>
              <w:t>in</w:t>
            </w:r>
            <w:r w:rsidRPr="62027685">
              <w:rPr>
                <w:lang w:val="en-AU"/>
              </w:rPr>
              <w:t xml:space="preserve">cluding </w:t>
            </w:r>
            <w:r w:rsidRPr="62027685">
              <w:rPr>
                <w:i/>
                <w:lang w:val="en-AU"/>
              </w:rPr>
              <w:t>public lighting assets</w:t>
            </w:r>
            <w:r w:rsidRPr="62027685">
              <w:rPr>
                <w:lang w:val="en-AU"/>
              </w:rPr>
              <w:t>.</w:t>
            </w:r>
          </w:p>
          <w:p w14:paraId="51DDAA24" w14:textId="77777777" w:rsidR="00C90719" w:rsidRDefault="00C90719" w:rsidP="00D30C58">
            <w:pPr>
              <w:pStyle w:val="TableBody"/>
              <w:rPr>
                <w:rFonts w:cstheme="minorHAnsi"/>
                <w:bCs/>
              </w:rPr>
            </w:pPr>
          </w:p>
          <w:p w14:paraId="486E0044" w14:textId="77777777" w:rsidR="00FA6F25" w:rsidRPr="00FA6F25" w:rsidRDefault="00FA6F25" w:rsidP="00FA6F25">
            <w:pPr>
              <w:pStyle w:val="TableBody"/>
              <w:rPr>
                <w:lang w:val="en-AU"/>
              </w:rPr>
            </w:pPr>
            <w:r w:rsidRPr="62027685">
              <w:rPr>
                <w:b/>
                <w:lang w:val="en-AU"/>
              </w:rPr>
              <w:t>fault report</w:t>
            </w:r>
            <w:r w:rsidRPr="62027685">
              <w:rPr>
                <w:lang w:val="en-AU"/>
              </w:rPr>
              <w:t xml:space="preserve"> means the time when a </w:t>
            </w:r>
            <w:r w:rsidRPr="62027685">
              <w:rPr>
                <w:i/>
                <w:lang w:val="en-AU"/>
              </w:rPr>
              <w:t>distributor’s</w:t>
            </w:r>
            <w:r w:rsidRPr="62027685">
              <w:rPr>
                <w:lang w:val="en-AU"/>
              </w:rPr>
              <w:t xml:space="preserve"> 24 hour call centre receives a report of a fault (from any source).</w:t>
            </w:r>
          </w:p>
          <w:p w14:paraId="0F6961BC" w14:textId="77777777" w:rsidR="00FA6F25" w:rsidRPr="00055C35" w:rsidRDefault="00FA6F25" w:rsidP="00FA6F25">
            <w:pPr>
              <w:widowControl w:val="0"/>
              <w:spacing w:after="240"/>
            </w:pPr>
            <w:r w:rsidRPr="00731FA7">
              <w:rPr>
                <w:b/>
                <w:bCs/>
              </w:rPr>
              <w:t>lamp</w:t>
            </w:r>
            <w:r w:rsidRPr="00055C35">
              <w:t xml:space="preserve"> means a source made in order to produce an optical radiation.</w:t>
            </w:r>
          </w:p>
          <w:p w14:paraId="1C0605BE" w14:textId="2F12EB0A" w:rsidR="00FA6F25" w:rsidRDefault="00731FA7" w:rsidP="00731FA7">
            <w:pPr>
              <w:pStyle w:val="TableBody"/>
              <w:rPr>
                <w:lang w:val="en-AU"/>
              </w:rPr>
            </w:pPr>
            <w:r w:rsidRPr="62027685">
              <w:rPr>
                <w:b/>
                <w:lang w:val="en-AU"/>
              </w:rPr>
              <w:t>luminaire</w:t>
            </w:r>
            <w:r w:rsidRPr="62027685">
              <w:rPr>
                <w:lang w:val="en-AU"/>
              </w:rPr>
              <w:t xml:space="preserve"> means an apparatus which distributes, filters or transforms the light transmitted from one or more </w:t>
            </w:r>
            <w:r w:rsidRPr="62027685">
              <w:rPr>
                <w:i/>
                <w:lang w:val="en-AU"/>
              </w:rPr>
              <w:t>lamps</w:t>
            </w:r>
            <w:r w:rsidRPr="62027685">
              <w:rPr>
                <w:lang w:val="en-AU"/>
              </w:rPr>
              <w:t xml:space="preserve"> and which includes, other than the </w:t>
            </w:r>
            <w:r w:rsidRPr="62027685">
              <w:rPr>
                <w:i/>
                <w:lang w:val="en-AU"/>
              </w:rPr>
              <w:t>lamps</w:t>
            </w:r>
            <w:r w:rsidRPr="62027685">
              <w:rPr>
                <w:lang w:val="en-AU"/>
              </w:rPr>
              <w:t xml:space="preserve"> themselves, all the parts necessary for fixing and protecting the </w:t>
            </w:r>
            <w:r w:rsidRPr="62027685">
              <w:rPr>
                <w:i/>
                <w:lang w:val="en-AU"/>
              </w:rPr>
              <w:t>lamps</w:t>
            </w:r>
            <w:r w:rsidRPr="62027685">
              <w:rPr>
                <w:lang w:val="en-AU"/>
              </w:rPr>
              <w:t xml:space="preserve"> and where necessary circuit auxiliaries together with the means for connecting them to the </w:t>
            </w:r>
            <w:r w:rsidRPr="62027685">
              <w:rPr>
                <w:i/>
                <w:lang w:val="en-AU"/>
              </w:rPr>
              <w:t>distribution system</w:t>
            </w:r>
            <w:r w:rsidRPr="62027685">
              <w:rPr>
                <w:lang w:val="en-AU"/>
              </w:rPr>
              <w:t xml:space="preserve">. </w:t>
            </w:r>
          </w:p>
          <w:p w14:paraId="542C7706" w14:textId="77777777" w:rsidR="00731FA7" w:rsidRPr="00731FA7" w:rsidRDefault="00731FA7" w:rsidP="00731FA7">
            <w:pPr>
              <w:pStyle w:val="TableBody"/>
              <w:rPr>
                <w:rFonts w:cstheme="minorHAnsi"/>
                <w:bCs/>
              </w:rPr>
            </w:pPr>
          </w:p>
          <w:p w14:paraId="12582CC3" w14:textId="7C9F7E0A" w:rsidR="00FA6F25" w:rsidRPr="00731FA7" w:rsidRDefault="00FA6F25" w:rsidP="00731FA7">
            <w:pPr>
              <w:pStyle w:val="TableBody"/>
              <w:rPr>
                <w:lang w:val="en-AU"/>
              </w:rPr>
            </w:pPr>
            <w:r w:rsidRPr="62027685">
              <w:rPr>
                <w:b/>
                <w:lang w:val="en-AU"/>
              </w:rPr>
              <w:t>major road</w:t>
            </w:r>
            <w:r w:rsidRPr="62027685">
              <w:rPr>
                <w:lang w:val="en-AU"/>
              </w:rPr>
              <w:t xml:space="preserve"> means a primary or secondary road depicted by a black or red line in the current edition from time to time of the Melway street directory, its equivalent electronic </w:t>
            </w:r>
            <w:r w:rsidR="00815846" w:rsidRPr="62027685">
              <w:rPr>
                <w:lang w:val="en-AU"/>
              </w:rPr>
              <w:t>equivalent</w:t>
            </w:r>
            <w:r w:rsidRPr="62027685">
              <w:rPr>
                <w:lang w:val="en-AU"/>
              </w:rPr>
              <w:t xml:space="preserve"> or a road in the non-metropolitan area designated ‘M’, ‘A’ or ‘B’ by VicRoads.</w:t>
            </w:r>
          </w:p>
          <w:p w14:paraId="103B8806" w14:textId="77777777" w:rsidR="00815846" w:rsidRDefault="00815846" w:rsidP="00815846">
            <w:pPr>
              <w:pStyle w:val="TableBody"/>
              <w:rPr>
                <w:rFonts w:cstheme="minorHAnsi"/>
                <w:b/>
              </w:rPr>
            </w:pPr>
          </w:p>
          <w:p w14:paraId="1ECE342E" w14:textId="69D008DD" w:rsidR="00FA6F25" w:rsidRPr="00815846" w:rsidRDefault="00FA6F25" w:rsidP="00815846">
            <w:pPr>
              <w:pStyle w:val="TableBody"/>
              <w:rPr>
                <w:lang w:val="en-AU"/>
              </w:rPr>
            </w:pPr>
            <w:r w:rsidRPr="62027685">
              <w:rPr>
                <w:b/>
                <w:lang w:val="en-AU"/>
              </w:rPr>
              <w:t>non-major road lamps</w:t>
            </w:r>
            <w:r w:rsidRPr="62027685">
              <w:rPr>
                <w:lang w:val="en-AU"/>
              </w:rPr>
              <w:t xml:space="preserve"> means a </w:t>
            </w:r>
            <w:r w:rsidRPr="62027685">
              <w:rPr>
                <w:i/>
                <w:lang w:val="en-AU"/>
              </w:rPr>
              <w:t>lamp</w:t>
            </w:r>
            <w:r w:rsidRPr="62027685">
              <w:rPr>
                <w:lang w:val="en-AU"/>
              </w:rPr>
              <w:t xml:space="preserve"> installed other than on </w:t>
            </w:r>
            <w:r w:rsidRPr="62027685">
              <w:rPr>
                <w:i/>
                <w:lang w:val="en-AU"/>
              </w:rPr>
              <w:t>major road</w:t>
            </w:r>
            <w:r w:rsidR="00815846" w:rsidRPr="62027685">
              <w:rPr>
                <w:i/>
                <w:lang w:val="en-AU"/>
              </w:rPr>
              <w:t>s</w:t>
            </w:r>
            <w:r w:rsidRPr="62027685">
              <w:rPr>
                <w:lang w:val="en-AU"/>
              </w:rPr>
              <w:t xml:space="preserve"> and includes </w:t>
            </w:r>
            <w:r w:rsidRPr="62027685">
              <w:rPr>
                <w:i/>
                <w:lang w:val="en-AU"/>
              </w:rPr>
              <w:t>lamps</w:t>
            </w:r>
            <w:r w:rsidRPr="62027685">
              <w:rPr>
                <w:lang w:val="en-AU"/>
              </w:rPr>
              <w:t xml:space="preserve"> installed in parks.</w:t>
            </w:r>
          </w:p>
          <w:p w14:paraId="5BE64F5D" w14:textId="77777777" w:rsidR="00815846" w:rsidRPr="00815846" w:rsidRDefault="00815846" w:rsidP="00815846">
            <w:pPr>
              <w:pStyle w:val="TableBody"/>
              <w:rPr>
                <w:rFonts w:cstheme="minorHAnsi"/>
                <w:bCs/>
              </w:rPr>
            </w:pPr>
          </w:p>
          <w:p w14:paraId="4754D7A4" w14:textId="67B49DE7" w:rsidR="00FA6F25" w:rsidRPr="00815846" w:rsidRDefault="00FA6F25" w:rsidP="00815846">
            <w:pPr>
              <w:pStyle w:val="TableBody"/>
              <w:rPr>
                <w:rFonts w:cstheme="minorHAnsi"/>
                <w:bCs/>
              </w:rPr>
            </w:pPr>
            <w:r w:rsidRPr="00815846">
              <w:rPr>
                <w:rFonts w:cstheme="minorHAnsi"/>
                <w:b/>
              </w:rPr>
              <w:t>non-standard fitting</w:t>
            </w:r>
            <w:r w:rsidRPr="00815846">
              <w:rPr>
                <w:rFonts w:cstheme="minorHAnsi"/>
                <w:bCs/>
              </w:rPr>
              <w:t xml:space="preserve"> means a fitting other than a </w:t>
            </w:r>
            <w:r w:rsidRPr="00815846">
              <w:rPr>
                <w:rFonts w:cstheme="minorHAnsi"/>
                <w:bCs/>
                <w:i/>
                <w:iCs/>
              </w:rPr>
              <w:t>standard fitting</w:t>
            </w:r>
            <w:r w:rsidRPr="00815846">
              <w:rPr>
                <w:rFonts w:cstheme="minorHAnsi"/>
                <w:bCs/>
              </w:rPr>
              <w:t>.</w:t>
            </w:r>
          </w:p>
          <w:p w14:paraId="3A608C6A" w14:textId="77777777" w:rsidR="00FA6F25" w:rsidRDefault="00FA6F25" w:rsidP="00FA6F25">
            <w:pPr>
              <w:widowControl w:val="0"/>
              <w:spacing w:after="240"/>
            </w:pPr>
            <w:r w:rsidRPr="00815846">
              <w:rPr>
                <w:b/>
                <w:bCs/>
              </w:rPr>
              <w:t>public lighting customer</w:t>
            </w:r>
            <w:r>
              <w:t xml:space="preserve"> means:</w:t>
            </w:r>
          </w:p>
          <w:p w14:paraId="77D69225" w14:textId="77777777" w:rsidR="00825E5A" w:rsidRDefault="00FA6F25" w:rsidP="00825E5A">
            <w:pPr>
              <w:pStyle w:val="ListParagraph"/>
              <w:widowControl w:val="0"/>
              <w:numPr>
                <w:ilvl w:val="0"/>
                <w:numId w:val="18"/>
              </w:numPr>
              <w:tabs>
                <w:tab w:val="left" w:pos="1701"/>
              </w:tabs>
              <w:spacing w:before="0" w:after="240" w:line="240" w:lineRule="auto"/>
              <w:rPr>
                <w:rFonts w:ascii="Arial" w:eastAsia="Arial" w:hAnsi="Arial" w:cs="Arial"/>
              </w:rPr>
            </w:pPr>
            <w:r w:rsidRPr="00825E5A">
              <w:rPr>
                <w:rFonts w:ascii="Arial" w:eastAsia="Arial" w:hAnsi="Arial" w:cs="Arial"/>
              </w:rPr>
              <w:t xml:space="preserve">VicRoads or a municipal council in its municipal district, as the case may be, in respect of public lighting of freeways or arterial roads within the meaning of the </w:t>
            </w:r>
            <w:r w:rsidRPr="00825E5A">
              <w:rPr>
                <w:rFonts w:ascii="Arial" w:eastAsia="Arial" w:hAnsi="Arial" w:cs="Arial"/>
                <w:i/>
                <w:iCs/>
              </w:rPr>
              <w:t>Road Management Act 2004</w:t>
            </w:r>
            <w:r w:rsidRPr="00825E5A">
              <w:rPr>
                <w:rFonts w:ascii="Arial" w:eastAsia="Arial" w:hAnsi="Arial" w:cs="Arial"/>
              </w:rPr>
              <w:t xml:space="preserve">; </w:t>
            </w:r>
          </w:p>
          <w:p w14:paraId="049C2F20" w14:textId="77777777" w:rsidR="00825E5A" w:rsidRDefault="00FA6F25" w:rsidP="00825E5A">
            <w:pPr>
              <w:pStyle w:val="ListParagraph"/>
              <w:widowControl w:val="0"/>
              <w:numPr>
                <w:ilvl w:val="0"/>
                <w:numId w:val="18"/>
              </w:numPr>
              <w:tabs>
                <w:tab w:val="left" w:pos="1701"/>
              </w:tabs>
              <w:spacing w:before="0" w:after="240" w:line="240" w:lineRule="auto"/>
              <w:rPr>
                <w:rFonts w:ascii="Arial" w:eastAsia="Arial" w:hAnsi="Arial" w:cs="Arial"/>
              </w:rPr>
            </w:pPr>
            <w:r w:rsidRPr="00825E5A">
              <w:rPr>
                <w:rFonts w:ascii="Arial" w:eastAsia="Arial" w:hAnsi="Arial" w:cs="Arial"/>
              </w:rPr>
              <w:t xml:space="preserve">the Docklands Authority in respect of public lighting in the docklands area (as defined in the </w:t>
            </w:r>
            <w:r w:rsidRPr="00825E5A">
              <w:rPr>
                <w:rFonts w:ascii="Arial" w:eastAsia="Arial" w:hAnsi="Arial" w:cs="Arial"/>
                <w:i/>
                <w:iCs/>
              </w:rPr>
              <w:t>Docklands Act 1991 (Vic)</w:t>
            </w:r>
            <w:r w:rsidRPr="00825E5A">
              <w:rPr>
                <w:rFonts w:ascii="Arial" w:eastAsia="Arial" w:hAnsi="Arial" w:cs="Arial"/>
              </w:rPr>
              <w:t xml:space="preserve">) other than public lighting in sub paragraph (a); and </w:t>
            </w:r>
          </w:p>
          <w:p w14:paraId="3833BD6C" w14:textId="67D8D625" w:rsidR="00FA6F25" w:rsidRPr="00825E5A" w:rsidRDefault="00FA6F25" w:rsidP="00825E5A">
            <w:pPr>
              <w:pStyle w:val="ListParagraph"/>
              <w:widowControl w:val="0"/>
              <w:numPr>
                <w:ilvl w:val="0"/>
                <w:numId w:val="18"/>
              </w:numPr>
              <w:tabs>
                <w:tab w:val="left" w:pos="1701"/>
              </w:tabs>
              <w:spacing w:before="0" w:after="240" w:line="240" w:lineRule="auto"/>
              <w:rPr>
                <w:rFonts w:ascii="Arial" w:eastAsia="Arial" w:hAnsi="Arial" w:cs="Arial"/>
              </w:rPr>
            </w:pPr>
            <w:r w:rsidRPr="00825E5A">
              <w:rPr>
                <w:rFonts w:ascii="Arial" w:eastAsia="Arial" w:hAnsi="Arial" w:cs="Arial"/>
              </w:rPr>
              <w:lastRenderedPageBreak/>
              <w:t>a municipal council in respect of all other public lighting in its municipal district</w:t>
            </w:r>
          </w:p>
          <w:p w14:paraId="0A056163" w14:textId="77777777" w:rsidR="00FA6F25" w:rsidRPr="00825E5A" w:rsidRDefault="00FA6F25" w:rsidP="00825E5A">
            <w:pPr>
              <w:pStyle w:val="TableBody"/>
              <w:rPr>
                <w:rFonts w:cstheme="minorHAnsi"/>
                <w:bCs/>
              </w:rPr>
            </w:pPr>
            <w:r w:rsidRPr="00825E5A">
              <w:rPr>
                <w:rFonts w:cstheme="minorHAnsi"/>
                <w:b/>
              </w:rPr>
              <w:t>public lighting standard</w:t>
            </w:r>
            <w:r w:rsidRPr="00825E5A">
              <w:rPr>
                <w:rFonts w:cstheme="minorHAnsi"/>
                <w:bCs/>
              </w:rPr>
              <w:t xml:space="preserve"> means the current version from time to time of AS/NZ 1158 and AS/NZ 60598 series of </w:t>
            </w:r>
            <w:r w:rsidRPr="00825E5A">
              <w:rPr>
                <w:rFonts w:cstheme="minorHAnsi"/>
                <w:bCs/>
                <w:i/>
                <w:iCs/>
              </w:rPr>
              <w:t>Australian Standards</w:t>
            </w:r>
            <w:r w:rsidRPr="00825E5A">
              <w:rPr>
                <w:rFonts w:cstheme="minorHAnsi"/>
                <w:bCs/>
              </w:rPr>
              <w:t>.</w:t>
            </w:r>
          </w:p>
          <w:p w14:paraId="421BC653" w14:textId="77777777" w:rsidR="00825E5A" w:rsidRPr="00825E5A" w:rsidRDefault="00825E5A" w:rsidP="00825E5A">
            <w:pPr>
              <w:pStyle w:val="TableBody"/>
              <w:rPr>
                <w:rFonts w:cstheme="minorHAnsi"/>
                <w:bCs/>
              </w:rPr>
            </w:pPr>
          </w:p>
          <w:p w14:paraId="68B3A03B" w14:textId="77777777" w:rsidR="00FA6F25" w:rsidRPr="00825E5A" w:rsidRDefault="00FA6F25" w:rsidP="00825E5A">
            <w:pPr>
              <w:pStyle w:val="TableBody"/>
              <w:rPr>
                <w:lang w:val="en-AU"/>
              </w:rPr>
            </w:pPr>
            <w:r w:rsidRPr="62027685">
              <w:rPr>
                <w:b/>
                <w:lang w:val="en-AU"/>
              </w:rPr>
              <w:t>standard fitting</w:t>
            </w:r>
            <w:r w:rsidRPr="62027685">
              <w:rPr>
                <w:lang w:val="en-AU"/>
              </w:rPr>
              <w:t xml:space="preserve"> means a </w:t>
            </w:r>
            <w:r w:rsidRPr="62027685">
              <w:rPr>
                <w:i/>
                <w:lang w:val="en-AU"/>
              </w:rPr>
              <w:t>lamp, luminaire</w:t>
            </w:r>
            <w:r w:rsidRPr="62027685">
              <w:rPr>
                <w:lang w:val="en-AU"/>
              </w:rPr>
              <w:t xml:space="preserve">, mounting bracket, public lighting pole, supply cable or control equipment, normally used by or acceptable to a </w:t>
            </w:r>
            <w:r w:rsidRPr="62027685">
              <w:rPr>
                <w:i/>
                <w:lang w:val="en-AU"/>
              </w:rPr>
              <w:t>distributor</w:t>
            </w:r>
            <w:r w:rsidRPr="62027685">
              <w:rPr>
                <w:lang w:val="en-AU"/>
              </w:rPr>
              <w:t xml:space="preserve">.  </w:t>
            </w:r>
          </w:p>
          <w:p w14:paraId="4EB361E4" w14:textId="77777777" w:rsidR="00FA6F25" w:rsidRDefault="00FA6F25" w:rsidP="00D30C58">
            <w:pPr>
              <w:pStyle w:val="TableBody"/>
              <w:rPr>
                <w:rFonts w:cstheme="minorHAnsi"/>
                <w:bCs/>
              </w:rPr>
            </w:pPr>
          </w:p>
          <w:p w14:paraId="036449BC" w14:textId="557391DF" w:rsidR="00C030F0" w:rsidRPr="00C030F0" w:rsidRDefault="00C030F0" w:rsidP="00D30C58">
            <w:pPr>
              <w:pStyle w:val="TableBody"/>
              <w:rPr>
                <w:rFonts w:cstheme="minorHAnsi"/>
                <w:bCs/>
                <w:highlight w:val="yellow"/>
              </w:rPr>
            </w:pPr>
          </w:p>
        </w:tc>
      </w:tr>
      <w:tr w:rsidR="00D30C58" w:rsidRPr="00F457C9" w14:paraId="23F8BDCF" w14:textId="77777777" w:rsidTr="00223042">
        <w:trPr>
          <w:cnfStyle w:val="000000010000" w:firstRow="0" w:lastRow="0" w:firstColumn="0" w:lastColumn="0" w:oddVBand="0" w:evenVBand="0" w:oddHBand="0" w:evenHBand="1" w:firstRowFirstColumn="0" w:firstRowLastColumn="0" w:lastRowFirstColumn="0" w:lastRowLastColumn="0"/>
          <w:cantSplit/>
          <w:trHeight w:val="300"/>
        </w:trPr>
        <w:tc>
          <w:tcPr>
            <w:tcW w:w="14712" w:type="dxa"/>
            <w:gridSpan w:val="2"/>
            <w:vAlign w:val="center"/>
          </w:tcPr>
          <w:p w14:paraId="3A4C80DF" w14:textId="4FD7D634" w:rsidR="00D30C58" w:rsidRPr="00F457C9" w:rsidRDefault="00D30C58" w:rsidP="00D30C58">
            <w:pPr>
              <w:pStyle w:val="TableBody"/>
              <w:jc w:val="center"/>
              <w:rPr>
                <w:rFonts w:cstheme="minorHAnsi"/>
                <w:b/>
                <w:highlight w:val="yellow"/>
              </w:rPr>
            </w:pPr>
            <w:r w:rsidRPr="00F457C9">
              <w:rPr>
                <w:rFonts w:cstheme="minorHAnsi"/>
                <w:b/>
                <w:lang w:val="en-AU"/>
              </w:rPr>
              <w:lastRenderedPageBreak/>
              <w:t>9. INTERPRETATION</w:t>
            </w:r>
          </w:p>
        </w:tc>
      </w:tr>
      <w:tr w:rsidR="005E7995" w:rsidRPr="00F457C9" w14:paraId="6BD9B99E" w14:textId="77777777" w:rsidTr="00223042">
        <w:trPr>
          <w:cnfStyle w:val="000000100000" w:firstRow="0" w:lastRow="0" w:firstColumn="0" w:lastColumn="0" w:oddVBand="0" w:evenVBand="0" w:oddHBand="1" w:evenHBand="0" w:firstRowFirstColumn="0" w:firstRowLastColumn="0" w:lastRowFirstColumn="0" w:lastRowLastColumn="0"/>
          <w:cantSplit/>
          <w:trHeight w:val="300"/>
        </w:trPr>
        <w:tc>
          <w:tcPr>
            <w:tcW w:w="7371" w:type="dxa"/>
          </w:tcPr>
          <w:p w14:paraId="7B58FB6A" w14:textId="77777777" w:rsidR="005E7995" w:rsidRPr="00F457C9" w:rsidRDefault="005E7995" w:rsidP="00D30C58">
            <w:pPr>
              <w:pStyle w:val="TableBody"/>
              <w:rPr>
                <w:rFonts w:cstheme="minorHAnsi"/>
                <w:b/>
                <w:lang w:val="en-AU"/>
              </w:rPr>
            </w:pPr>
            <w:r w:rsidRPr="00F457C9">
              <w:rPr>
                <w:rFonts w:cstheme="minorHAnsi"/>
                <w:b/>
                <w:lang w:val="en-AU"/>
              </w:rPr>
              <w:t xml:space="preserve">9.1 </w:t>
            </w:r>
          </w:p>
          <w:p w14:paraId="257BF0CD" w14:textId="011AC735" w:rsidR="005E7995" w:rsidRPr="00F457C9" w:rsidRDefault="005E7995" w:rsidP="00D30C58">
            <w:pPr>
              <w:pStyle w:val="TableBody"/>
              <w:rPr>
                <w:rFonts w:cstheme="minorHAnsi"/>
                <w:bCs/>
                <w:lang w:val="en-AU"/>
              </w:rPr>
            </w:pPr>
            <w:r w:rsidRPr="00F457C9">
              <w:rPr>
                <w:rFonts w:cstheme="minorHAnsi"/>
                <w:bCs/>
                <w:lang w:val="en-AU"/>
              </w:rPr>
              <w:t>In deciding whether a person has used best endeavours, regard will be had to all relevant factors including whether the person has acted in good faith and has done what is reasonably necessary in the circumstances.</w:t>
            </w:r>
          </w:p>
        </w:tc>
        <w:tc>
          <w:tcPr>
            <w:tcW w:w="7341" w:type="dxa"/>
            <w:vMerge w:val="restart"/>
          </w:tcPr>
          <w:p w14:paraId="1A0AEA2B" w14:textId="351DEEAC" w:rsidR="005E7995" w:rsidRDefault="00E12096" w:rsidP="00D30C58">
            <w:pPr>
              <w:pStyle w:val="TableBody"/>
              <w:rPr>
                <w:rFonts w:cstheme="minorHAnsi"/>
                <w:lang w:val="en-AU"/>
              </w:rPr>
            </w:pPr>
            <w:r w:rsidRPr="00E12096">
              <w:rPr>
                <w:rFonts w:cstheme="minorHAnsi"/>
                <w:lang w:val="en-AU"/>
              </w:rPr>
              <w:t>We consider th</w:t>
            </w:r>
            <w:r>
              <w:rPr>
                <w:rFonts w:cstheme="minorHAnsi"/>
                <w:lang w:val="en-AU"/>
              </w:rPr>
              <w:t>ese</w:t>
            </w:r>
            <w:r w:rsidRPr="00E12096">
              <w:rPr>
                <w:rFonts w:cstheme="minorHAnsi"/>
                <w:lang w:val="en-AU"/>
              </w:rPr>
              <w:t xml:space="preserve"> clause</w:t>
            </w:r>
            <w:r>
              <w:rPr>
                <w:rFonts w:cstheme="minorHAnsi"/>
                <w:lang w:val="en-AU"/>
              </w:rPr>
              <w:t>s</w:t>
            </w:r>
            <w:r w:rsidRPr="00E12096">
              <w:rPr>
                <w:rFonts w:cstheme="minorHAnsi"/>
                <w:lang w:val="en-AU"/>
              </w:rPr>
              <w:t xml:space="preserve"> to be redundant or superseded by other regulations</w:t>
            </w:r>
            <w:r>
              <w:rPr>
                <w:rFonts w:cstheme="minorHAnsi"/>
                <w:lang w:val="en-AU"/>
              </w:rPr>
              <w:t>.</w:t>
            </w:r>
          </w:p>
          <w:p w14:paraId="553A7872" w14:textId="77777777" w:rsidR="00690B16" w:rsidRPr="00F457C9" w:rsidRDefault="00690B16" w:rsidP="00D30C58">
            <w:pPr>
              <w:pStyle w:val="TableBody"/>
              <w:rPr>
                <w:rFonts w:cstheme="minorHAnsi"/>
                <w:b/>
                <w:highlight w:val="yellow"/>
              </w:rPr>
            </w:pPr>
          </w:p>
          <w:p w14:paraId="1ED1A5FE" w14:textId="28F86FA6" w:rsidR="005E7995" w:rsidRPr="00F457C9" w:rsidRDefault="005E7995" w:rsidP="00D30C58">
            <w:pPr>
              <w:pStyle w:val="TableBody"/>
              <w:rPr>
                <w:rFonts w:cstheme="minorHAnsi"/>
                <w:b/>
                <w:highlight w:val="yellow"/>
              </w:rPr>
            </w:pPr>
            <w:r w:rsidRPr="00F457C9">
              <w:rPr>
                <w:rFonts w:cstheme="minorHAnsi"/>
                <w:lang w:val="en-AU"/>
              </w:rPr>
              <w:t>A Code of Practice is a subordinate instrument, and the Interpretation of Legislation Act 1984 applies to its construction. To the extent any of the provisions of the Public Lighting Code of Practice are to be retained in an existing code of practice, those provisions would be interpreted in accordance with the Interpretation of Legislation Act 1984. This clause will be revoked.</w:t>
            </w:r>
          </w:p>
        </w:tc>
      </w:tr>
      <w:tr w:rsidR="005E7995" w:rsidRPr="00F457C9" w14:paraId="166897E1" w14:textId="77777777" w:rsidTr="00223042">
        <w:trPr>
          <w:cnfStyle w:val="000000010000" w:firstRow="0" w:lastRow="0" w:firstColumn="0" w:lastColumn="0" w:oddVBand="0" w:evenVBand="0" w:oddHBand="0" w:evenHBand="1" w:firstRowFirstColumn="0" w:firstRowLastColumn="0" w:lastRowFirstColumn="0" w:lastRowLastColumn="0"/>
          <w:trHeight w:val="300"/>
        </w:trPr>
        <w:tc>
          <w:tcPr>
            <w:tcW w:w="7371" w:type="dxa"/>
          </w:tcPr>
          <w:p w14:paraId="33C3787D" w14:textId="77777777" w:rsidR="005E7995" w:rsidRPr="00F457C9" w:rsidRDefault="005E7995" w:rsidP="00D30C58">
            <w:pPr>
              <w:pStyle w:val="TableBody"/>
              <w:rPr>
                <w:rFonts w:cstheme="minorHAnsi"/>
                <w:b/>
                <w:lang w:val="en-AU"/>
              </w:rPr>
            </w:pPr>
            <w:r w:rsidRPr="00F457C9">
              <w:rPr>
                <w:rFonts w:cstheme="minorHAnsi"/>
                <w:b/>
                <w:lang w:val="en-AU"/>
              </w:rPr>
              <w:t xml:space="preserve">9.2 </w:t>
            </w:r>
          </w:p>
          <w:p w14:paraId="07912BAD" w14:textId="77777777" w:rsidR="005E7995" w:rsidRPr="00F457C9" w:rsidRDefault="005E7995" w:rsidP="00D30C58">
            <w:pPr>
              <w:pStyle w:val="TableBody"/>
              <w:rPr>
                <w:rFonts w:cstheme="minorHAnsi"/>
                <w:bCs/>
                <w:lang w:val="en-AU"/>
              </w:rPr>
            </w:pPr>
            <w:r w:rsidRPr="00F457C9">
              <w:rPr>
                <w:rFonts w:cstheme="minorHAnsi"/>
                <w:bCs/>
                <w:lang w:val="en-AU"/>
              </w:rPr>
              <w:t xml:space="preserve">In this Code, unless the context otherwise requires: </w:t>
            </w:r>
          </w:p>
          <w:p w14:paraId="659B5055" w14:textId="77777777" w:rsidR="005E7995" w:rsidRPr="00F457C9" w:rsidRDefault="005E7995" w:rsidP="00D30C58">
            <w:pPr>
              <w:pStyle w:val="TableBody"/>
              <w:rPr>
                <w:rFonts w:cstheme="minorHAnsi"/>
                <w:bCs/>
                <w:lang w:val="en-AU"/>
              </w:rPr>
            </w:pPr>
            <w:r w:rsidRPr="00F457C9">
              <w:rPr>
                <w:rFonts w:cstheme="minorHAnsi"/>
                <w:bCs/>
                <w:lang w:val="en-AU"/>
              </w:rPr>
              <w:t xml:space="preserve">(a) any question as to the fairness and reasonableness of a matter in this Code will be decided by the </w:t>
            </w:r>
            <w:r w:rsidRPr="00F457C9">
              <w:rPr>
                <w:rFonts w:cstheme="minorHAnsi"/>
                <w:b/>
                <w:lang w:val="en-AU"/>
              </w:rPr>
              <w:t>Commission</w:t>
            </w:r>
            <w:r w:rsidRPr="00F457C9">
              <w:rPr>
                <w:rFonts w:cstheme="minorHAnsi"/>
                <w:bCs/>
                <w:lang w:val="en-AU"/>
              </w:rPr>
              <w:t xml:space="preserve"> on the basis of the </w:t>
            </w:r>
            <w:r w:rsidRPr="00F457C9">
              <w:rPr>
                <w:rFonts w:cstheme="minorHAnsi"/>
                <w:b/>
                <w:lang w:val="en-AU"/>
              </w:rPr>
              <w:t>Commission’s</w:t>
            </w:r>
            <w:r w:rsidRPr="00F457C9">
              <w:rPr>
                <w:rFonts w:cstheme="minorHAnsi"/>
                <w:bCs/>
                <w:lang w:val="en-AU"/>
              </w:rPr>
              <w:t xml:space="preserve"> opinion of fairness and reasonableness. </w:t>
            </w:r>
          </w:p>
          <w:p w14:paraId="3FD833F9" w14:textId="77777777" w:rsidR="005E7995" w:rsidRPr="00F457C9" w:rsidRDefault="005E7995" w:rsidP="00D30C58">
            <w:pPr>
              <w:pStyle w:val="TableBody"/>
              <w:rPr>
                <w:rFonts w:cstheme="minorHAnsi"/>
                <w:bCs/>
                <w:lang w:val="en-AU"/>
              </w:rPr>
            </w:pPr>
            <w:r w:rsidRPr="00F457C9">
              <w:rPr>
                <w:rFonts w:cstheme="minorHAnsi"/>
                <w:bCs/>
                <w:lang w:val="en-AU"/>
              </w:rPr>
              <w:t xml:space="preserve">(b) headings and footnotes are for convenience or information only and do not affect the interpretation of this Code or of any term or condition set out in this Code; </w:t>
            </w:r>
          </w:p>
          <w:p w14:paraId="486573A4" w14:textId="77777777" w:rsidR="005E7995" w:rsidRPr="00F457C9" w:rsidRDefault="005E7995" w:rsidP="00D30C58">
            <w:pPr>
              <w:pStyle w:val="TableBody"/>
              <w:rPr>
                <w:rFonts w:cstheme="minorHAnsi"/>
                <w:bCs/>
                <w:lang w:val="en-AU"/>
              </w:rPr>
            </w:pPr>
            <w:r w:rsidRPr="00F457C9">
              <w:rPr>
                <w:rFonts w:cstheme="minorHAnsi"/>
                <w:bCs/>
                <w:lang w:val="en-AU"/>
              </w:rPr>
              <w:t xml:space="preserve">(c) words importing the singular include the plural and vice versa; </w:t>
            </w:r>
          </w:p>
          <w:p w14:paraId="0F6F0A30" w14:textId="77777777" w:rsidR="005E7995" w:rsidRPr="00F457C9" w:rsidRDefault="005E7995" w:rsidP="00D30C58">
            <w:pPr>
              <w:pStyle w:val="TableBody"/>
              <w:rPr>
                <w:rFonts w:cstheme="minorHAnsi"/>
                <w:bCs/>
                <w:lang w:val="en-AU"/>
              </w:rPr>
            </w:pPr>
            <w:r w:rsidRPr="00F457C9">
              <w:rPr>
                <w:rFonts w:cstheme="minorHAnsi"/>
                <w:bCs/>
                <w:lang w:val="en-AU"/>
              </w:rPr>
              <w:t xml:space="preserve">(d) an expression importing a natural person includes any company, partnership, trust, joint venture, association, corporation or other body corporate and any governmental agency and vice versa; </w:t>
            </w:r>
          </w:p>
          <w:p w14:paraId="0416757D" w14:textId="77777777" w:rsidR="005E7995" w:rsidRPr="00F457C9" w:rsidRDefault="005E7995" w:rsidP="00D30C58">
            <w:pPr>
              <w:pStyle w:val="TableBody"/>
              <w:rPr>
                <w:rFonts w:cstheme="minorHAnsi"/>
                <w:bCs/>
                <w:lang w:val="en-AU"/>
              </w:rPr>
            </w:pPr>
            <w:r w:rsidRPr="00F457C9">
              <w:rPr>
                <w:rFonts w:cstheme="minorHAnsi"/>
                <w:bCs/>
                <w:lang w:val="en-AU"/>
              </w:rPr>
              <w:t xml:space="preserve">(e) a reference to a clause or appendix is to a clause or appendix of this Code; </w:t>
            </w:r>
          </w:p>
          <w:p w14:paraId="37A74B21" w14:textId="77777777" w:rsidR="005E7995" w:rsidRPr="00F457C9" w:rsidRDefault="005E7995" w:rsidP="00D30C58">
            <w:pPr>
              <w:pStyle w:val="TableBody"/>
              <w:rPr>
                <w:rFonts w:cstheme="minorHAnsi"/>
                <w:bCs/>
                <w:lang w:val="en-AU"/>
              </w:rPr>
            </w:pPr>
            <w:r w:rsidRPr="00F457C9">
              <w:rPr>
                <w:rFonts w:cstheme="minorHAnsi"/>
                <w:bCs/>
                <w:lang w:val="en-AU"/>
              </w:rPr>
              <w:t xml:space="preserve">(f) a reference to any statute includes all statutes varying, consolidating, re-enacting, extending or replacing them and a reference to a statute includes all regulations, proclamations, ordinances, by-laws and determinations issued under that statute; </w:t>
            </w:r>
          </w:p>
          <w:p w14:paraId="3FBA6A76" w14:textId="77777777" w:rsidR="005E7995" w:rsidRPr="00F457C9" w:rsidRDefault="005E7995" w:rsidP="00D30C58">
            <w:pPr>
              <w:pStyle w:val="TableBody"/>
              <w:rPr>
                <w:rFonts w:cstheme="minorHAnsi"/>
                <w:bCs/>
                <w:lang w:val="en-AU"/>
              </w:rPr>
            </w:pPr>
            <w:r w:rsidRPr="00F457C9">
              <w:rPr>
                <w:rFonts w:cstheme="minorHAnsi"/>
                <w:bCs/>
                <w:lang w:val="en-AU"/>
              </w:rPr>
              <w:lastRenderedPageBreak/>
              <w:t xml:space="preserve">(g) a reference to a document or a provision of a document includes an amendment or supplement to, or replacement of or novation of, that document or that provision of that document; </w:t>
            </w:r>
          </w:p>
          <w:p w14:paraId="3E0B880C" w14:textId="77777777" w:rsidR="005E7995" w:rsidRPr="00F457C9" w:rsidRDefault="005E7995" w:rsidP="00D30C58">
            <w:pPr>
              <w:pStyle w:val="TableBody"/>
              <w:rPr>
                <w:rFonts w:cstheme="minorHAnsi"/>
                <w:bCs/>
                <w:lang w:val="en-AU"/>
              </w:rPr>
            </w:pPr>
            <w:r w:rsidRPr="00F457C9">
              <w:rPr>
                <w:rFonts w:cstheme="minorHAnsi"/>
                <w:bCs/>
                <w:lang w:val="en-AU"/>
              </w:rPr>
              <w:t xml:space="preserve">(h) a reference to a person includes that person’s executors, administrators, successors, substitutes (including, without limitation, persons taking by novation) and permitted assigns; </w:t>
            </w:r>
          </w:p>
          <w:p w14:paraId="4BDA2AB8" w14:textId="77777777" w:rsidR="005E7995" w:rsidRPr="00F457C9" w:rsidRDefault="005E7995" w:rsidP="00D30C58">
            <w:pPr>
              <w:pStyle w:val="TableBody"/>
              <w:rPr>
                <w:rFonts w:cstheme="minorHAnsi"/>
                <w:bCs/>
                <w:lang w:val="en-AU"/>
              </w:rPr>
            </w:pPr>
            <w:r w:rsidRPr="00F457C9">
              <w:rPr>
                <w:rFonts w:cstheme="minorHAnsi"/>
                <w:bCs/>
                <w:lang w:val="en-AU"/>
              </w:rPr>
              <w:t xml:space="preserve">(i) other parts of speech and grammatical forms of a word or phrase defined in this Code have a corresponding meaning; </w:t>
            </w:r>
          </w:p>
          <w:p w14:paraId="5A7E6373" w14:textId="77777777" w:rsidR="005E7995" w:rsidRPr="00F457C9" w:rsidRDefault="005E7995" w:rsidP="00D30C58">
            <w:pPr>
              <w:pStyle w:val="TableBody"/>
              <w:rPr>
                <w:rFonts w:cstheme="minorHAnsi"/>
                <w:bCs/>
                <w:lang w:val="en-AU"/>
              </w:rPr>
            </w:pPr>
            <w:r w:rsidRPr="00F457C9">
              <w:rPr>
                <w:rFonts w:cstheme="minorHAnsi"/>
                <w:bCs/>
                <w:lang w:val="en-AU"/>
              </w:rPr>
              <w:t xml:space="preserve">(j) a period of time: </w:t>
            </w:r>
          </w:p>
          <w:p w14:paraId="0258192E" w14:textId="77777777" w:rsidR="005E7995" w:rsidRPr="00F457C9" w:rsidRDefault="005E7995" w:rsidP="00D30C58">
            <w:pPr>
              <w:pStyle w:val="TableBody"/>
              <w:numPr>
                <w:ilvl w:val="0"/>
                <w:numId w:val="10"/>
              </w:numPr>
              <w:rPr>
                <w:rFonts w:cstheme="minorHAnsi"/>
                <w:bCs/>
                <w:lang w:val="en-AU"/>
              </w:rPr>
            </w:pPr>
            <w:r w:rsidRPr="00F457C9">
              <w:rPr>
                <w:rFonts w:cstheme="minorHAnsi"/>
                <w:bCs/>
                <w:lang w:val="en-AU"/>
              </w:rPr>
              <w:t xml:space="preserve">which dates from a given day or the day of an act or event is to be calculated exclusive of that day; or </w:t>
            </w:r>
          </w:p>
          <w:p w14:paraId="6C14D3C9" w14:textId="77777777" w:rsidR="005E7995" w:rsidRPr="00F457C9" w:rsidRDefault="005E7995" w:rsidP="00D30C58">
            <w:pPr>
              <w:pStyle w:val="TableBody"/>
              <w:numPr>
                <w:ilvl w:val="0"/>
                <w:numId w:val="10"/>
              </w:numPr>
              <w:rPr>
                <w:rFonts w:cstheme="minorHAnsi"/>
                <w:bCs/>
                <w:lang w:val="en-AU"/>
              </w:rPr>
            </w:pPr>
            <w:r w:rsidRPr="00F457C9">
              <w:rPr>
                <w:rFonts w:cstheme="minorHAnsi"/>
                <w:bCs/>
                <w:lang w:val="en-AU"/>
              </w:rPr>
              <w:t xml:space="preserve">which commences on a given day or the day or an act or event is to be calculated inclusive of that day; and </w:t>
            </w:r>
          </w:p>
          <w:p w14:paraId="061071C6" w14:textId="77777777" w:rsidR="005E7995" w:rsidRPr="00F457C9" w:rsidRDefault="005E7995" w:rsidP="00D30C58">
            <w:pPr>
              <w:pStyle w:val="TableBody"/>
              <w:rPr>
                <w:rFonts w:cstheme="minorHAnsi"/>
                <w:bCs/>
                <w:lang w:val="en-AU"/>
              </w:rPr>
            </w:pPr>
            <w:r w:rsidRPr="00F457C9">
              <w:rPr>
                <w:rFonts w:cstheme="minorHAnsi"/>
                <w:bCs/>
                <w:lang w:val="en-AU"/>
              </w:rPr>
              <w:t xml:space="preserve">(k) a reference to: </w:t>
            </w:r>
          </w:p>
          <w:p w14:paraId="631705F8" w14:textId="77777777" w:rsidR="005E7995" w:rsidRPr="00F457C9" w:rsidRDefault="005E7995" w:rsidP="00D30C58">
            <w:pPr>
              <w:pStyle w:val="TableBody"/>
              <w:numPr>
                <w:ilvl w:val="0"/>
                <w:numId w:val="11"/>
              </w:numPr>
              <w:rPr>
                <w:rFonts w:cstheme="minorHAnsi"/>
                <w:bCs/>
                <w:lang w:val="en-AU"/>
              </w:rPr>
            </w:pPr>
            <w:r w:rsidRPr="00F457C9">
              <w:rPr>
                <w:rFonts w:cstheme="minorHAnsi"/>
                <w:bCs/>
                <w:lang w:val="en-AU"/>
              </w:rPr>
              <w:t xml:space="preserve">time is a reference to Standard Time within the meaning of the Summer Time Act 1972 (Vic) and not Summer Time within the meaning of that Act; </w:t>
            </w:r>
          </w:p>
          <w:p w14:paraId="3B6F5112" w14:textId="77777777" w:rsidR="005E7995" w:rsidRPr="00F457C9" w:rsidRDefault="005E7995" w:rsidP="00D30C58">
            <w:pPr>
              <w:pStyle w:val="TableBody"/>
              <w:numPr>
                <w:ilvl w:val="0"/>
                <w:numId w:val="11"/>
              </w:numPr>
              <w:rPr>
                <w:rFonts w:cstheme="minorHAnsi"/>
                <w:bCs/>
                <w:lang w:val="en-AU"/>
              </w:rPr>
            </w:pPr>
            <w:r w:rsidRPr="00F457C9">
              <w:rPr>
                <w:rFonts w:cstheme="minorHAnsi"/>
                <w:bCs/>
                <w:lang w:val="en-AU"/>
              </w:rPr>
              <w:t xml:space="preserve">a day is a reference to a period commencing immediately after midnight and ending the following midnight; and </w:t>
            </w:r>
          </w:p>
          <w:p w14:paraId="6311C0EC" w14:textId="77777777" w:rsidR="005E7995" w:rsidRPr="00F457C9" w:rsidRDefault="005E7995" w:rsidP="00D30C58">
            <w:pPr>
              <w:pStyle w:val="TableBody"/>
              <w:numPr>
                <w:ilvl w:val="0"/>
                <w:numId w:val="11"/>
              </w:numPr>
              <w:rPr>
                <w:rFonts w:cstheme="minorHAnsi"/>
                <w:bCs/>
                <w:lang w:val="en-AU"/>
              </w:rPr>
            </w:pPr>
            <w:r w:rsidRPr="00F457C9">
              <w:rPr>
                <w:rFonts w:cstheme="minorHAnsi"/>
                <w:bCs/>
                <w:lang w:val="en-AU"/>
              </w:rPr>
              <w:t xml:space="preserve">a month is a reference to a calendar month; </w:t>
            </w:r>
          </w:p>
          <w:p w14:paraId="57470066" w14:textId="54F8AD00" w:rsidR="005E7995" w:rsidRPr="00F457C9" w:rsidRDefault="005E7995" w:rsidP="00D30C58">
            <w:pPr>
              <w:pStyle w:val="TableBody"/>
              <w:rPr>
                <w:rFonts w:cstheme="minorHAnsi"/>
                <w:bCs/>
                <w:lang w:val="en-AU"/>
              </w:rPr>
            </w:pPr>
            <w:r w:rsidRPr="00F457C9">
              <w:rPr>
                <w:rFonts w:cstheme="minorHAnsi"/>
                <w:bCs/>
                <w:lang w:val="en-AU"/>
              </w:rPr>
              <w:t xml:space="preserve">(l) an event which is required under any term or condition set out in this Code to occur on or by a stipulated day which is not a </w:t>
            </w:r>
            <w:r w:rsidRPr="00F457C9">
              <w:rPr>
                <w:rFonts w:cstheme="minorHAnsi"/>
                <w:b/>
                <w:lang w:val="en-AU"/>
              </w:rPr>
              <w:t>business day</w:t>
            </w:r>
            <w:r w:rsidRPr="00F457C9">
              <w:rPr>
                <w:rFonts w:cstheme="minorHAnsi"/>
                <w:bCs/>
                <w:lang w:val="en-AU"/>
              </w:rPr>
              <w:t xml:space="preserve"> may occur on or by the </w:t>
            </w:r>
            <w:r w:rsidRPr="00F457C9">
              <w:rPr>
                <w:rFonts w:cstheme="minorHAnsi"/>
                <w:b/>
                <w:lang w:val="en-AU"/>
              </w:rPr>
              <w:t>next business</w:t>
            </w:r>
            <w:r w:rsidRPr="00F457C9">
              <w:rPr>
                <w:rFonts w:cstheme="minorHAnsi"/>
                <w:bCs/>
                <w:lang w:val="en-AU"/>
              </w:rPr>
              <w:t>.</w:t>
            </w:r>
          </w:p>
        </w:tc>
        <w:tc>
          <w:tcPr>
            <w:tcW w:w="7341" w:type="dxa"/>
            <w:vMerge/>
          </w:tcPr>
          <w:p w14:paraId="59E73852" w14:textId="3A12BF54" w:rsidR="005E7995" w:rsidRPr="00F457C9" w:rsidRDefault="005E7995" w:rsidP="00D30C58">
            <w:pPr>
              <w:pStyle w:val="TableBody"/>
              <w:rPr>
                <w:rFonts w:cstheme="minorHAnsi"/>
                <w:b/>
              </w:rPr>
            </w:pPr>
          </w:p>
        </w:tc>
      </w:tr>
    </w:tbl>
    <w:p w14:paraId="7F006CE3" w14:textId="77777777" w:rsidR="00E44522" w:rsidRPr="00F457C9" w:rsidRDefault="00E44522" w:rsidP="00E44522">
      <w:pPr>
        <w:rPr>
          <w:rFonts w:cstheme="minorHAnsi"/>
        </w:rPr>
      </w:pPr>
    </w:p>
    <w:sectPr w:rsidR="00E44522" w:rsidRPr="00F457C9" w:rsidSect="00E44522">
      <w:headerReference w:type="even" r:id="rId34"/>
      <w:headerReference w:type="default" r:id="rId35"/>
      <w:footerReference w:type="even" r:id="rId36"/>
      <w:footerReference w:type="default" r:id="rId37"/>
      <w:headerReference w:type="first" r:id="rId38"/>
      <w:footerReference w:type="first" r:id="rId39"/>
      <w:type w:val="continuous"/>
      <w:pgSz w:w="16838" w:h="11906" w:orient="landscape"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83A03" w14:textId="77777777" w:rsidR="009E529C" w:rsidRDefault="009E529C" w:rsidP="00AE03FA">
      <w:pPr>
        <w:spacing w:after="0"/>
      </w:pPr>
      <w:r>
        <w:separator/>
      </w:r>
    </w:p>
    <w:p w14:paraId="59764A9F" w14:textId="77777777" w:rsidR="009E529C" w:rsidRDefault="009E529C"/>
  </w:endnote>
  <w:endnote w:type="continuationSeparator" w:id="0">
    <w:p w14:paraId="34E2B35F" w14:textId="77777777" w:rsidR="009E529C" w:rsidRDefault="009E529C" w:rsidP="00AE03FA">
      <w:pPr>
        <w:spacing w:after="0"/>
      </w:pPr>
      <w:r>
        <w:continuationSeparator/>
      </w:r>
    </w:p>
    <w:p w14:paraId="78081F4C" w14:textId="77777777" w:rsidR="009E529C" w:rsidRDefault="009E52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9F7EA" w14:textId="77777777" w:rsidR="00382A74" w:rsidRDefault="00382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7A409FB9" w14:textId="77777777" w:rsidTr="006C0CA8">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9C44965" w14:textId="77777777" w:rsidR="00440B1F" w:rsidRPr="009E15D6" w:rsidRDefault="00440B1F" w:rsidP="006C0CA8">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7D4A87">
            <w:rPr>
              <w:rStyle w:val="PageNumber"/>
              <w:noProof/>
            </w:rPr>
            <w:t>2</w:t>
          </w:r>
          <w:r w:rsidRPr="009E15D6">
            <w:rPr>
              <w:rStyle w:val="PageNumber"/>
            </w:rPr>
            <w:fldChar w:fldCharType="end"/>
          </w:r>
        </w:p>
      </w:tc>
    </w:tr>
  </w:tbl>
  <w:p w14:paraId="1C3C7C1D" w14:textId="19513DDA" w:rsidR="00CF34A7" w:rsidRPr="00440B1F" w:rsidRDefault="00440B1F" w:rsidP="00AC2016">
    <w:pPr>
      <w:pStyle w:val="Footer"/>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EndPr/>
      <w:sdtContent>
        <w:r w:rsidR="00AD30A9">
          <w:rPr>
            <w:b/>
          </w:rPr>
          <w:t>Public Lighting Code of Practice Review</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D68A6" w14:paraId="0A1E09F5" w14:textId="77777777" w:rsidTr="006C0CA8">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62D1227" w14:textId="77777777" w:rsidR="008D68A6" w:rsidRPr="009E15D6" w:rsidRDefault="008D68A6" w:rsidP="006C0CA8">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7D4A87">
            <w:rPr>
              <w:rStyle w:val="PageNumber"/>
              <w:noProof/>
            </w:rPr>
            <w:t>1</w:t>
          </w:r>
          <w:r w:rsidRPr="009E15D6">
            <w:rPr>
              <w:rStyle w:val="PageNumber"/>
            </w:rPr>
            <w:fldChar w:fldCharType="end"/>
          </w:r>
        </w:p>
      </w:tc>
    </w:tr>
  </w:tbl>
  <w:p w14:paraId="3D70C0CA" w14:textId="2E00E6F4" w:rsidR="0064367E" w:rsidRPr="008D68A6" w:rsidRDefault="008D68A6" w:rsidP="00AC2016">
    <w:pPr>
      <w:pStyle w:val="Footer"/>
      <w:ind w:right="707"/>
      <w:rPr>
        <w:b/>
      </w:rPr>
    </w:pPr>
    <w:r>
      <w:t xml:space="preserve">Essential Services Commission </w:t>
    </w:r>
    <w:sdt>
      <w:sdtPr>
        <w:rPr>
          <w:b/>
        </w:rPr>
        <w:alias w:val="Title"/>
        <w:tag w:val=""/>
        <w:id w:val="1814057343"/>
        <w:dataBinding w:prefixMappings="xmlns:ns0='http://purl.org/dc/elements/1.1/' xmlns:ns1='http://schemas.openxmlformats.org/package/2006/metadata/core-properties' " w:xpath="/ns1:coreProperties[1]/ns0:title[1]" w:storeItemID="{6C3C8BC8-F283-45AE-878A-BAB7291924A1}"/>
        <w:text/>
      </w:sdtPr>
      <w:sdtEndPr/>
      <w:sdtContent>
        <w:r w:rsidR="00AD30A9">
          <w:rPr>
            <w:b/>
          </w:rPr>
          <w:t>Public Lighting Code of Practice Review</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8E1A3" w14:textId="77777777" w:rsidR="009E529C" w:rsidRPr="00CF33F6" w:rsidRDefault="009E529C" w:rsidP="00AE03FA">
      <w:pPr>
        <w:spacing w:after="0"/>
        <w:rPr>
          <w:color w:val="75787B" w:themeColor="background2"/>
        </w:rPr>
      </w:pPr>
      <w:bookmarkStart w:id="0" w:name="_Hlk480978878"/>
      <w:bookmarkEnd w:id="0"/>
      <w:r w:rsidRPr="00CF33F6">
        <w:rPr>
          <w:color w:val="75787B" w:themeColor="background2"/>
        </w:rPr>
        <w:separator/>
      </w:r>
    </w:p>
    <w:p w14:paraId="4C1521A6" w14:textId="77777777" w:rsidR="009E529C" w:rsidRDefault="009E529C" w:rsidP="00CF33F6">
      <w:pPr>
        <w:pStyle w:val="NoSpacing"/>
      </w:pPr>
    </w:p>
  </w:footnote>
  <w:footnote w:type="continuationSeparator" w:id="0">
    <w:p w14:paraId="096A74AE" w14:textId="77777777" w:rsidR="009E529C" w:rsidRDefault="009E529C" w:rsidP="00AE03FA">
      <w:pPr>
        <w:spacing w:after="0"/>
      </w:pPr>
      <w:r>
        <w:continuationSeparator/>
      </w:r>
    </w:p>
    <w:p w14:paraId="540AFFF7" w14:textId="77777777" w:rsidR="009E529C" w:rsidRDefault="009E52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F94EF" w14:textId="1A02F50B" w:rsidR="00382A74" w:rsidRDefault="00382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11D50" w14:textId="7E7F5B71" w:rsidR="003A30F3" w:rsidRPr="00633068" w:rsidRDefault="003A30F3" w:rsidP="00633068">
    <w:pPr>
      <w:pStyle w:val="Header"/>
      <w:tabs>
        <w:tab w:val="clear" w:pos="4680"/>
        <w:tab w:val="clear" w:pos="9360"/>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BF89F" w14:textId="29D2E0B3" w:rsidR="0064367E" w:rsidRDefault="0064367E">
    <w:pPr>
      <w:pStyle w:val="Header"/>
    </w:pPr>
    <w:r>
      <w:rPr>
        <w:noProof/>
        <w:lang w:eastAsia="en-AU"/>
      </w:rPr>
      <w:drawing>
        <wp:anchor distT="0" distB="180340" distL="114300" distR="114300" simplePos="0" relativeHeight="251658240" behindDoc="0" locked="0" layoutInCell="1" allowOverlap="1" wp14:anchorId="72B61FD7" wp14:editId="4FF0655A">
          <wp:simplePos x="0" y="0"/>
          <wp:positionH relativeFrom="column">
            <wp:posOffset>-4445</wp:posOffset>
          </wp:positionH>
          <wp:positionV relativeFrom="paragraph">
            <wp:posOffset>263525</wp:posOffset>
          </wp:positionV>
          <wp:extent cx="2653030" cy="82423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030" cy="8242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158E"/>
    <w:multiLevelType w:val="hybridMultilevel"/>
    <w:tmpl w:val="365A82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00634A"/>
    <w:multiLevelType w:val="hybridMultilevel"/>
    <w:tmpl w:val="A9F4A1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8052EF"/>
    <w:multiLevelType w:val="multilevel"/>
    <w:tmpl w:val="DF4A9966"/>
    <w:numStyleLink w:val="TableBullets"/>
  </w:abstractNum>
  <w:abstractNum w:abstractNumId="4"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95E3316"/>
    <w:multiLevelType w:val="hybridMultilevel"/>
    <w:tmpl w:val="94ECC0B4"/>
    <w:lvl w:ilvl="0" w:tplc="616833E8">
      <w:start w:val="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7A2EE8"/>
    <w:multiLevelType w:val="hybridMultilevel"/>
    <w:tmpl w:val="3794788E"/>
    <w:lvl w:ilvl="0" w:tplc="FFFFFFFF">
      <w:start w:val="1"/>
      <w:numFmt w:val="lowerLetter"/>
      <w:lvlText w:val="(%1)"/>
      <w:lvlJc w:val="left"/>
      <w:pPr>
        <w:ind w:left="-3726" w:firstLine="0"/>
      </w:pPr>
      <w:rPr>
        <w:rFonts w:ascii="Tahoma" w:eastAsia="Arial" w:hAnsi="Tahoma" w:cs="Tahoma" w:hint="default"/>
        <w:b/>
        <w:bCs/>
        <w:sz w:val="20"/>
        <w:szCs w:val="20"/>
      </w:rPr>
    </w:lvl>
    <w:lvl w:ilvl="1" w:tplc="FFFFFFFF">
      <w:start w:val="1"/>
      <w:numFmt w:val="bullet"/>
      <w:lvlText w:val="o"/>
      <w:lvlJc w:val="left"/>
      <w:pPr>
        <w:tabs>
          <w:tab w:val="num" w:pos="-2286"/>
        </w:tabs>
        <w:ind w:left="-2286" w:hanging="360"/>
      </w:pPr>
      <w:rPr>
        <w:rFonts w:ascii="Courier New" w:hAnsi="Courier New"/>
      </w:rPr>
    </w:lvl>
    <w:lvl w:ilvl="2" w:tplc="FFFFFFFF">
      <w:start w:val="1"/>
      <w:numFmt w:val="bullet"/>
      <w:lvlText w:val=""/>
      <w:lvlJc w:val="left"/>
      <w:pPr>
        <w:tabs>
          <w:tab w:val="num" w:pos="-1566"/>
        </w:tabs>
        <w:ind w:left="-1566" w:hanging="360"/>
      </w:pPr>
      <w:rPr>
        <w:rFonts w:ascii="Wingdings" w:hAnsi="Wingdings"/>
      </w:rPr>
    </w:lvl>
    <w:lvl w:ilvl="3" w:tplc="FFFFFFFF">
      <w:start w:val="1"/>
      <w:numFmt w:val="lowerLetter"/>
      <w:lvlText w:val="(%4)"/>
      <w:lvlJc w:val="left"/>
      <w:pPr>
        <w:ind w:left="-3726" w:firstLine="0"/>
      </w:pPr>
      <w:rPr>
        <w:rFonts w:ascii="Tahoma" w:eastAsia="Arial" w:hAnsi="Tahoma" w:cs="Tahoma" w:hint="default"/>
        <w:b/>
        <w:bCs/>
        <w:sz w:val="20"/>
        <w:szCs w:val="20"/>
      </w:rPr>
    </w:lvl>
    <w:lvl w:ilvl="4" w:tplc="FFFFFFFF">
      <w:start w:val="3"/>
      <w:numFmt w:val="lowerRoman"/>
      <w:lvlText w:val="(%5)"/>
      <w:lvlJc w:val="left"/>
      <w:pPr>
        <w:ind w:left="-3726" w:firstLine="0"/>
      </w:pPr>
      <w:rPr>
        <w:rFonts w:ascii="Tahoma" w:eastAsia="Arial" w:hAnsi="Tahoma" w:cs="Tahoma" w:hint="default"/>
        <w:b/>
        <w:bCs/>
        <w:sz w:val="20"/>
        <w:szCs w:val="20"/>
      </w:rPr>
    </w:lvl>
    <w:lvl w:ilvl="5" w:tplc="FFFFFFFF">
      <w:start w:val="1"/>
      <w:numFmt w:val="bullet"/>
      <w:lvlText w:val=""/>
      <w:lvlJc w:val="left"/>
      <w:pPr>
        <w:tabs>
          <w:tab w:val="num" w:pos="594"/>
        </w:tabs>
        <w:ind w:left="594" w:hanging="360"/>
      </w:pPr>
      <w:rPr>
        <w:rFonts w:ascii="Wingdings" w:hAnsi="Wingdings"/>
      </w:rPr>
    </w:lvl>
    <w:lvl w:ilvl="6" w:tplc="FFFFFFFF">
      <w:start w:val="1"/>
      <w:numFmt w:val="bullet"/>
      <w:lvlText w:val=""/>
      <w:lvlJc w:val="left"/>
      <w:pPr>
        <w:tabs>
          <w:tab w:val="num" w:pos="1314"/>
        </w:tabs>
        <w:ind w:left="1314" w:hanging="360"/>
      </w:pPr>
      <w:rPr>
        <w:rFonts w:ascii="Symbol" w:hAnsi="Symbol"/>
      </w:rPr>
    </w:lvl>
    <w:lvl w:ilvl="7" w:tplc="FFFFFFFF">
      <w:start w:val="1"/>
      <w:numFmt w:val="bullet"/>
      <w:lvlText w:val="o"/>
      <w:lvlJc w:val="left"/>
      <w:pPr>
        <w:tabs>
          <w:tab w:val="num" w:pos="2034"/>
        </w:tabs>
        <w:ind w:left="2034" w:hanging="360"/>
      </w:pPr>
      <w:rPr>
        <w:rFonts w:ascii="Courier New" w:hAnsi="Courier New"/>
      </w:rPr>
    </w:lvl>
    <w:lvl w:ilvl="8" w:tplc="FFFFFFFF">
      <w:start w:val="1"/>
      <w:numFmt w:val="bullet"/>
      <w:lvlText w:val=""/>
      <w:lvlJc w:val="left"/>
      <w:pPr>
        <w:tabs>
          <w:tab w:val="num" w:pos="2754"/>
        </w:tabs>
        <w:ind w:left="2754" w:hanging="360"/>
      </w:pPr>
      <w:rPr>
        <w:rFonts w:ascii="Wingdings" w:hAnsi="Wingdings"/>
      </w:rPr>
    </w:lvl>
  </w:abstractNum>
  <w:abstractNum w:abstractNumId="7" w15:restartNumberingAfterBreak="0">
    <w:nsid w:val="34B423F6"/>
    <w:multiLevelType w:val="hybridMultilevel"/>
    <w:tmpl w:val="97226F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9E13C0"/>
    <w:multiLevelType w:val="hybridMultilevel"/>
    <w:tmpl w:val="B9EE71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C20E77"/>
    <w:multiLevelType w:val="multilevel"/>
    <w:tmpl w:val="6D9A2BC2"/>
    <w:numStyleLink w:val="NumberedHeadings"/>
  </w:abstractNum>
  <w:abstractNum w:abstractNumId="10"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6505317"/>
    <w:multiLevelType w:val="multilevel"/>
    <w:tmpl w:val="3D66CBA2"/>
    <w:numStyleLink w:val="CustomNumberlist"/>
  </w:abstractNum>
  <w:abstractNum w:abstractNumId="13" w15:restartNumberingAfterBreak="0">
    <w:nsid w:val="679E6390"/>
    <w:multiLevelType w:val="hybridMultilevel"/>
    <w:tmpl w:val="D520B09C"/>
    <w:lvl w:ilvl="0" w:tplc="B8B2F724">
      <w:start w:val="19"/>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CA6E0C"/>
    <w:multiLevelType w:val="hybridMultilevel"/>
    <w:tmpl w:val="1AA45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FA73628"/>
    <w:multiLevelType w:val="hybridMultilevel"/>
    <w:tmpl w:val="36C20F92"/>
    <w:lvl w:ilvl="0" w:tplc="0C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51F7842"/>
    <w:multiLevelType w:val="hybridMultilevel"/>
    <w:tmpl w:val="46464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8869526">
    <w:abstractNumId w:val="10"/>
  </w:num>
  <w:num w:numId="2" w16cid:durableId="1095902976">
    <w:abstractNumId w:val="4"/>
  </w:num>
  <w:num w:numId="3" w16cid:durableId="1933317395">
    <w:abstractNumId w:val="11"/>
  </w:num>
  <w:num w:numId="4" w16cid:durableId="584269557">
    <w:abstractNumId w:val="12"/>
  </w:num>
  <w:num w:numId="5" w16cid:durableId="1545410705">
    <w:abstractNumId w:val="15"/>
  </w:num>
  <w:num w:numId="6" w16cid:durableId="1845971000">
    <w:abstractNumId w:val="3"/>
  </w:num>
  <w:num w:numId="7" w16cid:durableId="874731287">
    <w:abstractNumId w:val="9"/>
  </w:num>
  <w:num w:numId="8" w16cid:durableId="783580781">
    <w:abstractNumId w:val="2"/>
  </w:num>
  <w:num w:numId="9" w16cid:durableId="1008413030">
    <w:abstractNumId w:val="17"/>
  </w:num>
  <w:num w:numId="10" w16cid:durableId="795492652">
    <w:abstractNumId w:val="18"/>
  </w:num>
  <w:num w:numId="11" w16cid:durableId="158038440">
    <w:abstractNumId w:val="14"/>
  </w:num>
  <w:num w:numId="12" w16cid:durableId="1641616643">
    <w:abstractNumId w:val="16"/>
  </w:num>
  <w:num w:numId="13" w16cid:durableId="1072780513">
    <w:abstractNumId w:val="1"/>
  </w:num>
  <w:num w:numId="14" w16cid:durableId="1814637738">
    <w:abstractNumId w:val="7"/>
  </w:num>
  <w:num w:numId="15" w16cid:durableId="44646470">
    <w:abstractNumId w:val="0"/>
  </w:num>
  <w:num w:numId="16" w16cid:durableId="987244810">
    <w:abstractNumId w:val="5"/>
  </w:num>
  <w:num w:numId="17" w16cid:durableId="1176991742">
    <w:abstractNumId w:val="6"/>
  </w:num>
  <w:num w:numId="18" w16cid:durableId="352003799">
    <w:abstractNumId w:val="8"/>
  </w:num>
  <w:num w:numId="19" w16cid:durableId="143093156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522"/>
    <w:rsid w:val="00000D2B"/>
    <w:rsid w:val="00001E42"/>
    <w:rsid w:val="000046BD"/>
    <w:rsid w:val="000046F8"/>
    <w:rsid w:val="00005310"/>
    <w:rsid w:val="000115AA"/>
    <w:rsid w:val="000136C1"/>
    <w:rsid w:val="00015588"/>
    <w:rsid w:val="00015C29"/>
    <w:rsid w:val="000164C8"/>
    <w:rsid w:val="0001759C"/>
    <w:rsid w:val="00020336"/>
    <w:rsid w:val="000228D9"/>
    <w:rsid w:val="00024777"/>
    <w:rsid w:val="00025407"/>
    <w:rsid w:val="00025909"/>
    <w:rsid w:val="000262FC"/>
    <w:rsid w:val="0002682F"/>
    <w:rsid w:val="00026CCA"/>
    <w:rsid w:val="000276E0"/>
    <w:rsid w:val="000277C1"/>
    <w:rsid w:val="00030F62"/>
    <w:rsid w:val="00031538"/>
    <w:rsid w:val="000353B5"/>
    <w:rsid w:val="00035597"/>
    <w:rsid w:val="00035F98"/>
    <w:rsid w:val="0003645C"/>
    <w:rsid w:val="00044B37"/>
    <w:rsid w:val="00044F35"/>
    <w:rsid w:val="00050A0B"/>
    <w:rsid w:val="000518F3"/>
    <w:rsid w:val="00051985"/>
    <w:rsid w:val="00053801"/>
    <w:rsid w:val="00053DAB"/>
    <w:rsid w:val="000566E0"/>
    <w:rsid w:val="00057D89"/>
    <w:rsid w:val="0006000C"/>
    <w:rsid w:val="000606ED"/>
    <w:rsid w:val="00062AE4"/>
    <w:rsid w:val="00066255"/>
    <w:rsid w:val="00066664"/>
    <w:rsid w:val="00067DD9"/>
    <w:rsid w:val="000705C3"/>
    <w:rsid w:val="000726B6"/>
    <w:rsid w:val="000734D9"/>
    <w:rsid w:val="000757D7"/>
    <w:rsid w:val="00075CD1"/>
    <w:rsid w:val="00077E03"/>
    <w:rsid w:val="00080010"/>
    <w:rsid w:val="000804D4"/>
    <w:rsid w:val="000848EA"/>
    <w:rsid w:val="0009343F"/>
    <w:rsid w:val="00094DCC"/>
    <w:rsid w:val="000A1292"/>
    <w:rsid w:val="000A224D"/>
    <w:rsid w:val="000A3481"/>
    <w:rsid w:val="000A48E1"/>
    <w:rsid w:val="000A759D"/>
    <w:rsid w:val="000A7FD9"/>
    <w:rsid w:val="000B2BED"/>
    <w:rsid w:val="000B2DA6"/>
    <w:rsid w:val="000B3DF0"/>
    <w:rsid w:val="000B4C51"/>
    <w:rsid w:val="000B6482"/>
    <w:rsid w:val="000C1CC2"/>
    <w:rsid w:val="000C21AC"/>
    <w:rsid w:val="000C3BD0"/>
    <w:rsid w:val="000C45E0"/>
    <w:rsid w:val="000C4C6F"/>
    <w:rsid w:val="000C6881"/>
    <w:rsid w:val="000C74C8"/>
    <w:rsid w:val="000D0291"/>
    <w:rsid w:val="000D0FA3"/>
    <w:rsid w:val="000D38A9"/>
    <w:rsid w:val="000D4547"/>
    <w:rsid w:val="000D7770"/>
    <w:rsid w:val="000E0830"/>
    <w:rsid w:val="000E39A1"/>
    <w:rsid w:val="000E4E8E"/>
    <w:rsid w:val="000E5B5B"/>
    <w:rsid w:val="000E7E1D"/>
    <w:rsid w:val="000F25A5"/>
    <w:rsid w:val="000F3611"/>
    <w:rsid w:val="000F617E"/>
    <w:rsid w:val="000F645E"/>
    <w:rsid w:val="001000B3"/>
    <w:rsid w:val="001062B1"/>
    <w:rsid w:val="00106608"/>
    <w:rsid w:val="00106A76"/>
    <w:rsid w:val="00107B92"/>
    <w:rsid w:val="00112540"/>
    <w:rsid w:val="00113A1D"/>
    <w:rsid w:val="00113A83"/>
    <w:rsid w:val="00120A2D"/>
    <w:rsid w:val="0012135C"/>
    <w:rsid w:val="00126233"/>
    <w:rsid w:val="00126BE1"/>
    <w:rsid w:val="0013031D"/>
    <w:rsid w:val="00130A7F"/>
    <w:rsid w:val="0013113E"/>
    <w:rsid w:val="00131D0F"/>
    <w:rsid w:val="00133B46"/>
    <w:rsid w:val="00135427"/>
    <w:rsid w:val="001379F2"/>
    <w:rsid w:val="00137FA4"/>
    <w:rsid w:val="00141812"/>
    <w:rsid w:val="001423DC"/>
    <w:rsid w:val="00144461"/>
    <w:rsid w:val="00144577"/>
    <w:rsid w:val="001466DD"/>
    <w:rsid w:val="00147815"/>
    <w:rsid w:val="00150052"/>
    <w:rsid w:val="0015110E"/>
    <w:rsid w:val="001512A5"/>
    <w:rsid w:val="00151397"/>
    <w:rsid w:val="00153081"/>
    <w:rsid w:val="00153CB5"/>
    <w:rsid w:val="00160F48"/>
    <w:rsid w:val="001624DD"/>
    <w:rsid w:val="00166995"/>
    <w:rsid w:val="0016713F"/>
    <w:rsid w:val="00170074"/>
    <w:rsid w:val="001704FE"/>
    <w:rsid w:val="00171807"/>
    <w:rsid w:val="00171EAB"/>
    <w:rsid w:val="00172B91"/>
    <w:rsid w:val="001731BB"/>
    <w:rsid w:val="0017584C"/>
    <w:rsid w:val="00176B56"/>
    <w:rsid w:val="00176C0C"/>
    <w:rsid w:val="00177BA9"/>
    <w:rsid w:val="00177BE2"/>
    <w:rsid w:val="00180FDF"/>
    <w:rsid w:val="00181083"/>
    <w:rsid w:val="0018187C"/>
    <w:rsid w:val="00184CEF"/>
    <w:rsid w:val="001869B0"/>
    <w:rsid w:val="00187ACF"/>
    <w:rsid w:val="00191E42"/>
    <w:rsid w:val="00193F4F"/>
    <w:rsid w:val="0019442B"/>
    <w:rsid w:val="00194D95"/>
    <w:rsid w:val="0019585C"/>
    <w:rsid w:val="0019587F"/>
    <w:rsid w:val="001958F6"/>
    <w:rsid w:val="00195A6C"/>
    <w:rsid w:val="00197F71"/>
    <w:rsid w:val="001A06E1"/>
    <w:rsid w:val="001A0EAD"/>
    <w:rsid w:val="001A1339"/>
    <w:rsid w:val="001A2A06"/>
    <w:rsid w:val="001A4ACF"/>
    <w:rsid w:val="001B5993"/>
    <w:rsid w:val="001B5DA4"/>
    <w:rsid w:val="001B79FC"/>
    <w:rsid w:val="001B7DDC"/>
    <w:rsid w:val="001C14F7"/>
    <w:rsid w:val="001C6204"/>
    <w:rsid w:val="001C750A"/>
    <w:rsid w:val="001D07BB"/>
    <w:rsid w:val="001D07CD"/>
    <w:rsid w:val="001D1E31"/>
    <w:rsid w:val="001D200D"/>
    <w:rsid w:val="001D63CD"/>
    <w:rsid w:val="001D6BDA"/>
    <w:rsid w:val="001E1BC9"/>
    <w:rsid w:val="001E1C49"/>
    <w:rsid w:val="001E304A"/>
    <w:rsid w:val="001E3CE3"/>
    <w:rsid w:val="001E3D70"/>
    <w:rsid w:val="001E3E57"/>
    <w:rsid w:val="001F050E"/>
    <w:rsid w:val="001F1C8C"/>
    <w:rsid w:val="001F3997"/>
    <w:rsid w:val="001F3C41"/>
    <w:rsid w:val="001F5C91"/>
    <w:rsid w:val="001F64A3"/>
    <w:rsid w:val="001F7563"/>
    <w:rsid w:val="002014C7"/>
    <w:rsid w:val="0020475B"/>
    <w:rsid w:val="00204C46"/>
    <w:rsid w:val="00204C88"/>
    <w:rsid w:val="00204CCB"/>
    <w:rsid w:val="00204EA2"/>
    <w:rsid w:val="002056BA"/>
    <w:rsid w:val="002131E4"/>
    <w:rsid w:val="00215BC8"/>
    <w:rsid w:val="00215E00"/>
    <w:rsid w:val="0021614C"/>
    <w:rsid w:val="002201EF"/>
    <w:rsid w:val="00223042"/>
    <w:rsid w:val="0022708E"/>
    <w:rsid w:val="002272BC"/>
    <w:rsid w:val="0023029C"/>
    <w:rsid w:val="00230643"/>
    <w:rsid w:val="00230B44"/>
    <w:rsid w:val="00230FCE"/>
    <w:rsid w:val="0023206E"/>
    <w:rsid w:val="00232581"/>
    <w:rsid w:val="002343AF"/>
    <w:rsid w:val="002346EB"/>
    <w:rsid w:val="00236463"/>
    <w:rsid w:val="002404E3"/>
    <w:rsid w:val="0024101F"/>
    <w:rsid w:val="002451D1"/>
    <w:rsid w:val="00247687"/>
    <w:rsid w:val="00251145"/>
    <w:rsid w:val="00255483"/>
    <w:rsid w:val="00257C2D"/>
    <w:rsid w:val="0026033F"/>
    <w:rsid w:val="002653B7"/>
    <w:rsid w:val="002670D0"/>
    <w:rsid w:val="002705FE"/>
    <w:rsid w:val="002711D5"/>
    <w:rsid w:val="00271E62"/>
    <w:rsid w:val="002750C4"/>
    <w:rsid w:val="002755F3"/>
    <w:rsid w:val="00275848"/>
    <w:rsid w:val="00280471"/>
    <w:rsid w:val="00281BA3"/>
    <w:rsid w:val="00285E02"/>
    <w:rsid w:val="00293C3A"/>
    <w:rsid w:val="002945B0"/>
    <w:rsid w:val="002962DC"/>
    <w:rsid w:val="002966CE"/>
    <w:rsid w:val="00297F0A"/>
    <w:rsid w:val="002A059D"/>
    <w:rsid w:val="002A2EF5"/>
    <w:rsid w:val="002A7DB0"/>
    <w:rsid w:val="002B1BD9"/>
    <w:rsid w:val="002B3487"/>
    <w:rsid w:val="002B380A"/>
    <w:rsid w:val="002B6070"/>
    <w:rsid w:val="002C0986"/>
    <w:rsid w:val="002C2ADF"/>
    <w:rsid w:val="002C609D"/>
    <w:rsid w:val="002C7F16"/>
    <w:rsid w:val="002D3B02"/>
    <w:rsid w:val="002D4CFD"/>
    <w:rsid w:val="002D682B"/>
    <w:rsid w:val="002E399E"/>
    <w:rsid w:val="002E48AC"/>
    <w:rsid w:val="002E7738"/>
    <w:rsid w:val="002E7943"/>
    <w:rsid w:val="002F42F4"/>
    <w:rsid w:val="002F4DF7"/>
    <w:rsid w:val="002F6B74"/>
    <w:rsid w:val="002F6BDF"/>
    <w:rsid w:val="002F7FB1"/>
    <w:rsid w:val="00300C3C"/>
    <w:rsid w:val="003014A1"/>
    <w:rsid w:val="00301DE7"/>
    <w:rsid w:val="003109BF"/>
    <w:rsid w:val="00311817"/>
    <w:rsid w:val="00312187"/>
    <w:rsid w:val="003125BE"/>
    <w:rsid w:val="00313B58"/>
    <w:rsid w:val="00314D4B"/>
    <w:rsid w:val="00316352"/>
    <w:rsid w:val="00317C67"/>
    <w:rsid w:val="0032335D"/>
    <w:rsid w:val="00325967"/>
    <w:rsid w:val="003336B7"/>
    <w:rsid w:val="003341F1"/>
    <w:rsid w:val="00334BEB"/>
    <w:rsid w:val="00334E6F"/>
    <w:rsid w:val="00336258"/>
    <w:rsid w:val="0033716A"/>
    <w:rsid w:val="003436AC"/>
    <w:rsid w:val="00344D56"/>
    <w:rsid w:val="00345A3E"/>
    <w:rsid w:val="00351A69"/>
    <w:rsid w:val="003524D1"/>
    <w:rsid w:val="00353663"/>
    <w:rsid w:val="00356E49"/>
    <w:rsid w:val="0035758A"/>
    <w:rsid w:val="00360763"/>
    <w:rsid w:val="0036421F"/>
    <w:rsid w:val="00364BF6"/>
    <w:rsid w:val="00367F2D"/>
    <w:rsid w:val="00371962"/>
    <w:rsid w:val="00375CBF"/>
    <w:rsid w:val="00375EFC"/>
    <w:rsid w:val="003819BA"/>
    <w:rsid w:val="0038251E"/>
    <w:rsid w:val="00382A74"/>
    <w:rsid w:val="003837CC"/>
    <w:rsid w:val="00384544"/>
    <w:rsid w:val="0038565E"/>
    <w:rsid w:val="003900D3"/>
    <w:rsid w:val="003904B9"/>
    <w:rsid w:val="0039182A"/>
    <w:rsid w:val="00392794"/>
    <w:rsid w:val="00394187"/>
    <w:rsid w:val="003943DA"/>
    <w:rsid w:val="00395133"/>
    <w:rsid w:val="0039578E"/>
    <w:rsid w:val="00395CFE"/>
    <w:rsid w:val="00396563"/>
    <w:rsid w:val="003A0384"/>
    <w:rsid w:val="003A16E1"/>
    <w:rsid w:val="003A2271"/>
    <w:rsid w:val="003A2748"/>
    <w:rsid w:val="003A28FA"/>
    <w:rsid w:val="003A30F3"/>
    <w:rsid w:val="003B2AA0"/>
    <w:rsid w:val="003B45C1"/>
    <w:rsid w:val="003B5E0D"/>
    <w:rsid w:val="003B6CC4"/>
    <w:rsid w:val="003C0C6B"/>
    <w:rsid w:val="003C1900"/>
    <w:rsid w:val="003C39F4"/>
    <w:rsid w:val="003C3C3F"/>
    <w:rsid w:val="003C478E"/>
    <w:rsid w:val="003C62B6"/>
    <w:rsid w:val="003C703D"/>
    <w:rsid w:val="003D448E"/>
    <w:rsid w:val="003D582D"/>
    <w:rsid w:val="003D72C3"/>
    <w:rsid w:val="003D7674"/>
    <w:rsid w:val="003D7C72"/>
    <w:rsid w:val="003E02D4"/>
    <w:rsid w:val="003E0F08"/>
    <w:rsid w:val="003E35BA"/>
    <w:rsid w:val="003E35CD"/>
    <w:rsid w:val="003E3788"/>
    <w:rsid w:val="003E389F"/>
    <w:rsid w:val="003E3AF5"/>
    <w:rsid w:val="003F0E9C"/>
    <w:rsid w:val="003F1961"/>
    <w:rsid w:val="003F27AC"/>
    <w:rsid w:val="003F34F6"/>
    <w:rsid w:val="003F36DC"/>
    <w:rsid w:val="003F39CC"/>
    <w:rsid w:val="003F441F"/>
    <w:rsid w:val="003F448B"/>
    <w:rsid w:val="003F66EC"/>
    <w:rsid w:val="003F76D4"/>
    <w:rsid w:val="00400294"/>
    <w:rsid w:val="004019CA"/>
    <w:rsid w:val="00404767"/>
    <w:rsid w:val="004064CD"/>
    <w:rsid w:val="00407FAE"/>
    <w:rsid w:val="0041020F"/>
    <w:rsid w:val="004115F0"/>
    <w:rsid w:val="00414AB9"/>
    <w:rsid w:val="00417998"/>
    <w:rsid w:val="00420F95"/>
    <w:rsid w:val="00422CDF"/>
    <w:rsid w:val="00424573"/>
    <w:rsid w:val="00424FFB"/>
    <w:rsid w:val="0043029E"/>
    <w:rsid w:val="0043066B"/>
    <w:rsid w:val="004309BF"/>
    <w:rsid w:val="0043123D"/>
    <w:rsid w:val="004315F5"/>
    <w:rsid w:val="00435896"/>
    <w:rsid w:val="00440B1F"/>
    <w:rsid w:val="00443254"/>
    <w:rsid w:val="00443CD8"/>
    <w:rsid w:val="00444187"/>
    <w:rsid w:val="004457F8"/>
    <w:rsid w:val="00453AD0"/>
    <w:rsid w:val="004558CC"/>
    <w:rsid w:val="00455C6D"/>
    <w:rsid w:val="00460139"/>
    <w:rsid w:val="0046312A"/>
    <w:rsid w:val="00464A2F"/>
    <w:rsid w:val="00464AB5"/>
    <w:rsid w:val="004660C0"/>
    <w:rsid w:val="004714BF"/>
    <w:rsid w:val="00474670"/>
    <w:rsid w:val="004753DA"/>
    <w:rsid w:val="00482759"/>
    <w:rsid w:val="00484DCB"/>
    <w:rsid w:val="00484F2D"/>
    <w:rsid w:val="004855CE"/>
    <w:rsid w:val="004872F0"/>
    <w:rsid w:val="004875DB"/>
    <w:rsid w:val="00487763"/>
    <w:rsid w:val="0049065C"/>
    <w:rsid w:val="004914D5"/>
    <w:rsid w:val="00492142"/>
    <w:rsid w:val="00495E2E"/>
    <w:rsid w:val="00496CF9"/>
    <w:rsid w:val="00497ED1"/>
    <w:rsid w:val="004A05CB"/>
    <w:rsid w:val="004A3243"/>
    <w:rsid w:val="004A3508"/>
    <w:rsid w:val="004A3CE9"/>
    <w:rsid w:val="004A66FD"/>
    <w:rsid w:val="004A7954"/>
    <w:rsid w:val="004B071C"/>
    <w:rsid w:val="004B36F9"/>
    <w:rsid w:val="004B49B2"/>
    <w:rsid w:val="004B5410"/>
    <w:rsid w:val="004C09C8"/>
    <w:rsid w:val="004C364E"/>
    <w:rsid w:val="004D168B"/>
    <w:rsid w:val="004D27B1"/>
    <w:rsid w:val="004D35D9"/>
    <w:rsid w:val="004D45F8"/>
    <w:rsid w:val="004D5A05"/>
    <w:rsid w:val="004D73EE"/>
    <w:rsid w:val="004E0FF2"/>
    <w:rsid w:val="004E331F"/>
    <w:rsid w:val="004E4AD5"/>
    <w:rsid w:val="004F0A16"/>
    <w:rsid w:val="004F3814"/>
    <w:rsid w:val="004F473B"/>
    <w:rsid w:val="004F5233"/>
    <w:rsid w:val="004F523F"/>
    <w:rsid w:val="004F58B1"/>
    <w:rsid w:val="004F7E56"/>
    <w:rsid w:val="0050064B"/>
    <w:rsid w:val="005014C6"/>
    <w:rsid w:val="00503077"/>
    <w:rsid w:val="0050521E"/>
    <w:rsid w:val="005105B5"/>
    <w:rsid w:val="005114B4"/>
    <w:rsid w:val="00512C21"/>
    <w:rsid w:val="00513BA2"/>
    <w:rsid w:val="00515AC3"/>
    <w:rsid w:val="0051608A"/>
    <w:rsid w:val="005164A0"/>
    <w:rsid w:val="00522069"/>
    <w:rsid w:val="005243C1"/>
    <w:rsid w:val="00525BCB"/>
    <w:rsid w:val="00526539"/>
    <w:rsid w:val="00535B46"/>
    <w:rsid w:val="0054070A"/>
    <w:rsid w:val="0054162D"/>
    <w:rsid w:val="00541F9A"/>
    <w:rsid w:val="00545E3C"/>
    <w:rsid w:val="00552FF8"/>
    <w:rsid w:val="005554CB"/>
    <w:rsid w:val="00561060"/>
    <w:rsid w:val="0056203A"/>
    <w:rsid w:val="00563AD8"/>
    <w:rsid w:val="00564BE8"/>
    <w:rsid w:val="00566640"/>
    <w:rsid w:val="00567EC1"/>
    <w:rsid w:val="00570E5B"/>
    <w:rsid w:val="0057702A"/>
    <w:rsid w:val="00580BBC"/>
    <w:rsid w:val="00583E2D"/>
    <w:rsid w:val="005870B9"/>
    <w:rsid w:val="00587285"/>
    <w:rsid w:val="005877AE"/>
    <w:rsid w:val="0058792D"/>
    <w:rsid w:val="00593140"/>
    <w:rsid w:val="005A1443"/>
    <w:rsid w:val="005A26CD"/>
    <w:rsid w:val="005A6774"/>
    <w:rsid w:val="005A68DD"/>
    <w:rsid w:val="005B04D4"/>
    <w:rsid w:val="005B1964"/>
    <w:rsid w:val="005B2E42"/>
    <w:rsid w:val="005B3104"/>
    <w:rsid w:val="005B35DF"/>
    <w:rsid w:val="005B678B"/>
    <w:rsid w:val="005B7B5E"/>
    <w:rsid w:val="005C0324"/>
    <w:rsid w:val="005C086D"/>
    <w:rsid w:val="005C4201"/>
    <w:rsid w:val="005C6E04"/>
    <w:rsid w:val="005D0116"/>
    <w:rsid w:val="005D760F"/>
    <w:rsid w:val="005E04FC"/>
    <w:rsid w:val="005E2A78"/>
    <w:rsid w:val="005E2D21"/>
    <w:rsid w:val="005E2E03"/>
    <w:rsid w:val="005E5D2F"/>
    <w:rsid w:val="005E7995"/>
    <w:rsid w:val="005F08BE"/>
    <w:rsid w:val="005F2D8B"/>
    <w:rsid w:val="005F34A0"/>
    <w:rsid w:val="005F3D90"/>
    <w:rsid w:val="005F44C3"/>
    <w:rsid w:val="005F5578"/>
    <w:rsid w:val="005F7D1C"/>
    <w:rsid w:val="006001DF"/>
    <w:rsid w:val="00601816"/>
    <w:rsid w:val="00606F2D"/>
    <w:rsid w:val="006119A2"/>
    <w:rsid w:val="00612493"/>
    <w:rsid w:val="00612C31"/>
    <w:rsid w:val="00615C49"/>
    <w:rsid w:val="0062215C"/>
    <w:rsid w:val="00622B3A"/>
    <w:rsid w:val="0062716C"/>
    <w:rsid w:val="00632E2F"/>
    <w:rsid w:val="00633068"/>
    <w:rsid w:val="00633225"/>
    <w:rsid w:val="00633D5F"/>
    <w:rsid w:val="0063494B"/>
    <w:rsid w:val="00636144"/>
    <w:rsid w:val="0063659C"/>
    <w:rsid w:val="006367E2"/>
    <w:rsid w:val="006374E3"/>
    <w:rsid w:val="00637B17"/>
    <w:rsid w:val="006404EC"/>
    <w:rsid w:val="00641386"/>
    <w:rsid w:val="006415DC"/>
    <w:rsid w:val="0064367E"/>
    <w:rsid w:val="0065074D"/>
    <w:rsid w:val="006515AB"/>
    <w:rsid w:val="00651665"/>
    <w:rsid w:val="0065695F"/>
    <w:rsid w:val="00662D84"/>
    <w:rsid w:val="00665036"/>
    <w:rsid w:val="00666190"/>
    <w:rsid w:val="00670B74"/>
    <w:rsid w:val="00670B8F"/>
    <w:rsid w:val="00671A78"/>
    <w:rsid w:val="0067242D"/>
    <w:rsid w:val="00672D05"/>
    <w:rsid w:val="00673363"/>
    <w:rsid w:val="00673BBF"/>
    <w:rsid w:val="00673DDB"/>
    <w:rsid w:val="00676E4E"/>
    <w:rsid w:val="006817B0"/>
    <w:rsid w:val="00681ADA"/>
    <w:rsid w:val="00682189"/>
    <w:rsid w:val="006844BA"/>
    <w:rsid w:val="00690B16"/>
    <w:rsid w:val="00690BCE"/>
    <w:rsid w:val="00693443"/>
    <w:rsid w:val="006942BA"/>
    <w:rsid w:val="00695AA3"/>
    <w:rsid w:val="00696575"/>
    <w:rsid w:val="006A039B"/>
    <w:rsid w:val="006A0B56"/>
    <w:rsid w:val="006A30E4"/>
    <w:rsid w:val="006A6CC4"/>
    <w:rsid w:val="006B0955"/>
    <w:rsid w:val="006B3101"/>
    <w:rsid w:val="006B5753"/>
    <w:rsid w:val="006B6741"/>
    <w:rsid w:val="006B703B"/>
    <w:rsid w:val="006B7487"/>
    <w:rsid w:val="006B75E1"/>
    <w:rsid w:val="006C0CA8"/>
    <w:rsid w:val="006C29D7"/>
    <w:rsid w:val="006C37AE"/>
    <w:rsid w:val="006C3AB6"/>
    <w:rsid w:val="006C436A"/>
    <w:rsid w:val="006C4904"/>
    <w:rsid w:val="006C674D"/>
    <w:rsid w:val="006C6D7A"/>
    <w:rsid w:val="006C6ED8"/>
    <w:rsid w:val="006D0A5E"/>
    <w:rsid w:val="006D27F2"/>
    <w:rsid w:val="006D347B"/>
    <w:rsid w:val="006D3C7A"/>
    <w:rsid w:val="006D43D9"/>
    <w:rsid w:val="006D4CD9"/>
    <w:rsid w:val="006D7932"/>
    <w:rsid w:val="006E1837"/>
    <w:rsid w:val="006E40A1"/>
    <w:rsid w:val="006E43F1"/>
    <w:rsid w:val="006E6549"/>
    <w:rsid w:val="006E6B2B"/>
    <w:rsid w:val="006E7AA9"/>
    <w:rsid w:val="006F0535"/>
    <w:rsid w:val="006F1AEC"/>
    <w:rsid w:val="006F29EA"/>
    <w:rsid w:val="006F3D7D"/>
    <w:rsid w:val="006F6BB7"/>
    <w:rsid w:val="00701081"/>
    <w:rsid w:val="00703C67"/>
    <w:rsid w:val="00707B2F"/>
    <w:rsid w:val="00710792"/>
    <w:rsid w:val="00711BA5"/>
    <w:rsid w:val="00711F7E"/>
    <w:rsid w:val="007135B4"/>
    <w:rsid w:val="0071796A"/>
    <w:rsid w:val="0071799F"/>
    <w:rsid w:val="00717CCA"/>
    <w:rsid w:val="007202C6"/>
    <w:rsid w:val="007247C3"/>
    <w:rsid w:val="007277EE"/>
    <w:rsid w:val="007304A1"/>
    <w:rsid w:val="00731835"/>
    <w:rsid w:val="00731FA7"/>
    <w:rsid w:val="0073290E"/>
    <w:rsid w:val="007335DB"/>
    <w:rsid w:val="007356FA"/>
    <w:rsid w:val="00740720"/>
    <w:rsid w:val="007417E6"/>
    <w:rsid w:val="0074182C"/>
    <w:rsid w:val="00742176"/>
    <w:rsid w:val="007431C5"/>
    <w:rsid w:val="00747563"/>
    <w:rsid w:val="007476E1"/>
    <w:rsid w:val="00750535"/>
    <w:rsid w:val="00751D5E"/>
    <w:rsid w:val="00753E4B"/>
    <w:rsid w:val="00754368"/>
    <w:rsid w:val="00756720"/>
    <w:rsid w:val="0075689B"/>
    <w:rsid w:val="00757301"/>
    <w:rsid w:val="00760055"/>
    <w:rsid w:val="00760D13"/>
    <w:rsid w:val="00762C0F"/>
    <w:rsid w:val="00764333"/>
    <w:rsid w:val="00764D60"/>
    <w:rsid w:val="00771B68"/>
    <w:rsid w:val="00772EB1"/>
    <w:rsid w:val="00773477"/>
    <w:rsid w:val="00781227"/>
    <w:rsid w:val="00782E55"/>
    <w:rsid w:val="0078432E"/>
    <w:rsid w:val="00784DEB"/>
    <w:rsid w:val="00787202"/>
    <w:rsid w:val="00791772"/>
    <w:rsid w:val="00792B10"/>
    <w:rsid w:val="007935D5"/>
    <w:rsid w:val="00793FC3"/>
    <w:rsid w:val="00796928"/>
    <w:rsid w:val="00797FF3"/>
    <w:rsid w:val="007A0B38"/>
    <w:rsid w:val="007A1501"/>
    <w:rsid w:val="007A198F"/>
    <w:rsid w:val="007A1C0B"/>
    <w:rsid w:val="007A1EDD"/>
    <w:rsid w:val="007A2CB5"/>
    <w:rsid w:val="007A31DF"/>
    <w:rsid w:val="007A5734"/>
    <w:rsid w:val="007B2198"/>
    <w:rsid w:val="007B347E"/>
    <w:rsid w:val="007B565F"/>
    <w:rsid w:val="007B6C8C"/>
    <w:rsid w:val="007B6D69"/>
    <w:rsid w:val="007C08E4"/>
    <w:rsid w:val="007C2101"/>
    <w:rsid w:val="007C4CD7"/>
    <w:rsid w:val="007C5053"/>
    <w:rsid w:val="007C6C97"/>
    <w:rsid w:val="007C7E2D"/>
    <w:rsid w:val="007D4062"/>
    <w:rsid w:val="007D495A"/>
    <w:rsid w:val="007D4A87"/>
    <w:rsid w:val="007D4E8A"/>
    <w:rsid w:val="007D5594"/>
    <w:rsid w:val="007D62EC"/>
    <w:rsid w:val="007E16F4"/>
    <w:rsid w:val="007F01AB"/>
    <w:rsid w:val="007F09C9"/>
    <w:rsid w:val="007F2804"/>
    <w:rsid w:val="007F39FA"/>
    <w:rsid w:val="007F7162"/>
    <w:rsid w:val="008010A8"/>
    <w:rsid w:val="00801A9C"/>
    <w:rsid w:val="00802488"/>
    <w:rsid w:val="00803D56"/>
    <w:rsid w:val="00806885"/>
    <w:rsid w:val="00806FD8"/>
    <w:rsid w:val="00807D2A"/>
    <w:rsid w:val="00813498"/>
    <w:rsid w:val="00814507"/>
    <w:rsid w:val="00814974"/>
    <w:rsid w:val="00815846"/>
    <w:rsid w:val="00820F3F"/>
    <w:rsid w:val="008211CE"/>
    <w:rsid w:val="00825E5A"/>
    <w:rsid w:val="008260D3"/>
    <w:rsid w:val="00827074"/>
    <w:rsid w:val="0082765C"/>
    <w:rsid w:val="00834489"/>
    <w:rsid w:val="00837D74"/>
    <w:rsid w:val="008402AD"/>
    <w:rsid w:val="00840E76"/>
    <w:rsid w:val="0084227E"/>
    <w:rsid w:val="00842CC6"/>
    <w:rsid w:val="00842CFE"/>
    <w:rsid w:val="00843E2D"/>
    <w:rsid w:val="00843EC2"/>
    <w:rsid w:val="008444CA"/>
    <w:rsid w:val="00846C3C"/>
    <w:rsid w:val="00851648"/>
    <w:rsid w:val="00853093"/>
    <w:rsid w:val="0085456E"/>
    <w:rsid w:val="00855E75"/>
    <w:rsid w:val="00857E93"/>
    <w:rsid w:val="0086079F"/>
    <w:rsid w:val="008653E9"/>
    <w:rsid w:val="00865910"/>
    <w:rsid w:val="00865E42"/>
    <w:rsid w:val="00865ECE"/>
    <w:rsid w:val="008701BB"/>
    <w:rsid w:val="00871AF5"/>
    <w:rsid w:val="00871B22"/>
    <w:rsid w:val="0087206E"/>
    <w:rsid w:val="00873A89"/>
    <w:rsid w:val="00874E36"/>
    <w:rsid w:val="00875CA5"/>
    <w:rsid w:val="008764E5"/>
    <w:rsid w:val="00877082"/>
    <w:rsid w:val="008811FC"/>
    <w:rsid w:val="0088126D"/>
    <w:rsid w:val="00881E07"/>
    <w:rsid w:val="00882783"/>
    <w:rsid w:val="00885775"/>
    <w:rsid w:val="008912CA"/>
    <w:rsid w:val="008920CE"/>
    <w:rsid w:val="0089265B"/>
    <w:rsid w:val="008A2509"/>
    <w:rsid w:val="008A52EF"/>
    <w:rsid w:val="008A5AA2"/>
    <w:rsid w:val="008A7055"/>
    <w:rsid w:val="008A7A8E"/>
    <w:rsid w:val="008B2853"/>
    <w:rsid w:val="008B2FC1"/>
    <w:rsid w:val="008B4FDE"/>
    <w:rsid w:val="008B6874"/>
    <w:rsid w:val="008C121C"/>
    <w:rsid w:val="008C1818"/>
    <w:rsid w:val="008C2982"/>
    <w:rsid w:val="008C54FE"/>
    <w:rsid w:val="008C570F"/>
    <w:rsid w:val="008C5C91"/>
    <w:rsid w:val="008C6197"/>
    <w:rsid w:val="008C7539"/>
    <w:rsid w:val="008C7D66"/>
    <w:rsid w:val="008C7DA6"/>
    <w:rsid w:val="008D2060"/>
    <w:rsid w:val="008D2C44"/>
    <w:rsid w:val="008D5222"/>
    <w:rsid w:val="008D5E13"/>
    <w:rsid w:val="008D64BA"/>
    <w:rsid w:val="008D68A6"/>
    <w:rsid w:val="008E2157"/>
    <w:rsid w:val="008E3245"/>
    <w:rsid w:val="008E5376"/>
    <w:rsid w:val="008E59C3"/>
    <w:rsid w:val="008E5C1D"/>
    <w:rsid w:val="008F1201"/>
    <w:rsid w:val="008F7087"/>
    <w:rsid w:val="008F709E"/>
    <w:rsid w:val="008F7238"/>
    <w:rsid w:val="00902298"/>
    <w:rsid w:val="0090442F"/>
    <w:rsid w:val="009058B1"/>
    <w:rsid w:val="00916721"/>
    <w:rsid w:val="00921354"/>
    <w:rsid w:val="009230CE"/>
    <w:rsid w:val="0092358D"/>
    <w:rsid w:val="0092490C"/>
    <w:rsid w:val="009267D9"/>
    <w:rsid w:val="00927DAB"/>
    <w:rsid w:val="00935EDD"/>
    <w:rsid w:val="00943BDE"/>
    <w:rsid w:val="009464FC"/>
    <w:rsid w:val="009470DC"/>
    <w:rsid w:val="00947D68"/>
    <w:rsid w:val="009522D0"/>
    <w:rsid w:val="00952619"/>
    <w:rsid w:val="00954D15"/>
    <w:rsid w:val="00954DF1"/>
    <w:rsid w:val="00954F32"/>
    <w:rsid w:val="009636C7"/>
    <w:rsid w:val="009647E6"/>
    <w:rsid w:val="009731B8"/>
    <w:rsid w:val="00973A6E"/>
    <w:rsid w:val="00973B4C"/>
    <w:rsid w:val="00975C4A"/>
    <w:rsid w:val="0097710D"/>
    <w:rsid w:val="00986CF3"/>
    <w:rsid w:val="00987262"/>
    <w:rsid w:val="009900DE"/>
    <w:rsid w:val="00991E01"/>
    <w:rsid w:val="00994A02"/>
    <w:rsid w:val="00994C5E"/>
    <w:rsid w:val="009955DD"/>
    <w:rsid w:val="009A256E"/>
    <w:rsid w:val="009A2AFD"/>
    <w:rsid w:val="009A2CCC"/>
    <w:rsid w:val="009A4DB9"/>
    <w:rsid w:val="009B13EF"/>
    <w:rsid w:val="009B3ECA"/>
    <w:rsid w:val="009B583F"/>
    <w:rsid w:val="009B58E4"/>
    <w:rsid w:val="009C0D54"/>
    <w:rsid w:val="009C1FF2"/>
    <w:rsid w:val="009C22DF"/>
    <w:rsid w:val="009C3565"/>
    <w:rsid w:val="009C3EC2"/>
    <w:rsid w:val="009C4397"/>
    <w:rsid w:val="009C5DCC"/>
    <w:rsid w:val="009C69A0"/>
    <w:rsid w:val="009C6B18"/>
    <w:rsid w:val="009C78AC"/>
    <w:rsid w:val="009D5873"/>
    <w:rsid w:val="009E15D6"/>
    <w:rsid w:val="009E20AE"/>
    <w:rsid w:val="009E2C7E"/>
    <w:rsid w:val="009E3041"/>
    <w:rsid w:val="009E4372"/>
    <w:rsid w:val="009E529C"/>
    <w:rsid w:val="009E5963"/>
    <w:rsid w:val="009F0695"/>
    <w:rsid w:val="009F5287"/>
    <w:rsid w:val="009F7EF2"/>
    <w:rsid w:val="00A00879"/>
    <w:rsid w:val="00A01B9C"/>
    <w:rsid w:val="00A030DE"/>
    <w:rsid w:val="00A0390E"/>
    <w:rsid w:val="00A1128F"/>
    <w:rsid w:val="00A11E5B"/>
    <w:rsid w:val="00A13129"/>
    <w:rsid w:val="00A13CE7"/>
    <w:rsid w:val="00A148D9"/>
    <w:rsid w:val="00A16D57"/>
    <w:rsid w:val="00A176B1"/>
    <w:rsid w:val="00A212C3"/>
    <w:rsid w:val="00A21EA9"/>
    <w:rsid w:val="00A2277B"/>
    <w:rsid w:val="00A2457D"/>
    <w:rsid w:val="00A25A91"/>
    <w:rsid w:val="00A2633F"/>
    <w:rsid w:val="00A26B50"/>
    <w:rsid w:val="00A27C06"/>
    <w:rsid w:val="00A27D94"/>
    <w:rsid w:val="00A305D3"/>
    <w:rsid w:val="00A32612"/>
    <w:rsid w:val="00A35785"/>
    <w:rsid w:val="00A35CD1"/>
    <w:rsid w:val="00A367B5"/>
    <w:rsid w:val="00A457CE"/>
    <w:rsid w:val="00A460E5"/>
    <w:rsid w:val="00A4678C"/>
    <w:rsid w:val="00A472BD"/>
    <w:rsid w:val="00A516FA"/>
    <w:rsid w:val="00A54DAF"/>
    <w:rsid w:val="00A6721A"/>
    <w:rsid w:val="00A672AE"/>
    <w:rsid w:val="00A673EE"/>
    <w:rsid w:val="00A67A25"/>
    <w:rsid w:val="00A70FAD"/>
    <w:rsid w:val="00A7194F"/>
    <w:rsid w:val="00A80FC6"/>
    <w:rsid w:val="00A82346"/>
    <w:rsid w:val="00A838EC"/>
    <w:rsid w:val="00A868C6"/>
    <w:rsid w:val="00A90C3B"/>
    <w:rsid w:val="00A93CAF"/>
    <w:rsid w:val="00A94F2B"/>
    <w:rsid w:val="00A95215"/>
    <w:rsid w:val="00A95F49"/>
    <w:rsid w:val="00A97979"/>
    <w:rsid w:val="00A97AF5"/>
    <w:rsid w:val="00AA3041"/>
    <w:rsid w:val="00AA5609"/>
    <w:rsid w:val="00AB1A0A"/>
    <w:rsid w:val="00AB32F2"/>
    <w:rsid w:val="00AB6555"/>
    <w:rsid w:val="00AB717C"/>
    <w:rsid w:val="00AC1111"/>
    <w:rsid w:val="00AC2016"/>
    <w:rsid w:val="00AC25DC"/>
    <w:rsid w:val="00AD29CB"/>
    <w:rsid w:val="00AD2E14"/>
    <w:rsid w:val="00AD30A9"/>
    <w:rsid w:val="00AD790A"/>
    <w:rsid w:val="00AE03FA"/>
    <w:rsid w:val="00AE0C8F"/>
    <w:rsid w:val="00AE1759"/>
    <w:rsid w:val="00AE2C4D"/>
    <w:rsid w:val="00AE3687"/>
    <w:rsid w:val="00AE3E50"/>
    <w:rsid w:val="00AF63AC"/>
    <w:rsid w:val="00B01207"/>
    <w:rsid w:val="00B027ED"/>
    <w:rsid w:val="00B03765"/>
    <w:rsid w:val="00B04857"/>
    <w:rsid w:val="00B04E47"/>
    <w:rsid w:val="00B11CD9"/>
    <w:rsid w:val="00B16451"/>
    <w:rsid w:val="00B20A52"/>
    <w:rsid w:val="00B23047"/>
    <w:rsid w:val="00B23363"/>
    <w:rsid w:val="00B276EB"/>
    <w:rsid w:val="00B27914"/>
    <w:rsid w:val="00B34A30"/>
    <w:rsid w:val="00B35FAA"/>
    <w:rsid w:val="00B361DF"/>
    <w:rsid w:val="00B36228"/>
    <w:rsid w:val="00B37A15"/>
    <w:rsid w:val="00B4135D"/>
    <w:rsid w:val="00B416FC"/>
    <w:rsid w:val="00B42133"/>
    <w:rsid w:val="00B42431"/>
    <w:rsid w:val="00B45A7D"/>
    <w:rsid w:val="00B503C2"/>
    <w:rsid w:val="00B51078"/>
    <w:rsid w:val="00B5145D"/>
    <w:rsid w:val="00B51E38"/>
    <w:rsid w:val="00B51E4E"/>
    <w:rsid w:val="00B52E6C"/>
    <w:rsid w:val="00B6173A"/>
    <w:rsid w:val="00B64515"/>
    <w:rsid w:val="00B646A8"/>
    <w:rsid w:val="00B655D9"/>
    <w:rsid w:val="00B65A8B"/>
    <w:rsid w:val="00B67DC9"/>
    <w:rsid w:val="00B72AB0"/>
    <w:rsid w:val="00B82850"/>
    <w:rsid w:val="00B82E2B"/>
    <w:rsid w:val="00B83148"/>
    <w:rsid w:val="00B839E5"/>
    <w:rsid w:val="00B87176"/>
    <w:rsid w:val="00B87378"/>
    <w:rsid w:val="00B93689"/>
    <w:rsid w:val="00B940B7"/>
    <w:rsid w:val="00B9507B"/>
    <w:rsid w:val="00BA1ED0"/>
    <w:rsid w:val="00BA28BA"/>
    <w:rsid w:val="00BA2ECB"/>
    <w:rsid w:val="00BA6B17"/>
    <w:rsid w:val="00BB061F"/>
    <w:rsid w:val="00BB125E"/>
    <w:rsid w:val="00BB2800"/>
    <w:rsid w:val="00BB4A41"/>
    <w:rsid w:val="00BB4AD0"/>
    <w:rsid w:val="00BB6745"/>
    <w:rsid w:val="00BB75A6"/>
    <w:rsid w:val="00BC0E1F"/>
    <w:rsid w:val="00BC21C2"/>
    <w:rsid w:val="00BC2C25"/>
    <w:rsid w:val="00BC43EB"/>
    <w:rsid w:val="00BC4DF1"/>
    <w:rsid w:val="00BC681B"/>
    <w:rsid w:val="00BC6BD5"/>
    <w:rsid w:val="00BC6ECA"/>
    <w:rsid w:val="00BC76CC"/>
    <w:rsid w:val="00BD19DB"/>
    <w:rsid w:val="00BD24AA"/>
    <w:rsid w:val="00BD3BC8"/>
    <w:rsid w:val="00BD6766"/>
    <w:rsid w:val="00BD6DDE"/>
    <w:rsid w:val="00BE0F21"/>
    <w:rsid w:val="00BE419F"/>
    <w:rsid w:val="00BE78E2"/>
    <w:rsid w:val="00BF1B81"/>
    <w:rsid w:val="00BF3E45"/>
    <w:rsid w:val="00BF5267"/>
    <w:rsid w:val="00BF57BB"/>
    <w:rsid w:val="00C030F0"/>
    <w:rsid w:val="00C032C0"/>
    <w:rsid w:val="00C03B3C"/>
    <w:rsid w:val="00C0696C"/>
    <w:rsid w:val="00C11353"/>
    <w:rsid w:val="00C13671"/>
    <w:rsid w:val="00C14320"/>
    <w:rsid w:val="00C155E8"/>
    <w:rsid w:val="00C15C21"/>
    <w:rsid w:val="00C1767D"/>
    <w:rsid w:val="00C202C7"/>
    <w:rsid w:val="00C20A3E"/>
    <w:rsid w:val="00C2183B"/>
    <w:rsid w:val="00C2355E"/>
    <w:rsid w:val="00C26F1A"/>
    <w:rsid w:val="00C30BB6"/>
    <w:rsid w:val="00C313B7"/>
    <w:rsid w:val="00C34EF4"/>
    <w:rsid w:val="00C36028"/>
    <w:rsid w:val="00C36E8A"/>
    <w:rsid w:val="00C37BA8"/>
    <w:rsid w:val="00C41F42"/>
    <w:rsid w:val="00C43754"/>
    <w:rsid w:val="00C45855"/>
    <w:rsid w:val="00C45BF3"/>
    <w:rsid w:val="00C469D8"/>
    <w:rsid w:val="00C47364"/>
    <w:rsid w:val="00C478FE"/>
    <w:rsid w:val="00C51DDA"/>
    <w:rsid w:val="00C52CC8"/>
    <w:rsid w:val="00C534FA"/>
    <w:rsid w:val="00C53831"/>
    <w:rsid w:val="00C54EEC"/>
    <w:rsid w:val="00C61440"/>
    <w:rsid w:val="00C70FF3"/>
    <w:rsid w:val="00C7217B"/>
    <w:rsid w:val="00C72EE4"/>
    <w:rsid w:val="00C741DF"/>
    <w:rsid w:val="00C753B8"/>
    <w:rsid w:val="00C7559F"/>
    <w:rsid w:val="00C75D40"/>
    <w:rsid w:val="00C75DAC"/>
    <w:rsid w:val="00C771AA"/>
    <w:rsid w:val="00C80CDA"/>
    <w:rsid w:val="00C81556"/>
    <w:rsid w:val="00C848F1"/>
    <w:rsid w:val="00C85DE8"/>
    <w:rsid w:val="00C861E6"/>
    <w:rsid w:val="00C90719"/>
    <w:rsid w:val="00C91D42"/>
    <w:rsid w:val="00C93B0C"/>
    <w:rsid w:val="00C94824"/>
    <w:rsid w:val="00C97B1B"/>
    <w:rsid w:val="00CA07FF"/>
    <w:rsid w:val="00CA2232"/>
    <w:rsid w:val="00CA4831"/>
    <w:rsid w:val="00CB01C1"/>
    <w:rsid w:val="00CB0A22"/>
    <w:rsid w:val="00CB1956"/>
    <w:rsid w:val="00CB1BC5"/>
    <w:rsid w:val="00CB2924"/>
    <w:rsid w:val="00CB316D"/>
    <w:rsid w:val="00CB5950"/>
    <w:rsid w:val="00CB6163"/>
    <w:rsid w:val="00CB653A"/>
    <w:rsid w:val="00CB7D68"/>
    <w:rsid w:val="00CB7FB8"/>
    <w:rsid w:val="00CC0FF7"/>
    <w:rsid w:val="00CC4866"/>
    <w:rsid w:val="00CC5D0C"/>
    <w:rsid w:val="00CC64F9"/>
    <w:rsid w:val="00CC65CB"/>
    <w:rsid w:val="00CD0408"/>
    <w:rsid w:val="00CD11BD"/>
    <w:rsid w:val="00CD32B9"/>
    <w:rsid w:val="00CD394A"/>
    <w:rsid w:val="00CD51A3"/>
    <w:rsid w:val="00CD6D36"/>
    <w:rsid w:val="00CE1326"/>
    <w:rsid w:val="00CE324D"/>
    <w:rsid w:val="00CE483F"/>
    <w:rsid w:val="00CE5529"/>
    <w:rsid w:val="00CE59F5"/>
    <w:rsid w:val="00CE655C"/>
    <w:rsid w:val="00CE6B09"/>
    <w:rsid w:val="00CF1169"/>
    <w:rsid w:val="00CF1B51"/>
    <w:rsid w:val="00CF2B15"/>
    <w:rsid w:val="00CF33F6"/>
    <w:rsid w:val="00CF34A7"/>
    <w:rsid w:val="00CF5035"/>
    <w:rsid w:val="00D000CC"/>
    <w:rsid w:val="00D01DB3"/>
    <w:rsid w:val="00D02093"/>
    <w:rsid w:val="00D02383"/>
    <w:rsid w:val="00D02A44"/>
    <w:rsid w:val="00D03F1B"/>
    <w:rsid w:val="00D065CF"/>
    <w:rsid w:val="00D10F6B"/>
    <w:rsid w:val="00D129F9"/>
    <w:rsid w:val="00D17F98"/>
    <w:rsid w:val="00D17FD3"/>
    <w:rsid w:val="00D23702"/>
    <w:rsid w:val="00D23A3D"/>
    <w:rsid w:val="00D23B04"/>
    <w:rsid w:val="00D24279"/>
    <w:rsid w:val="00D27527"/>
    <w:rsid w:val="00D30A21"/>
    <w:rsid w:val="00D30C58"/>
    <w:rsid w:val="00D30FA8"/>
    <w:rsid w:val="00D32A46"/>
    <w:rsid w:val="00D342EC"/>
    <w:rsid w:val="00D3670C"/>
    <w:rsid w:val="00D4219A"/>
    <w:rsid w:val="00D430F5"/>
    <w:rsid w:val="00D44894"/>
    <w:rsid w:val="00D4525B"/>
    <w:rsid w:val="00D52B9A"/>
    <w:rsid w:val="00D5360B"/>
    <w:rsid w:val="00D63E16"/>
    <w:rsid w:val="00D64A54"/>
    <w:rsid w:val="00D64C6A"/>
    <w:rsid w:val="00D66749"/>
    <w:rsid w:val="00D66A53"/>
    <w:rsid w:val="00D671E4"/>
    <w:rsid w:val="00D70BA3"/>
    <w:rsid w:val="00D738E7"/>
    <w:rsid w:val="00D7735E"/>
    <w:rsid w:val="00D77567"/>
    <w:rsid w:val="00D851D2"/>
    <w:rsid w:val="00D85584"/>
    <w:rsid w:val="00D87562"/>
    <w:rsid w:val="00D907E1"/>
    <w:rsid w:val="00D90E04"/>
    <w:rsid w:val="00D919CD"/>
    <w:rsid w:val="00D9263E"/>
    <w:rsid w:val="00D93643"/>
    <w:rsid w:val="00D9778D"/>
    <w:rsid w:val="00DA005C"/>
    <w:rsid w:val="00DA40B8"/>
    <w:rsid w:val="00DA56B6"/>
    <w:rsid w:val="00DA5F44"/>
    <w:rsid w:val="00DA65A7"/>
    <w:rsid w:val="00DB79C6"/>
    <w:rsid w:val="00DC19E7"/>
    <w:rsid w:val="00DC1E96"/>
    <w:rsid w:val="00DC2B59"/>
    <w:rsid w:val="00DC3BE7"/>
    <w:rsid w:val="00DC7B4C"/>
    <w:rsid w:val="00DD0F14"/>
    <w:rsid w:val="00DD1337"/>
    <w:rsid w:val="00DD17F3"/>
    <w:rsid w:val="00DD417B"/>
    <w:rsid w:val="00DD505D"/>
    <w:rsid w:val="00DD5169"/>
    <w:rsid w:val="00DE029A"/>
    <w:rsid w:val="00DE1AA7"/>
    <w:rsid w:val="00DE224A"/>
    <w:rsid w:val="00DE33CB"/>
    <w:rsid w:val="00DE4670"/>
    <w:rsid w:val="00DE4A51"/>
    <w:rsid w:val="00DE6621"/>
    <w:rsid w:val="00DE6C68"/>
    <w:rsid w:val="00DF226F"/>
    <w:rsid w:val="00DF2612"/>
    <w:rsid w:val="00DF4F26"/>
    <w:rsid w:val="00DF5AC3"/>
    <w:rsid w:val="00DF6547"/>
    <w:rsid w:val="00E0028B"/>
    <w:rsid w:val="00E03B00"/>
    <w:rsid w:val="00E04262"/>
    <w:rsid w:val="00E048F3"/>
    <w:rsid w:val="00E0703F"/>
    <w:rsid w:val="00E12096"/>
    <w:rsid w:val="00E1358D"/>
    <w:rsid w:val="00E13D81"/>
    <w:rsid w:val="00E14963"/>
    <w:rsid w:val="00E15011"/>
    <w:rsid w:val="00E16B40"/>
    <w:rsid w:val="00E251B8"/>
    <w:rsid w:val="00E269EC"/>
    <w:rsid w:val="00E370BD"/>
    <w:rsid w:val="00E375B6"/>
    <w:rsid w:val="00E37F12"/>
    <w:rsid w:val="00E44522"/>
    <w:rsid w:val="00E44CE8"/>
    <w:rsid w:val="00E4500A"/>
    <w:rsid w:val="00E46261"/>
    <w:rsid w:val="00E50B48"/>
    <w:rsid w:val="00E5118C"/>
    <w:rsid w:val="00E5237D"/>
    <w:rsid w:val="00E5390E"/>
    <w:rsid w:val="00E53E1B"/>
    <w:rsid w:val="00E542C1"/>
    <w:rsid w:val="00E57D95"/>
    <w:rsid w:val="00E63AFE"/>
    <w:rsid w:val="00E640D1"/>
    <w:rsid w:val="00E64BB4"/>
    <w:rsid w:val="00E659B4"/>
    <w:rsid w:val="00E6792C"/>
    <w:rsid w:val="00E67DAD"/>
    <w:rsid w:val="00E7205A"/>
    <w:rsid w:val="00E728AF"/>
    <w:rsid w:val="00E7334B"/>
    <w:rsid w:val="00E736EA"/>
    <w:rsid w:val="00E74F99"/>
    <w:rsid w:val="00E7542A"/>
    <w:rsid w:val="00E76A65"/>
    <w:rsid w:val="00E81EEA"/>
    <w:rsid w:val="00E83310"/>
    <w:rsid w:val="00E85644"/>
    <w:rsid w:val="00E8584F"/>
    <w:rsid w:val="00E87D55"/>
    <w:rsid w:val="00E90CD8"/>
    <w:rsid w:val="00E9168B"/>
    <w:rsid w:val="00E9393A"/>
    <w:rsid w:val="00E93962"/>
    <w:rsid w:val="00E94598"/>
    <w:rsid w:val="00E95D4A"/>
    <w:rsid w:val="00E9674C"/>
    <w:rsid w:val="00E96A82"/>
    <w:rsid w:val="00EA23C9"/>
    <w:rsid w:val="00EA3822"/>
    <w:rsid w:val="00EA3B33"/>
    <w:rsid w:val="00EA3E79"/>
    <w:rsid w:val="00EA4028"/>
    <w:rsid w:val="00EA47A3"/>
    <w:rsid w:val="00EA5936"/>
    <w:rsid w:val="00EB165D"/>
    <w:rsid w:val="00EB1E11"/>
    <w:rsid w:val="00EB3045"/>
    <w:rsid w:val="00EB56A2"/>
    <w:rsid w:val="00EB58F9"/>
    <w:rsid w:val="00EB6C6E"/>
    <w:rsid w:val="00EB6E73"/>
    <w:rsid w:val="00EB7040"/>
    <w:rsid w:val="00EB78E3"/>
    <w:rsid w:val="00EB7EC8"/>
    <w:rsid w:val="00EC201C"/>
    <w:rsid w:val="00EC37BA"/>
    <w:rsid w:val="00ED0B28"/>
    <w:rsid w:val="00ED14E7"/>
    <w:rsid w:val="00ED3069"/>
    <w:rsid w:val="00ED3804"/>
    <w:rsid w:val="00ED3AF2"/>
    <w:rsid w:val="00ED5CE4"/>
    <w:rsid w:val="00EE0295"/>
    <w:rsid w:val="00EE1B5D"/>
    <w:rsid w:val="00EE3779"/>
    <w:rsid w:val="00EE5935"/>
    <w:rsid w:val="00EE6EBB"/>
    <w:rsid w:val="00EF0D7C"/>
    <w:rsid w:val="00EF2FF9"/>
    <w:rsid w:val="00EF58E2"/>
    <w:rsid w:val="00EF63A7"/>
    <w:rsid w:val="00F04A17"/>
    <w:rsid w:val="00F06ECD"/>
    <w:rsid w:val="00F1136A"/>
    <w:rsid w:val="00F11CCD"/>
    <w:rsid w:val="00F11D70"/>
    <w:rsid w:val="00F172B6"/>
    <w:rsid w:val="00F20893"/>
    <w:rsid w:val="00F20A8F"/>
    <w:rsid w:val="00F22E42"/>
    <w:rsid w:val="00F23A1D"/>
    <w:rsid w:val="00F26118"/>
    <w:rsid w:val="00F26CA1"/>
    <w:rsid w:val="00F274F6"/>
    <w:rsid w:val="00F27F27"/>
    <w:rsid w:val="00F31FA2"/>
    <w:rsid w:val="00F3596D"/>
    <w:rsid w:val="00F3617D"/>
    <w:rsid w:val="00F37387"/>
    <w:rsid w:val="00F44077"/>
    <w:rsid w:val="00F45405"/>
    <w:rsid w:val="00F457C9"/>
    <w:rsid w:val="00F52FD5"/>
    <w:rsid w:val="00F553B8"/>
    <w:rsid w:val="00F559DE"/>
    <w:rsid w:val="00F56548"/>
    <w:rsid w:val="00F56BEE"/>
    <w:rsid w:val="00F6209C"/>
    <w:rsid w:val="00F622D0"/>
    <w:rsid w:val="00F632B0"/>
    <w:rsid w:val="00F63D61"/>
    <w:rsid w:val="00F64B99"/>
    <w:rsid w:val="00F666F0"/>
    <w:rsid w:val="00F734E5"/>
    <w:rsid w:val="00F73CE5"/>
    <w:rsid w:val="00F747F9"/>
    <w:rsid w:val="00F773B3"/>
    <w:rsid w:val="00F81408"/>
    <w:rsid w:val="00F81BBB"/>
    <w:rsid w:val="00F8258E"/>
    <w:rsid w:val="00F82A59"/>
    <w:rsid w:val="00F83935"/>
    <w:rsid w:val="00F84CE1"/>
    <w:rsid w:val="00F86342"/>
    <w:rsid w:val="00F87422"/>
    <w:rsid w:val="00F87E33"/>
    <w:rsid w:val="00F90B58"/>
    <w:rsid w:val="00F90E93"/>
    <w:rsid w:val="00F956B7"/>
    <w:rsid w:val="00F963FF"/>
    <w:rsid w:val="00FA0B50"/>
    <w:rsid w:val="00FA1008"/>
    <w:rsid w:val="00FA1047"/>
    <w:rsid w:val="00FA6F25"/>
    <w:rsid w:val="00FA7348"/>
    <w:rsid w:val="00FB2CF8"/>
    <w:rsid w:val="00FB2D18"/>
    <w:rsid w:val="00FB51CB"/>
    <w:rsid w:val="00FB6851"/>
    <w:rsid w:val="00FB74C0"/>
    <w:rsid w:val="00FC00CD"/>
    <w:rsid w:val="00FC5279"/>
    <w:rsid w:val="00FC6E2C"/>
    <w:rsid w:val="00FD3AE6"/>
    <w:rsid w:val="00FD7FB5"/>
    <w:rsid w:val="00FE036D"/>
    <w:rsid w:val="00FE077A"/>
    <w:rsid w:val="00FE6EC0"/>
    <w:rsid w:val="00FE7143"/>
    <w:rsid w:val="00FF3059"/>
    <w:rsid w:val="00FF6261"/>
    <w:rsid w:val="00FF6B24"/>
    <w:rsid w:val="00FF72C0"/>
    <w:rsid w:val="00FF77D6"/>
    <w:rsid w:val="620276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76484"/>
  <w15:docId w15:val="{56041A43-4F6F-4D41-B926-A837B107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A87"/>
    <w:pPr>
      <w:spacing w:before="16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unhideWhenUsed/>
    <w:qFormat/>
    <w:rsid w:val="00E95D4A"/>
    <w:pPr>
      <w:keepNext/>
      <w:keepLines/>
      <w:spacing w:before="200" w:after="0"/>
      <w:outlineLvl w:val="4"/>
    </w:pPr>
    <w:rPr>
      <w:rFonts w:asciiTheme="majorHAnsi" w:eastAsiaTheme="majorEastAsia" w:hAnsiTheme="majorHAnsi" w:cstheme="majorBidi"/>
      <w:i/>
      <w:color w:val="113048" w:themeColor="accent1" w:themeShade="7F"/>
    </w:rPr>
  </w:style>
  <w:style w:type="paragraph" w:styleId="Heading6">
    <w:name w:val="heading 6"/>
    <w:basedOn w:val="Normal"/>
    <w:next w:val="Normal"/>
    <w:link w:val="Heading6Char"/>
    <w:uiPriority w:val="9"/>
    <w:qFormat/>
    <w:rsid w:val="00E44522"/>
    <w:pPr>
      <w:keepNext/>
      <w:keepLines/>
      <w:spacing w:before="40" w:after="0" w:line="240" w:lineRule="atLeast"/>
      <w:outlineLvl w:val="5"/>
    </w:pPr>
    <w:rPr>
      <w:rFonts w:ascii="Times New Roman" w:eastAsia="Times New Roman" w:hAnsi="Times New Roman" w:cs="Times New Roman"/>
      <w:b/>
      <w:bCs/>
      <w:color w:val="1F3763"/>
      <w:sz w:val="16"/>
      <w:szCs w:val="16"/>
      <w:lang w:val="en-US"/>
    </w:rPr>
  </w:style>
  <w:style w:type="paragraph" w:styleId="Heading7">
    <w:name w:val="heading 7"/>
    <w:basedOn w:val="Normal"/>
    <w:next w:val="Normal"/>
    <w:link w:val="Heading7Char"/>
    <w:uiPriority w:val="9"/>
    <w:semiHidden/>
    <w:unhideWhenUsed/>
    <w:qFormat/>
    <w:rsid w:val="00E44522"/>
    <w:pPr>
      <w:keepNext/>
      <w:keepLines/>
      <w:spacing w:before="40" w:after="0"/>
      <w:outlineLvl w:val="6"/>
    </w:pPr>
    <w:rPr>
      <w:rFonts w:eastAsiaTheme="majorEastAsia" w:cstheme="majorBidi"/>
      <w:color w:val="595959" w:themeColor="text1" w:themeTint="A6"/>
      <w14:ligatures w14:val="standardContextual"/>
    </w:rPr>
  </w:style>
  <w:style w:type="paragraph" w:styleId="Heading8">
    <w:name w:val="heading 8"/>
    <w:basedOn w:val="Normal"/>
    <w:next w:val="Normal"/>
    <w:link w:val="Heading8Char"/>
    <w:uiPriority w:val="9"/>
    <w:semiHidden/>
    <w:unhideWhenUsed/>
    <w:qFormat/>
    <w:rsid w:val="00E44522"/>
    <w:pPr>
      <w:keepNext/>
      <w:keepLines/>
      <w:spacing w:after="0"/>
      <w:outlineLvl w:val="7"/>
    </w:pPr>
    <w:rPr>
      <w:rFonts w:eastAsiaTheme="majorEastAsia" w:cstheme="majorBidi"/>
      <w:i/>
      <w:iCs/>
      <w:color w:val="272727" w:themeColor="text1" w:themeTint="D8"/>
      <w14:ligatures w14:val="standardContextual"/>
    </w:rPr>
  </w:style>
  <w:style w:type="paragraph" w:styleId="Heading9">
    <w:name w:val="heading 9"/>
    <w:basedOn w:val="Normal"/>
    <w:next w:val="Normal"/>
    <w:link w:val="Heading9Char"/>
    <w:uiPriority w:val="9"/>
    <w:semiHidden/>
    <w:unhideWhenUsed/>
    <w:qFormat/>
    <w:rsid w:val="00E44522"/>
    <w:pPr>
      <w:keepNext/>
      <w:keepLines/>
      <w:spacing w:after="0"/>
      <w:outlineLvl w:val="8"/>
    </w:pPr>
    <w:rPr>
      <w:rFonts w:eastAsiaTheme="majorEastAsia" w:cstheme="majorBidi"/>
      <w:color w:val="272727" w:themeColor="text1" w:themeTint="D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3FA"/>
    <w:pPr>
      <w:tabs>
        <w:tab w:val="center" w:pos="4680"/>
        <w:tab w:val="right" w:pos="9360"/>
      </w:tabs>
      <w:spacing w:after="0"/>
    </w:pPr>
  </w:style>
  <w:style w:type="character" w:customStyle="1" w:styleId="HeaderChar">
    <w:name w:val="Header Char"/>
    <w:basedOn w:val="DefaultParagraphFont"/>
    <w:link w:val="Header"/>
    <w:uiPriority w:val="99"/>
    <w:rsid w:val="0001759C"/>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01759C"/>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7"/>
      </w:numPr>
    </w:pPr>
  </w:style>
  <w:style w:type="paragraph" w:customStyle="1" w:styleId="Heading2numbered">
    <w:name w:val="Heading 2 numbered"/>
    <w:basedOn w:val="Heading2"/>
    <w:next w:val="Normal"/>
    <w:qFormat/>
    <w:rsid w:val="005F5578"/>
    <w:pPr>
      <w:numPr>
        <w:ilvl w:val="1"/>
        <w:numId w:val="7"/>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rsid w:val="0001759C"/>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7D4A87"/>
    <w:pPr>
      <w:ind w:left="568" w:hanging="284"/>
    </w:pPr>
    <w:rPr>
      <w:b w:val="0"/>
      <w:noProof/>
    </w:rPr>
  </w:style>
  <w:style w:type="paragraph" w:styleId="TOC1">
    <w:name w:val="toc 1"/>
    <w:basedOn w:val="Normal"/>
    <w:next w:val="Normal"/>
    <w:autoRedefine/>
    <w:uiPriority w:val="39"/>
    <w:rsid w:val="007D4A87"/>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C54EEC"/>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link w:val="ListParagraphChar"/>
    <w:uiPriority w:val="34"/>
    <w:qFormat/>
    <w:rsid w:val="00DC2B59"/>
    <w:pPr>
      <w:numPr>
        <w:ilvl w:val="2"/>
        <w:numId w:val="1"/>
      </w:numPr>
      <w:tabs>
        <w:tab w:val="num" w:pos="360"/>
      </w:tabs>
      <w:ind w:left="0"/>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4"/>
      </w:numPr>
      <w:contextualSpacing/>
    </w:pPr>
  </w:style>
  <w:style w:type="paragraph" w:styleId="ListNumber2">
    <w:name w:val="List Number 2"/>
    <w:basedOn w:val="Normal"/>
    <w:uiPriority w:val="99"/>
    <w:unhideWhenUsed/>
    <w:qFormat/>
    <w:rsid w:val="006F29EA"/>
    <w:pPr>
      <w:numPr>
        <w:ilvl w:val="1"/>
        <w:numId w:val="4"/>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A90C3B"/>
    <w:pPr>
      <w:numPr>
        <w:numId w:val="8"/>
      </w:numPr>
      <w:spacing w:before="160" w:line="336" w:lineRule="auto"/>
      <w:contextualSpacing/>
    </w:pPr>
  </w:style>
  <w:style w:type="paragraph" w:styleId="ListNumber3">
    <w:name w:val="List Number 3"/>
    <w:basedOn w:val="Normal"/>
    <w:link w:val="ListNumber3Char"/>
    <w:uiPriority w:val="99"/>
    <w:unhideWhenUsed/>
    <w:qFormat/>
    <w:rsid w:val="006F29EA"/>
    <w:pPr>
      <w:numPr>
        <w:ilvl w:val="2"/>
        <w:numId w:val="4"/>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01759C"/>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qFormat/>
    <w:rsid w:val="007D4A87"/>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6"/>
      </w:numPr>
      <w:spacing w:after="0"/>
    </w:pPr>
  </w:style>
  <w:style w:type="paragraph" w:customStyle="1" w:styleId="TableBullet2">
    <w:name w:val="Table Bullet 2"/>
    <w:basedOn w:val="ListBullet2"/>
    <w:link w:val="TableBullet2Char"/>
    <w:qFormat/>
    <w:rsid w:val="00E03B00"/>
    <w:pPr>
      <w:numPr>
        <w:numId w:val="6"/>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5"/>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rsid w:val="00CF33F6"/>
    <w:rPr>
      <w:sz w:val="18"/>
      <w:szCs w:val="20"/>
    </w:rPr>
  </w:style>
  <w:style w:type="character" w:styleId="FootnoteReference">
    <w:name w:val="footnote reference"/>
    <w:basedOn w:val="DefaultParagraphFont"/>
    <w:unhideWhenUsed/>
    <w:rsid w:val="00E9393A"/>
    <w:rPr>
      <w:vertAlign w:val="superscript"/>
    </w:rPr>
  </w:style>
  <w:style w:type="paragraph" w:customStyle="1" w:styleId="Figure-Table-BoxHeading">
    <w:name w:val="Figure-Table-Box Heading"/>
    <w:link w:val="Figure-Table-BoxHeadingChar"/>
    <w:qFormat/>
    <w:rsid w:val="00A90C3B"/>
    <w:pPr>
      <w:numPr>
        <w:ilvl w:val="3"/>
        <w:numId w:val="7"/>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7"/>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8"/>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9"/>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9"/>
      </w:numPr>
    </w:pPr>
  </w:style>
  <w:style w:type="paragraph" w:styleId="TOC4">
    <w:name w:val="toc 4"/>
    <w:basedOn w:val="Normal"/>
    <w:next w:val="Normal"/>
    <w:autoRedefine/>
    <w:uiPriority w:val="39"/>
    <w:semiHidden/>
    <w:rsid w:val="007D4A87"/>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7D4A87"/>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7D4A87"/>
    <w:pPr>
      <w:tabs>
        <w:tab w:val="right" w:pos="9582"/>
      </w:tabs>
      <w:spacing w:before="40" w:after="40" w:line="288" w:lineRule="auto"/>
      <w:ind w:left="1702" w:right="567" w:hanging="851"/>
    </w:pPr>
  </w:style>
  <w:style w:type="paragraph" w:customStyle="1" w:styleId="Pull-outheading0">
    <w:name w:val="Pull-out heading"/>
    <w:basedOn w:val="Pull-out"/>
    <w:semiHidden/>
    <w:qFormat/>
    <w:rsid w:val="00CF34A7"/>
    <w:rPr>
      <w:rFonts w:ascii="Tahoma" w:hAnsi="Tahoma"/>
      <w:b/>
    </w:rPr>
  </w:style>
  <w:style w:type="character" w:customStyle="1" w:styleId="Heading5Char">
    <w:name w:val="Heading 5 Char"/>
    <w:basedOn w:val="DefaultParagraphFont"/>
    <w:link w:val="Heading5"/>
    <w:uiPriority w:val="9"/>
    <w:rsid w:val="00E95D4A"/>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453AD0"/>
    <w:rPr>
      <w:color w:val="B16700" w:themeColor="accent2" w:themeShade="BF"/>
    </w:rPr>
  </w:style>
  <w:style w:type="paragraph" w:styleId="TOC7">
    <w:name w:val="toc 7"/>
    <w:basedOn w:val="Normal"/>
    <w:next w:val="Normal"/>
    <w:autoRedefine/>
    <w:uiPriority w:val="39"/>
    <w:semiHidden/>
    <w:unhideWhenUsed/>
    <w:rsid w:val="007D4A87"/>
    <w:pPr>
      <w:spacing w:before="40" w:after="40" w:line="288" w:lineRule="auto"/>
      <w:ind w:left="1321"/>
    </w:pPr>
  </w:style>
  <w:style w:type="paragraph" w:styleId="TOC8">
    <w:name w:val="toc 8"/>
    <w:basedOn w:val="Normal"/>
    <w:next w:val="Normal"/>
    <w:autoRedefine/>
    <w:uiPriority w:val="39"/>
    <w:semiHidden/>
    <w:unhideWhenUsed/>
    <w:rsid w:val="007D4A87"/>
    <w:pPr>
      <w:spacing w:before="40" w:after="40" w:line="288" w:lineRule="auto"/>
      <w:ind w:left="1542"/>
    </w:pPr>
  </w:style>
  <w:style w:type="paragraph" w:styleId="TOC9">
    <w:name w:val="toc 9"/>
    <w:basedOn w:val="Normal"/>
    <w:next w:val="Normal"/>
    <w:autoRedefine/>
    <w:uiPriority w:val="39"/>
    <w:semiHidden/>
    <w:unhideWhenUsed/>
    <w:rsid w:val="007D4A87"/>
    <w:pPr>
      <w:spacing w:before="40" w:after="40" w:line="288" w:lineRule="auto"/>
      <w:ind w:left="1758"/>
    </w:pPr>
  </w:style>
  <w:style w:type="character" w:customStyle="1" w:styleId="Heading6Char">
    <w:name w:val="Heading 6 Char"/>
    <w:basedOn w:val="DefaultParagraphFont"/>
    <w:link w:val="Heading6"/>
    <w:uiPriority w:val="9"/>
    <w:rsid w:val="00E44522"/>
    <w:rPr>
      <w:rFonts w:ascii="Times New Roman" w:eastAsia="Times New Roman" w:hAnsi="Times New Roman" w:cs="Times New Roman"/>
      <w:b/>
      <w:bCs/>
      <w:color w:val="1F3763"/>
      <w:sz w:val="16"/>
      <w:szCs w:val="16"/>
    </w:rPr>
  </w:style>
  <w:style w:type="character" w:customStyle="1" w:styleId="Heading7Char">
    <w:name w:val="Heading 7 Char"/>
    <w:basedOn w:val="DefaultParagraphFont"/>
    <w:link w:val="Heading7"/>
    <w:uiPriority w:val="9"/>
    <w:semiHidden/>
    <w:rsid w:val="00E44522"/>
    <w:rPr>
      <w:rFonts w:eastAsiaTheme="majorEastAsia" w:cstheme="majorBidi"/>
      <w:color w:val="595959" w:themeColor="text1" w:themeTint="A6"/>
      <w:lang w:val="en-AU"/>
      <w14:ligatures w14:val="standardContextual"/>
    </w:rPr>
  </w:style>
  <w:style w:type="character" w:customStyle="1" w:styleId="Heading8Char">
    <w:name w:val="Heading 8 Char"/>
    <w:basedOn w:val="DefaultParagraphFont"/>
    <w:link w:val="Heading8"/>
    <w:uiPriority w:val="9"/>
    <w:semiHidden/>
    <w:rsid w:val="00E44522"/>
    <w:rPr>
      <w:rFonts w:eastAsiaTheme="majorEastAsia" w:cstheme="majorBidi"/>
      <w:i/>
      <w:iCs/>
      <w:color w:val="272727" w:themeColor="text1" w:themeTint="D8"/>
      <w:lang w:val="en-AU"/>
      <w14:ligatures w14:val="standardContextual"/>
    </w:rPr>
  </w:style>
  <w:style w:type="character" w:customStyle="1" w:styleId="Heading9Char">
    <w:name w:val="Heading 9 Char"/>
    <w:basedOn w:val="DefaultParagraphFont"/>
    <w:link w:val="Heading9"/>
    <w:uiPriority w:val="9"/>
    <w:semiHidden/>
    <w:rsid w:val="00E44522"/>
    <w:rPr>
      <w:rFonts w:eastAsiaTheme="majorEastAsia" w:cstheme="majorBidi"/>
      <w:color w:val="272727" w:themeColor="text1" w:themeTint="D8"/>
      <w:lang w:val="en-AU"/>
      <w14:ligatures w14:val="standardContextual"/>
    </w:rPr>
  </w:style>
  <w:style w:type="character" w:customStyle="1" w:styleId="ui-provider">
    <w:name w:val="ui-provider"/>
    <w:basedOn w:val="DefaultParagraphFont"/>
    <w:rsid w:val="00E44522"/>
  </w:style>
  <w:style w:type="character" w:styleId="CommentReference">
    <w:name w:val="annotation reference"/>
    <w:basedOn w:val="DefaultParagraphFont"/>
    <w:uiPriority w:val="99"/>
    <w:semiHidden/>
    <w:unhideWhenUsed/>
    <w:rsid w:val="00E44522"/>
    <w:rPr>
      <w:sz w:val="16"/>
      <w:szCs w:val="16"/>
    </w:rPr>
  </w:style>
  <w:style w:type="paragraph" w:styleId="CommentText">
    <w:name w:val="annotation text"/>
    <w:basedOn w:val="Normal"/>
    <w:link w:val="CommentTextChar"/>
    <w:uiPriority w:val="99"/>
    <w:unhideWhenUsed/>
    <w:rsid w:val="00E44522"/>
    <w:pPr>
      <w:spacing w:after="120" w:line="240" w:lineRule="auto"/>
    </w:pPr>
    <w:rPr>
      <w:sz w:val="20"/>
      <w:szCs w:val="20"/>
    </w:rPr>
  </w:style>
  <w:style w:type="character" w:customStyle="1" w:styleId="CommentTextChar">
    <w:name w:val="Comment Text Char"/>
    <w:basedOn w:val="DefaultParagraphFont"/>
    <w:link w:val="CommentText"/>
    <w:uiPriority w:val="99"/>
    <w:rsid w:val="00E44522"/>
    <w:rPr>
      <w:sz w:val="20"/>
      <w:szCs w:val="20"/>
      <w:lang w:val="en-AU"/>
    </w:rPr>
  </w:style>
  <w:style w:type="character" w:customStyle="1" w:styleId="ListParagraphChar">
    <w:name w:val="List Paragraph Char"/>
    <w:basedOn w:val="DefaultParagraphFont"/>
    <w:link w:val="ListParagraph"/>
    <w:uiPriority w:val="34"/>
    <w:locked/>
    <w:rsid w:val="00E44522"/>
    <w:rPr>
      <w:lang w:val="en-AU"/>
    </w:rPr>
  </w:style>
  <w:style w:type="paragraph" w:styleId="CommentSubject">
    <w:name w:val="annotation subject"/>
    <w:basedOn w:val="CommentText"/>
    <w:next w:val="CommentText"/>
    <w:link w:val="CommentSubjectChar"/>
    <w:uiPriority w:val="99"/>
    <w:semiHidden/>
    <w:unhideWhenUsed/>
    <w:rsid w:val="00E44522"/>
    <w:rPr>
      <w:b/>
      <w:bCs/>
    </w:rPr>
  </w:style>
  <w:style w:type="character" w:customStyle="1" w:styleId="CommentSubjectChar">
    <w:name w:val="Comment Subject Char"/>
    <w:basedOn w:val="CommentTextChar"/>
    <w:link w:val="CommentSubject"/>
    <w:uiPriority w:val="99"/>
    <w:semiHidden/>
    <w:rsid w:val="00E44522"/>
    <w:rPr>
      <w:b/>
      <w:bCs/>
      <w:sz w:val="20"/>
      <w:szCs w:val="20"/>
      <w:lang w:val="en-AU"/>
    </w:rPr>
  </w:style>
  <w:style w:type="character" w:styleId="UnresolvedMention">
    <w:name w:val="Unresolved Mention"/>
    <w:basedOn w:val="DefaultParagraphFont"/>
    <w:uiPriority w:val="99"/>
    <w:semiHidden/>
    <w:unhideWhenUsed/>
    <w:rsid w:val="00E44522"/>
    <w:rPr>
      <w:color w:val="605E5C"/>
      <w:shd w:val="clear" w:color="auto" w:fill="E1DFDD"/>
    </w:rPr>
  </w:style>
  <w:style w:type="paragraph" w:customStyle="1" w:styleId="PlainParagraph">
    <w:name w:val="Plain Paragraph"/>
    <w:basedOn w:val="Normal"/>
    <w:rsid w:val="00E44522"/>
    <w:pPr>
      <w:spacing w:before="140" w:after="140" w:line="280" w:lineRule="atLeast"/>
      <w:ind w:left="1134"/>
    </w:pPr>
    <w:rPr>
      <w:rFonts w:ascii="Arial" w:eastAsia="Times New Roman" w:hAnsi="Arial" w:cs="Arial"/>
      <w:lang w:eastAsia="en-AU"/>
    </w:rPr>
  </w:style>
  <w:style w:type="paragraph" w:customStyle="1" w:styleId="Definition">
    <w:name w:val="Definition"/>
    <w:rsid w:val="00E44522"/>
    <w:pPr>
      <w:spacing w:before="40" w:after="40" w:line="280" w:lineRule="atLeast"/>
    </w:pPr>
    <w:rPr>
      <w:rFonts w:ascii="Arial" w:eastAsia="Times New Roman" w:hAnsi="Arial" w:cs="Arial"/>
      <w:lang w:val="en-AU" w:eastAsia="en-AU"/>
    </w:rPr>
  </w:style>
  <w:style w:type="paragraph" w:styleId="Revision">
    <w:name w:val="Revision"/>
    <w:hidden/>
    <w:uiPriority w:val="99"/>
    <w:semiHidden/>
    <w:rsid w:val="00E44522"/>
    <w:pPr>
      <w:spacing w:after="0" w:line="240" w:lineRule="auto"/>
    </w:pPr>
    <w:rPr>
      <w:lang w:val="en-AU"/>
    </w:rPr>
  </w:style>
  <w:style w:type="character" w:styleId="FollowedHyperlink">
    <w:name w:val="FollowedHyperlink"/>
    <w:basedOn w:val="DefaultParagraphFont"/>
    <w:uiPriority w:val="99"/>
    <w:semiHidden/>
    <w:unhideWhenUsed/>
    <w:rsid w:val="00E44522"/>
    <w:rPr>
      <w:color w:val="000000" w:themeColor="followedHyperlink"/>
      <w:u w:val="single"/>
    </w:rPr>
  </w:style>
  <w:style w:type="character" w:styleId="IntenseEmphasis">
    <w:name w:val="Intense Emphasis"/>
    <w:basedOn w:val="DefaultParagraphFont"/>
    <w:uiPriority w:val="21"/>
    <w:qFormat/>
    <w:rsid w:val="00E44522"/>
    <w:rPr>
      <w:i/>
      <w:iCs/>
      <w:color w:val="1A486D" w:themeColor="accent1" w:themeShade="BF"/>
    </w:rPr>
  </w:style>
  <w:style w:type="paragraph" w:styleId="IntenseQuote">
    <w:name w:val="Intense Quote"/>
    <w:basedOn w:val="Normal"/>
    <w:next w:val="Normal"/>
    <w:link w:val="IntenseQuoteChar"/>
    <w:uiPriority w:val="30"/>
    <w:qFormat/>
    <w:rsid w:val="00E44522"/>
    <w:pPr>
      <w:pBdr>
        <w:top w:val="single" w:sz="4" w:space="10" w:color="1A486D" w:themeColor="accent1" w:themeShade="BF"/>
        <w:bottom w:val="single" w:sz="4" w:space="10" w:color="1A486D" w:themeColor="accent1" w:themeShade="BF"/>
      </w:pBdr>
      <w:spacing w:before="360" w:after="360"/>
      <w:ind w:left="864" w:right="864"/>
      <w:jc w:val="center"/>
    </w:pPr>
    <w:rPr>
      <w:i/>
      <w:iCs/>
      <w:color w:val="1A486D" w:themeColor="accent1" w:themeShade="BF"/>
      <w14:ligatures w14:val="standardContextual"/>
    </w:rPr>
  </w:style>
  <w:style w:type="character" w:customStyle="1" w:styleId="IntenseQuoteChar">
    <w:name w:val="Intense Quote Char"/>
    <w:basedOn w:val="DefaultParagraphFont"/>
    <w:link w:val="IntenseQuote"/>
    <w:uiPriority w:val="30"/>
    <w:rsid w:val="00E44522"/>
    <w:rPr>
      <w:i/>
      <w:iCs/>
      <w:color w:val="1A486D" w:themeColor="accent1" w:themeShade="BF"/>
      <w:lang w:val="en-AU"/>
      <w14:ligatures w14:val="standardContextual"/>
    </w:rPr>
  </w:style>
  <w:style w:type="character" w:styleId="IntenseReference">
    <w:name w:val="Intense Reference"/>
    <w:basedOn w:val="DefaultParagraphFont"/>
    <w:uiPriority w:val="32"/>
    <w:qFormat/>
    <w:rsid w:val="00E44522"/>
    <w:rPr>
      <w:b/>
      <w:bCs/>
      <w:smallCaps/>
      <w:color w:val="1A486D"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49121">
      <w:bodyDiv w:val="1"/>
      <w:marLeft w:val="0"/>
      <w:marRight w:val="0"/>
      <w:marTop w:val="0"/>
      <w:marBottom w:val="0"/>
      <w:divBdr>
        <w:top w:val="none" w:sz="0" w:space="0" w:color="auto"/>
        <w:left w:val="none" w:sz="0" w:space="0" w:color="auto"/>
        <w:bottom w:val="none" w:sz="0" w:space="0" w:color="auto"/>
        <w:right w:val="none" w:sz="0" w:space="0" w:color="auto"/>
      </w:divBdr>
    </w:div>
    <w:div w:id="212273385">
      <w:bodyDiv w:val="1"/>
      <w:marLeft w:val="0"/>
      <w:marRight w:val="0"/>
      <w:marTop w:val="0"/>
      <w:marBottom w:val="0"/>
      <w:divBdr>
        <w:top w:val="none" w:sz="0" w:space="0" w:color="auto"/>
        <w:left w:val="none" w:sz="0" w:space="0" w:color="auto"/>
        <w:bottom w:val="none" w:sz="0" w:space="0" w:color="auto"/>
        <w:right w:val="none" w:sz="0" w:space="0" w:color="auto"/>
      </w:divBdr>
    </w:div>
    <w:div w:id="388070198">
      <w:bodyDiv w:val="1"/>
      <w:marLeft w:val="0"/>
      <w:marRight w:val="0"/>
      <w:marTop w:val="0"/>
      <w:marBottom w:val="0"/>
      <w:divBdr>
        <w:top w:val="none" w:sz="0" w:space="0" w:color="auto"/>
        <w:left w:val="none" w:sz="0" w:space="0" w:color="auto"/>
        <w:bottom w:val="none" w:sz="0" w:space="0" w:color="auto"/>
        <w:right w:val="none" w:sz="0" w:space="0" w:color="auto"/>
      </w:divBdr>
    </w:div>
    <w:div w:id="679624349">
      <w:bodyDiv w:val="1"/>
      <w:marLeft w:val="0"/>
      <w:marRight w:val="0"/>
      <w:marTop w:val="0"/>
      <w:marBottom w:val="0"/>
      <w:divBdr>
        <w:top w:val="none" w:sz="0" w:space="0" w:color="auto"/>
        <w:left w:val="none" w:sz="0" w:space="0" w:color="auto"/>
        <w:bottom w:val="none" w:sz="0" w:space="0" w:color="auto"/>
        <w:right w:val="none" w:sz="0" w:space="0" w:color="auto"/>
      </w:divBdr>
    </w:div>
    <w:div w:id="707297121">
      <w:bodyDiv w:val="1"/>
      <w:marLeft w:val="0"/>
      <w:marRight w:val="0"/>
      <w:marTop w:val="0"/>
      <w:marBottom w:val="0"/>
      <w:divBdr>
        <w:top w:val="none" w:sz="0" w:space="0" w:color="auto"/>
        <w:left w:val="none" w:sz="0" w:space="0" w:color="auto"/>
        <w:bottom w:val="none" w:sz="0" w:space="0" w:color="auto"/>
        <w:right w:val="none" w:sz="0" w:space="0" w:color="auto"/>
      </w:divBdr>
    </w:div>
    <w:div w:id="999848164">
      <w:bodyDiv w:val="1"/>
      <w:marLeft w:val="0"/>
      <w:marRight w:val="0"/>
      <w:marTop w:val="0"/>
      <w:marBottom w:val="0"/>
      <w:divBdr>
        <w:top w:val="none" w:sz="0" w:space="0" w:color="auto"/>
        <w:left w:val="none" w:sz="0" w:space="0" w:color="auto"/>
        <w:bottom w:val="none" w:sz="0" w:space="0" w:color="auto"/>
        <w:right w:val="none" w:sz="0" w:space="0" w:color="auto"/>
      </w:divBdr>
    </w:div>
    <w:div w:id="1131097993">
      <w:bodyDiv w:val="1"/>
      <w:marLeft w:val="0"/>
      <w:marRight w:val="0"/>
      <w:marTop w:val="0"/>
      <w:marBottom w:val="0"/>
      <w:divBdr>
        <w:top w:val="none" w:sz="0" w:space="0" w:color="auto"/>
        <w:left w:val="none" w:sz="0" w:space="0" w:color="auto"/>
        <w:bottom w:val="none" w:sz="0" w:space="0" w:color="auto"/>
        <w:right w:val="none" w:sz="0" w:space="0" w:color="auto"/>
      </w:divBdr>
    </w:div>
    <w:div w:id="1217815899">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464425368">
      <w:bodyDiv w:val="1"/>
      <w:marLeft w:val="0"/>
      <w:marRight w:val="0"/>
      <w:marTop w:val="0"/>
      <w:marBottom w:val="0"/>
      <w:divBdr>
        <w:top w:val="none" w:sz="0" w:space="0" w:color="auto"/>
        <w:left w:val="none" w:sz="0" w:space="0" w:color="auto"/>
        <w:bottom w:val="none" w:sz="0" w:space="0" w:color="auto"/>
        <w:right w:val="none" w:sz="0" w:space="0" w:color="auto"/>
      </w:divBdr>
    </w:div>
    <w:div w:id="1604268910">
      <w:bodyDiv w:val="1"/>
      <w:marLeft w:val="0"/>
      <w:marRight w:val="0"/>
      <w:marTop w:val="0"/>
      <w:marBottom w:val="0"/>
      <w:divBdr>
        <w:top w:val="none" w:sz="0" w:space="0" w:color="auto"/>
        <w:left w:val="none" w:sz="0" w:space="0" w:color="auto"/>
        <w:bottom w:val="none" w:sz="0" w:space="0" w:color="auto"/>
        <w:right w:val="none" w:sz="0" w:space="0" w:color="auto"/>
      </w:divBdr>
    </w:div>
    <w:div w:id="208079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c.vic.gov.au/sites/default/files/documents/COD%20-%20Electricity%20Distribution%20Code%20of%20Practice%20%28version%202%20-%20updated%29%20-%2020230428.pdf" TargetMode="External"/><Relationship Id="rId18" Type="http://schemas.openxmlformats.org/officeDocument/2006/relationships/hyperlink" Target="https://www.esc.vic.gov.au/sites/default/files/documents/COD%20-%20Electricity%20Distribution%20Code%20of%20Practice%20%28version%202%20-%20updated%29%20-%2020230428.pdf" TargetMode="External"/><Relationship Id="rId26" Type="http://schemas.openxmlformats.org/officeDocument/2006/relationships/hyperlink" Target="https://www.legislation.vic.gov.au/in-force/acts/national-electricity-victoria-act-2005/036" TargetMode="External"/><Relationship Id="rId39" Type="http://schemas.openxmlformats.org/officeDocument/2006/relationships/footer" Target="footer3.xml"/><Relationship Id="rId21" Type="http://schemas.openxmlformats.org/officeDocument/2006/relationships/hyperlink" Target="https://www.legislation.vic.gov.au/in-force/acts/national-electricity-victoria-act-2005/036"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sc.vic.gov.au/sites/default/files/documents/COD%20-%20Electricity%20Distribution%20Code%20of%20Practice%20%28version%202%20-%20updated%29%20-%2020230428.pdf" TargetMode="External"/><Relationship Id="rId20" Type="http://schemas.openxmlformats.org/officeDocument/2006/relationships/hyperlink" Target="https://www.esc.vic.gov.au/sites/default/files/documents/COD%20-%20Electricity%20Distribution%20Code%20of%20Practice%20%28version%202%20-%20updated%29%20-%2020230428.pdf" TargetMode="External"/><Relationship Id="rId29" Type="http://schemas.openxmlformats.org/officeDocument/2006/relationships/hyperlink" Target="https://www.esc.vic.gov.au/sites/default/files/documents/COD%20-%20Electricity%20Distribution%20Code%20of%20Practice%20%28version%202%20-%20updated%29%20-%2020230428.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emc.gov.au/our-work/changing-energy-rules" TargetMode="External"/><Relationship Id="rId24" Type="http://schemas.openxmlformats.org/officeDocument/2006/relationships/hyperlink" Target="https://www.legislation.vic.gov.au/in-force/acts/national-electricity-victoria-act-2005/036" TargetMode="External"/><Relationship Id="rId32" Type="http://schemas.openxmlformats.org/officeDocument/2006/relationships/hyperlink" Target="https://www.esc.vic.gov.au/sites/default/files/documents/COD%20-%20Electricity%20Distribution%20Code%20of%20Practice%20%28version%202%20-%20updated%29%20-%2020230428.pdf"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sc.vic.gov.au/sites/default/files/documents/COD%20-%20Electricity%20Distribution%20Code%20of%20Practice%20%28version%202%20-%20updated%29%20-%2020230428.pdf" TargetMode="External"/><Relationship Id="rId23" Type="http://schemas.openxmlformats.org/officeDocument/2006/relationships/hyperlink" Target="https://www.legislation.vic.gov.au/in-force/acts/national-electricity-victoria-act-2005/036" TargetMode="External"/><Relationship Id="rId28" Type="http://schemas.openxmlformats.org/officeDocument/2006/relationships/hyperlink" Target="https://www.esc.vic.gov.au/sites/default/files/documents/COD%20-%20Electricity%20Distribution%20Code%20of%20Practice%20%28version%202%20-%20updated%29%20-%2020230428.pdf" TargetMode="External"/><Relationship Id="rId36" Type="http://schemas.openxmlformats.org/officeDocument/2006/relationships/footer" Target="footer1.xml"/><Relationship Id="rId10" Type="http://schemas.openxmlformats.org/officeDocument/2006/relationships/hyperlink" Target="https://www.esc.vic.gov.au/sites/default/files/documents/ESC02%20Stakeholder%20Engagement%20-Final.pdf" TargetMode="External"/><Relationship Id="rId19" Type="http://schemas.openxmlformats.org/officeDocument/2006/relationships/hyperlink" Target="https://energy-rules.aemc.gov.au/ner/175/24752" TargetMode="External"/><Relationship Id="rId31" Type="http://schemas.openxmlformats.org/officeDocument/2006/relationships/hyperlink" Target="https://www.esc.vic.gov.au/sites/default/files/documents/COD%20-%20Electricity%20Distribution%20Code%20of%20Practice%20%28version%202%20-%20updated%29%20-%2020230428.pdf" TargetMode="External"/><Relationship Id="rId4" Type="http://schemas.openxmlformats.org/officeDocument/2006/relationships/settings" Target="settings.xml"/><Relationship Id="rId9" Type="http://schemas.openxmlformats.org/officeDocument/2006/relationships/hyperlink" Target="https://www.legislation.vic.gov.au/in-force/acts/national-electricity-victoria-act-2005/036" TargetMode="External"/><Relationship Id="rId14" Type="http://schemas.openxmlformats.org/officeDocument/2006/relationships/hyperlink" Target="https://www.esc.vic.gov.au/sites/default/files/documents/COD%20-%20Electricity%20Distribution%20Code%20of%20Practice%20%28version%202%20-%20updated%29%20-%2020230428.pdf" TargetMode="External"/><Relationship Id="rId22" Type="http://schemas.openxmlformats.org/officeDocument/2006/relationships/hyperlink" Target="https://www.legislation.vic.gov.au/in-force/acts/national-electricity-victoria-act-2005/036" TargetMode="External"/><Relationship Id="rId27" Type="http://schemas.openxmlformats.org/officeDocument/2006/relationships/hyperlink" Target="https://www.legislation.vic.gov.au/in-force/acts/national-electricity-victoria-act-2005/036" TargetMode="External"/><Relationship Id="rId30" Type="http://schemas.openxmlformats.org/officeDocument/2006/relationships/hyperlink" Target="https://www.esc.vic.gov.au/sites/default/files/documents/COD%20-%20Electricity%20Distribution%20Code%20of%20Practice%20%28version%202%20-%20updated%29%20-%2020230428.pdf" TargetMode="External"/><Relationship Id="rId35" Type="http://schemas.openxmlformats.org/officeDocument/2006/relationships/header" Target="header2.xml"/><Relationship Id="rId8" Type="http://schemas.openxmlformats.org/officeDocument/2006/relationships/hyperlink" Target="https://www.esc.vic.gov.au/sites/default/files/documents/COD%20-%20Electricity%20Distribution%20Code%20of%20Practice%20%28version%202%20-%20updated%29%20-%2020230428.pdf" TargetMode="External"/><Relationship Id="rId3" Type="http://schemas.openxmlformats.org/officeDocument/2006/relationships/styles" Target="styles.xml"/><Relationship Id="rId12" Type="http://schemas.openxmlformats.org/officeDocument/2006/relationships/hyperlink" Target="https://www.esc.vic.gov.au/sites/default/files/documents/COD%20-%20Electricity%20Distribution%20Code%20of%20Practice%20%28version%202%20-%20updated%29%20-%2020230428.pdf" TargetMode="External"/><Relationship Id="rId17" Type="http://schemas.openxmlformats.org/officeDocument/2006/relationships/hyperlink" Target="https://www.aemc.gov.au/rule-changes/unlocking-CER-benefits-through-flexible-trading" TargetMode="External"/><Relationship Id="rId25" Type="http://schemas.openxmlformats.org/officeDocument/2006/relationships/hyperlink" Target="https://www.legislation.vic.gov.au/in-force/acts/national-electricity-victoria-act-2005/036" TargetMode="External"/><Relationship Id="rId33" Type="http://schemas.openxmlformats.org/officeDocument/2006/relationships/hyperlink" Target="https://www.esc.vic.gov.au/sites/default/files/documents/COD%20-%20Electricity%20Distribution%20Code%20of%20Practice%20%28version%202%20-%20updated%29%20-%2020230428.pdf" TargetMode="External"/><Relationship Id="rId38"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410B3-77CF-42C0-8A1F-1671D46E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6383</Words>
  <Characters>36388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Public Lighting Code of Practice Review</vt:lpstr>
    </vt:vector>
  </TitlesOfParts>
  <Company/>
  <LinksUpToDate>false</LinksUpToDate>
  <CharactersWithSpaces>42686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Lighting Code of Practice Review</dc:title>
  <dc:subject/>
  <dc:creator>Natalie Kent (ESC)</dc:creator>
  <cp:keywords/>
  <dc:description/>
  <cp:lastModifiedBy>Natalie Kent (ESC)</cp:lastModifiedBy>
  <cp:revision>2</cp:revision>
  <cp:lastPrinted>2025-08-25T03:13:00Z</cp:lastPrinted>
  <dcterms:created xsi:type="dcterms:W3CDTF">2025-08-26T04:08:00Z</dcterms:created>
  <dcterms:modified xsi:type="dcterms:W3CDTF">2025-08-26T04:08:00Z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2a3d98-e4c9-4917-991a-0f0276b71296_Enabled">
    <vt:lpwstr>true</vt:lpwstr>
  </property>
  <property fmtid="{D5CDD505-2E9C-101B-9397-08002B2CF9AE}" pid="3" name="MSIP_Label_c62a3d98-e4c9-4917-991a-0f0276b71296_SetDate">
    <vt:lpwstr>2025-05-14T23:07:49Z</vt:lpwstr>
  </property>
  <property fmtid="{D5CDD505-2E9C-101B-9397-08002B2CF9AE}" pid="4" name="MSIP_Label_c62a3d98-e4c9-4917-991a-0f0276b71296_Method">
    <vt:lpwstr>Standard</vt:lpwstr>
  </property>
  <property fmtid="{D5CDD505-2E9C-101B-9397-08002B2CF9AE}" pid="5" name="MSIP_Label_c62a3d98-e4c9-4917-991a-0f0276b71296_Name">
    <vt:lpwstr>OFFICIAL</vt:lpwstr>
  </property>
  <property fmtid="{D5CDD505-2E9C-101B-9397-08002B2CF9AE}" pid="6" name="MSIP_Label_c62a3d98-e4c9-4917-991a-0f0276b71296_SiteId">
    <vt:lpwstr>5f894de5-5651-487a-aaff-5a8c899b254d</vt:lpwstr>
  </property>
  <property fmtid="{D5CDD505-2E9C-101B-9397-08002B2CF9AE}" pid="7" name="MSIP_Label_c62a3d98-e4c9-4917-991a-0f0276b71296_ActionId">
    <vt:lpwstr>217b7e25-9fb6-49c8-87a0-68cf23ad132b</vt:lpwstr>
  </property>
  <property fmtid="{D5CDD505-2E9C-101B-9397-08002B2CF9AE}" pid="8" name="MSIP_Label_c62a3d98-e4c9-4917-991a-0f0276b71296_ContentBits">
    <vt:lpwstr>1</vt:lpwstr>
  </property>
  <property fmtid="{D5CDD505-2E9C-101B-9397-08002B2CF9AE}" pid="9" name="MSIP_Label_c62a3d98-e4c9-4917-991a-0f0276b71296_Tag">
    <vt:lpwstr>10, 3, 0, 1</vt:lpwstr>
  </property>
</Properties>
</file>