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ECDB" w14:textId="47BA0460" w:rsidR="00075EB2" w:rsidRPr="00E050F4" w:rsidRDefault="00075EB2" w:rsidP="00075EB2">
      <w:pPr>
        <w:pStyle w:val="Heading1"/>
      </w:pPr>
      <w:bookmarkStart w:id="1" w:name="_Toc125370283"/>
      <w:bookmarkStart w:id="2" w:name="_Hlk142985743"/>
      <w:r>
        <w:t xml:space="preserve">Annex </w:t>
      </w:r>
      <w:r w:rsidR="5961D299">
        <w:t>D</w:t>
      </w:r>
      <w:r>
        <w:t xml:space="preserve"> –</w:t>
      </w:r>
      <w:r w:rsidR="00043317">
        <w:t xml:space="preserve"> </w:t>
      </w:r>
      <w:r w:rsidR="00C07BFA">
        <w:t xml:space="preserve">Amendments </w:t>
      </w:r>
      <w:r>
        <w:t>to the Energy Retail Code of Practice</w:t>
      </w:r>
      <w:bookmarkEnd w:id="1"/>
      <w:r w:rsidR="002D6EB0">
        <w:t xml:space="preserve"> and the Compliance and </w:t>
      </w:r>
      <w:r w:rsidR="00AC7BA5">
        <w:t>Performance</w:t>
      </w:r>
      <w:r w:rsidR="00DC791F">
        <w:t xml:space="preserve"> </w:t>
      </w:r>
      <w:r w:rsidR="002D6EB0">
        <w:t xml:space="preserve">Reporting </w:t>
      </w:r>
      <w:r w:rsidR="00DC791F">
        <w:t>Guideline</w:t>
      </w:r>
    </w:p>
    <w:p w14:paraId="46E4D60D" w14:textId="694A43B7" w:rsidR="00331562" w:rsidRDefault="00075EB2" w:rsidP="009F580A">
      <w:bookmarkStart w:id="3" w:name="_Hlk142985773"/>
      <w:bookmarkEnd w:id="2"/>
      <w:r w:rsidRPr="00C938B9">
        <w:t>Table 1</w:t>
      </w:r>
      <w:r>
        <w:t xml:space="preserve"> </w:t>
      </w:r>
      <w:r w:rsidRPr="00C938B9">
        <w:t>list</w:t>
      </w:r>
      <w:r>
        <w:t>s</w:t>
      </w:r>
      <w:r w:rsidRPr="00C938B9">
        <w:t xml:space="preserve"> </w:t>
      </w:r>
      <w:r>
        <w:t>amendments to the Energy Retail Code of Practice</w:t>
      </w:r>
      <w:r w:rsidR="00A72FD9">
        <w:t xml:space="preserve"> version 2</w:t>
      </w:r>
      <w:r>
        <w:t xml:space="preserve"> </w:t>
      </w:r>
      <w:r w:rsidR="00A72FD9">
        <w:t xml:space="preserve">(ERCoP (v2)) </w:t>
      </w:r>
      <w:r>
        <w:t xml:space="preserve">to reflect changes to clause numbering </w:t>
      </w:r>
      <w:r w:rsidR="009F1390">
        <w:t xml:space="preserve">and </w:t>
      </w:r>
      <w:r w:rsidR="00E81487">
        <w:t>terminology</w:t>
      </w:r>
      <w:r w:rsidR="009F1390">
        <w:t xml:space="preserve"> </w:t>
      </w:r>
      <w:r>
        <w:t>that arise from the making of the Gas Distribution Code of Practice</w:t>
      </w:r>
      <w:r w:rsidRPr="00C938B9">
        <w:t>.</w:t>
      </w:r>
    </w:p>
    <w:p w14:paraId="5EF3E065" w14:textId="480159AA" w:rsidR="0055006E" w:rsidRDefault="0055006E" w:rsidP="009F580A">
      <w:r w:rsidRPr="00C938B9">
        <w:t xml:space="preserve">Table </w:t>
      </w:r>
      <w:r>
        <w:t xml:space="preserve">2 </w:t>
      </w:r>
      <w:r w:rsidRPr="00C938B9">
        <w:t>list</w:t>
      </w:r>
      <w:r>
        <w:t>s</w:t>
      </w:r>
      <w:r w:rsidRPr="00C938B9">
        <w:t xml:space="preserve"> </w:t>
      </w:r>
      <w:r>
        <w:t>amendments to the Compliance and Performance Reporting Guideline (v8) to reflect gas distributors’ reporting obligations being moved to Schedule 3 of the Gas Distribution Code of Practice version 1 (GDCoP)</w:t>
      </w:r>
      <w:r w:rsidRPr="00C938B9">
        <w:t>.</w:t>
      </w:r>
      <w:r>
        <w:t xml:space="preserve"> </w:t>
      </w:r>
    </w:p>
    <w:p w14:paraId="37C881BD" w14:textId="51871DAE" w:rsidR="00075EB2" w:rsidRDefault="00075EB2" w:rsidP="00075EB2">
      <w:pPr>
        <w:pStyle w:val="Figure-Table-BoxHeading"/>
      </w:pPr>
      <w:r w:rsidRPr="00A65DB4">
        <w:t xml:space="preserve">Table 1. </w:t>
      </w:r>
      <w:r w:rsidR="005E6105">
        <w:t>C</w:t>
      </w:r>
      <w:r>
        <w:t xml:space="preserve">onsequential </w:t>
      </w:r>
      <w:r w:rsidR="000D7F70">
        <w:t>amendments</w:t>
      </w:r>
      <w:r>
        <w:t xml:space="preserve"> to the Energy Retail Code of Practice</w:t>
      </w:r>
    </w:p>
    <w:tbl>
      <w:tblPr>
        <w:tblStyle w:val="TableGrid"/>
        <w:tblW w:w="9867" w:type="dxa"/>
        <w:tblLook w:val="04A0" w:firstRow="1" w:lastRow="0" w:firstColumn="1" w:lastColumn="0" w:noHBand="0" w:noVBand="1"/>
      </w:tblPr>
      <w:tblGrid>
        <w:gridCol w:w="1219"/>
        <w:gridCol w:w="1417"/>
        <w:gridCol w:w="3970"/>
        <w:gridCol w:w="3261"/>
      </w:tblGrid>
      <w:tr w:rsidR="00075EB2" w14:paraId="00874E95" w14:textId="77777777" w:rsidTr="002B3998">
        <w:trPr>
          <w:cnfStyle w:val="100000000000" w:firstRow="1" w:lastRow="0" w:firstColumn="0" w:lastColumn="0" w:oddVBand="0" w:evenVBand="0" w:oddHBand="0" w:evenHBand="0" w:firstRowFirstColumn="0" w:firstRowLastColumn="0" w:lastRowFirstColumn="0" w:lastRowLastColumn="0"/>
        </w:trPr>
        <w:tc>
          <w:tcPr>
            <w:tcW w:w="1219" w:type="dxa"/>
          </w:tcPr>
          <w:p w14:paraId="7048831B" w14:textId="77777777" w:rsidR="00075EB2" w:rsidRPr="00AB2119" w:rsidRDefault="00075EB2" w:rsidP="00FD7526">
            <w:pPr>
              <w:keepNext/>
              <w:spacing w:after="120"/>
              <w:rPr>
                <w:b w:val="0"/>
              </w:rPr>
            </w:pPr>
            <w:r w:rsidRPr="00AB2119">
              <w:t>ERCoP (v2) page number</w:t>
            </w:r>
          </w:p>
        </w:tc>
        <w:tc>
          <w:tcPr>
            <w:tcW w:w="1417" w:type="dxa"/>
          </w:tcPr>
          <w:p w14:paraId="28DAA3C3" w14:textId="77777777" w:rsidR="00075EB2" w:rsidRPr="00AB2119" w:rsidRDefault="00075EB2" w:rsidP="00FD7526">
            <w:pPr>
              <w:keepNext/>
              <w:spacing w:after="120"/>
            </w:pPr>
            <w:r w:rsidRPr="00AB2119">
              <w:t>ERCoP (v2) clause</w:t>
            </w:r>
          </w:p>
        </w:tc>
        <w:tc>
          <w:tcPr>
            <w:tcW w:w="3970" w:type="dxa"/>
          </w:tcPr>
          <w:p w14:paraId="66C93A8B" w14:textId="77777777" w:rsidR="00075EB2" w:rsidRPr="00AB2119" w:rsidRDefault="00075EB2" w:rsidP="00FD7526">
            <w:pPr>
              <w:keepNext/>
              <w:spacing w:after="120"/>
            </w:pPr>
            <w:r w:rsidRPr="00AB2119">
              <w:t>Reference to the Gas Distribution System Code of Practice</w:t>
            </w:r>
          </w:p>
        </w:tc>
        <w:tc>
          <w:tcPr>
            <w:tcW w:w="3261" w:type="dxa"/>
          </w:tcPr>
          <w:p w14:paraId="50D7C402" w14:textId="77777777" w:rsidR="00075EB2" w:rsidRPr="00AB2119" w:rsidRDefault="00075EB2" w:rsidP="00FD7526">
            <w:pPr>
              <w:spacing w:after="120"/>
            </w:pPr>
            <w:r w:rsidRPr="00AB2119">
              <w:t>Amendment</w:t>
            </w:r>
          </w:p>
        </w:tc>
      </w:tr>
      <w:tr w:rsidR="00075EB2" w14:paraId="48E6C17C" w14:textId="77777777" w:rsidTr="002B3998">
        <w:trPr>
          <w:cnfStyle w:val="000000100000" w:firstRow="0" w:lastRow="0" w:firstColumn="0" w:lastColumn="0" w:oddVBand="0" w:evenVBand="0" w:oddHBand="1" w:evenHBand="0" w:firstRowFirstColumn="0" w:firstRowLastColumn="0" w:lastRowFirstColumn="0" w:lastRowLastColumn="0"/>
        </w:trPr>
        <w:tc>
          <w:tcPr>
            <w:tcW w:w="1219" w:type="dxa"/>
          </w:tcPr>
          <w:p w14:paraId="61DE530A" w14:textId="77777777" w:rsidR="00075EB2" w:rsidRPr="00AB2119" w:rsidRDefault="00075EB2" w:rsidP="00FD7526">
            <w:pPr>
              <w:keepNext/>
              <w:spacing w:after="120"/>
            </w:pPr>
            <w:r w:rsidRPr="00AB2119">
              <w:t>13</w:t>
            </w:r>
          </w:p>
        </w:tc>
        <w:tc>
          <w:tcPr>
            <w:tcW w:w="1417" w:type="dxa"/>
          </w:tcPr>
          <w:p w14:paraId="29248738" w14:textId="77777777" w:rsidR="00075EB2" w:rsidRPr="00AB2119" w:rsidRDefault="00075EB2" w:rsidP="00FD7526">
            <w:pPr>
              <w:keepNext/>
              <w:spacing w:after="120"/>
            </w:pPr>
            <w:r w:rsidRPr="00AB2119">
              <w:t>3</w:t>
            </w:r>
          </w:p>
        </w:tc>
        <w:tc>
          <w:tcPr>
            <w:tcW w:w="3970" w:type="dxa"/>
          </w:tcPr>
          <w:p w14:paraId="79643373" w14:textId="7BED0F2B" w:rsidR="00075EB2" w:rsidRPr="00AB2119" w:rsidRDefault="00075EB2" w:rsidP="00FD7526">
            <w:pPr>
              <w:keepNext/>
              <w:spacing w:after="120"/>
            </w:pPr>
            <w:r w:rsidRPr="00AB2119">
              <w:rPr>
                <w:i/>
              </w:rPr>
              <w:t>Gas Distribution System Code</w:t>
            </w:r>
            <w:r w:rsidRPr="00AB2119">
              <w:t xml:space="preserve"> means the code of practice of that name made by the Commission under Part 6 of the </w:t>
            </w:r>
            <w:r w:rsidRPr="009E3A32">
              <w:rPr>
                <w:i/>
                <w:iCs/>
              </w:rPr>
              <w:t>Essential Services Commission Act 2001</w:t>
            </w:r>
            <w:r w:rsidRPr="00AB2119">
              <w:t>;</w:t>
            </w:r>
          </w:p>
        </w:tc>
        <w:tc>
          <w:tcPr>
            <w:tcW w:w="3261" w:type="dxa"/>
          </w:tcPr>
          <w:p w14:paraId="1416C741" w14:textId="6114C0E9" w:rsidR="00075EB2" w:rsidRPr="00AB2119" w:rsidRDefault="00075EB2" w:rsidP="00FD7526">
            <w:pPr>
              <w:spacing w:after="120"/>
            </w:pPr>
            <w:r w:rsidRPr="00AB2119">
              <w:t>Replace ‘</w:t>
            </w:r>
            <w:r w:rsidRPr="00AB2119">
              <w:rPr>
                <w:i/>
              </w:rPr>
              <w:t>Gas Distribution System Code</w:t>
            </w:r>
            <w:r w:rsidRPr="00AB2119">
              <w:t>’ with ‘</w:t>
            </w:r>
            <w:r w:rsidRPr="00AB2119">
              <w:rPr>
                <w:i/>
              </w:rPr>
              <w:t>Gas Distribution Code of Practice</w:t>
            </w:r>
            <w:r w:rsidRPr="00AB2119">
              <w:t>’.</w:t>
            </w:r>
          </w:p>
        </w:tc>
      </w:tr>
      <w:tr w:rsidR="00075EB2" w14:paraId="587DCB8F" w14:textId="77777777" w:rsidTr="002B3998">
        <w:trPr>
          <w:cnfStyle w:val="000000010000" w:firstRow="0" w:lastRow="0" w:firstColumn="0" w:lastColumn="0" w:oddVBand="0" w:evenVBand="0" w:oddHBand="0" w:evenHBand="1" w:firstRowFirstColumn="0" w:firstRowLastColumn="0" w:lastRowFirstColumn="0" w:lastRowLastColumn="0"/>
        </w:trPr>
        <w:tc>
          <w:tcPr>
            <w:tcW w:w="1219" w:type="dxa"/>
          </w:tcPr>
          <w:p w14:paraId="579986B7" w14:textId="77777777" w:rsidR="00075EB2" w:rsidRPr="00AB2119" w:rsidRDefault="00075EB2" w:rsidP="00FD7526">
            <w:pPr>
              <w:spacing w:after="120"/>
            </w:pPr>
            <w:r w:rsidRPr="00AB2119">
              <w:t>53</w:t>
            </w:r>
          </w:p>
        </w:tc>
        <w:tc>
          <w:tcPr>
            <w:tcW w:w="1417" w:type="dxa"/>
          </w:tcPr>
          <w:p w14:paraId="37D1FE10" w14:textId="2687183F" w:rsidR="00075EB2" w:rsidRPr="00AB2119" w:rsidRDefault="00075EB2" w:rsidP="00FD7526">
            <w:pPr>
              <w:spacing w:after="120"/>
            </w:pPr>
            <w:r w:rsidRPr="00AB2119">
              <w:t>6</w:t>
            </w:r>
            <w:r w:rsidR="001673D0">
              <w:t>3</w:t>
            </w:r>
            <w:r w:rsidRPr="00AB2119">
              <w:t>(1)</w:t>
            </w:r>
          </w:p>
        </w:tc>
        <w:tc>
          <w:tcPr>
            <w:tcW w:w="3970" w:type="dxa"/>
          </w:tcPr>
          <w:p w14:paraId="0E0C6EA7" w14:textId="2062F346" w:rsidR="00075EB2" w:rsidRPr="00AB2119" w:rsidRDefault="00075EB2" w:rsidP="00FD7526">
            <w:pPr>
              <w:spacing w:after="120"/>
              <w:rPr>
                <w:i/>
              </w:rPr>
            </w:pPr>
            <w:r>
              <w:t xml:space="preserve">Note: Additional obligations in relation to the provision of metering information to small customers are contained in the </w:t>
            </w:r>
            <w:r w:rsidRPr="005E4AB4">
              <w:t>Electricity Metering Code</w:t>
            </w:r>
            <w:r w:rsidRPr="00CE6BF1">
              <w:rPr>
                <w:i/>
                <w:iCs/>
              </w:rPr>
              <w:t xml:space="preserve"> </w:t>
            </w:r>
            <w:r>
              <w:t xml:space="preserve">and the </w:t>
            </w:r>
            <w:r w:rsidRPr="00CE6BF1">
              <w:rPr>
                <w:i/>
                <w:iCs/>
              </w:rPr>
              <w:t>Gas Distribution System Code</w:t>
            </w:r>
            <w:r>
              <w:t>.</w:t>
            </w:r>
          </w:p>
        </w:tc>
        <w:tc>
          <w:tcPr>
            <w:tcW w:w="3261" w:type="dxa"/>
          </w:tcPr>
          <w:p w14:paraId="0DFDB10C" w14:textId="74398707" w:rsidR="00075EB2" w:rsidRPr="00AB2119" w:rsidRDefault="00075EB2" w:rsidP="00FD7526">
            <w:pPr>
              <w:spacing w:after="120"/>
            </w:pPr>
            <w:r w:rsidRPr="00AB2119">
              <w:t>Replace ‘</w:t>
            </w:r>
            <w:r w:rsidRPr="00AB2119">
              <w:rPr>
                <w:i/>
              </w:rPr>
              <w:t>Gas Distribution System Code</w:t>
            </w:r>
            <w:r w:rsidRPr="00AB2119">
              <w:t>’ with ‘</w:t>
            </w:r>
            <w:r w:rsidRPr="00AB2119">
              <w:rPr>
                <w:i/>
              </w:rPr>
              <w:t>Gas Distribution Code of Practice</w:t>
            </w:r>
            <w:r w:rsidRPr="00AB2119">
              <w:t>’.</w:t>
            </w:r>
          </w:p>
        </w:tc>
      </w:tr>
      <w:tr w:rsidR="00075EB2" w14:paraId="6CE94DDC" w14:textId="77777777" w:rsidTr="002B3998">
        <w:trPr>
          <w:cnfStyle w:val="000000100000" w:firstRow="0" w:lastRow="0" w:firstColumn="0" w:lastColumn="0" w:oddVBand="0" w:evenVBand="0" w:oddHBand="1" w:evenHBand="0" w:firstRowFirstColumn="0" w:firstRowLastColumn="0" w:lastRowFirstColumn="0" w:lastRowLastColumn="0"/>
        </w:trPr>
        <w:tc>
          <w:tcPr>
            <w:tcW w:w="1219" w:type="dxa"/>
          </w:tcPr>
          <w:p w14:paraId="6CF7219C" w14:textId="77777777" w:rsidR="00075EB2" w:rsidRPr="00AB2119" w:rsidRDefault="00075EB2" w:rsidP="00FD7526">
            <w:pPr>
              <w:spacing w:after="120"/>
            </w:pPr>
            <w:r w:rsidRPr="00AB2119">
              <w:t>57</w:t>
            </w:r>
          </w:p>
        </w:tc>
        <w:tc>
          <w:tcPr>
            <w:tcW w:w="1417" w:type="dxa"/>
          </w:tcPr>
          <w:p w14:paraId="5FD156C1" w14:textId="77777777" w:rsidR="00075EB2" w:rsidRPr="00AB2119" w:rsidRDefault="00075EB2" w:rsidP="00FD7526">
            <w:pPr>
              <w:spacing w:after="120"/>
            </w:pPr>
            <w:r w:rsidRPr="00AB2119">
              <w:t>69(5)</w:t>
            </w:r>
          </w:p>
        </w:tc>
        <w:tc>
          <w:tcPr>
            <w:tcW w:w="3970" w:type="dxa"/>
          </w:tcPr>
          <w:p w14:paraId="7CFA1854" w14:textId="3FC02D2F" w:rsidR="00075EB2" w:rsidRDefault="00213265" w:rsidP="00FD7526">
            <w:pPr>
              <w:spacing w:after="120"/>
            </w:pPr>
            <w:r>
              <w:t xml:space="preserve">Note: Additional obligations in relation to meter testing are contained in the </w:t>
            </w:r>
            <w:r w:rsidRPr="00C137CC">
              <w:rPr>
                <w:i/>
                <w:iCs/>
              </w:rPr>
              <w:t>Electricity Metering Code</w:t>
            </w:r>
            <w:r>
              <w:t xml:space="preserve"> and </w:t>
            </w:r>
            <w:r w:rsidRPr="00C137CC">
              <w:rPr>
                <w:i/>
                <w:iCs/>
              </w:rPr>
              <w:t>Gas Distribution System Code</w:t>
            </w:r>
            <w:r>
              <w:t>.</w:t>
            </w:r>
          </w:p>
        </w:tc>
        <w:tc>
          <w:tcPr>
            <w:tcW w:w="3261" w:type="dxa"/>
          </w:tcPr>
          <w:p w14:paraId="21845623" w14:textId="5DFE1652" w:rsidR="00075EB2" w:rsidRPr="00AB2119" w:rsidRDefault="00075EB2" w:rsidP="00FD7526">
            <w:pPr>
              <w:spacing w:after="120"/>
            </w:pPr>
            <w:r w:rsidRPr="00AB2119">
              <w:t>Replace ‘</w:t>
            </w:r>
            <w:r w:rsidRPr="00AB2119">
              <w:rPr>
                <w:i/>
              </w:rPr>
              <w:t>Gas Distribution System Code</w:t>
            </w:r>
            <w:r w:rsidRPr="00AB2119">
              <w:t>’ with ‘</w:t>
            </w:r>
            <w:r w:rsidRPr="00AB2119">
              <w:rPr>
                <w:i/>
              </w:rPr>
              <w:t>Gas Distribution Code of Practice</w:t>
            </w:r>
            <w:r w:rsidRPr="00AB2119">
              <w:t>’.</w:t>
            </w:r>
          </w:p>
        </w:tc>
      </w:tr>
      <w:tr w:rsidR="00075EB2" w14:paraId="27BD6D78" w14:textId="77777777" w:rsidTr="002B3998">
        <w:trPr>
          <w:cnfStyle w:val="000000010000" w:firstRow="0" w:lastRow="0" w:firstColumn="0" w:lastColumn="0" w:oddVBand="0" w:evenVBand="0" w:oddHBand="0" w:evenHBand="1" w:firstRowFirstColumn="0" w:firstRowLastColumn="0" w:lastRowFirstColumn="0" w:lastRowLastColumn="0"/>
        </w:trPr>
        <w:tc>
          <w:tcPr>
            <w:tcW w:w="1219" w:type="dxa"/>
          </w:tcPr>
          <w:p w14:paraId="4D5CE642" w14:textId="77777777" w:rsidR="00075EB2" w:rsidRPr="00AB2119" w:rsidRDefault="00075EB2" w:rsidP="00FD7526">
            <w:pPr>
              <w:spacing w:after="120"/>
            </w:pPr>
            <w:r w:rsidRPr="00AB2119">
              <w:t>107</w:t>
            </w:r>
          </w:p>
        </w:tc>
        <w:tc>
          <w:tcPr>
            <w:tcW w:w="1417" w:type="dxa"/>
          </w:tcPr>
          <w:p w14:paraId="7FFA5D32" w14:textId="77777777" w:rsidR="00075EB2" w:rsidRPr="00AB2119" w:rsidRDefault="00075EB2" w:rsidP="00FD7526">
            <w:pPr>
              <w:spacing w:after="120"/>
            </w:pPr>
            <w:r w:rsidRPr="00AB2119">
              <w:t>163(1)(a)(iv)</w:t>
            </w:r>
          </w:p>
        </w:tc>
        <w:tc>
          <w:tcPr>
            <w:tcW w:w="3970" w:type="dxa"/>
          </w:tcPr>
          <w:p w14:paraId="42D64498" w14:textId="5A3F9CFE" w:rsidR="00642674" w:rsidRPr="00642674" w:rsidRDefault="00075EB2" w:rsidP="002B3998">
            <w:pPr>
              <w:spacing w:after="120"/>
            </w:pPr>
            <w:r>
              <w:t xml:space="preserve">if the retailer provides gas to the relevant customer, advice that there may be distributor planned interruptions under the </w:t>
            </w:r>
            <w:r w:rsidRPr="0033637A">
              <w:rPr>
                <w:i/>
                <w:iCs/>
              </w:rPr>
              <w:t>Gas Distribution System Code</w:t>
            </w:r>
            <w:r>
              <w:t xml:space="preserve"> or unplanned interruptions to the supply at the address and that the distributor is required to notify them of a distributor planned interruption under the </w:t>
            </w:r>
            <w:r w:rsidRPr="0033637A">
              <w:rPr>
                <w:i/>
                <w:iCs/>
              </w:rPr>
              <w:t>Gas Distribution System Code</w:t>
            </w:r>
            <w:r>
              <w:t>;</w:t>
            </w:r>
          </w:p>
        </w:tc>
        <w:tc>
          <w:tcPr>
            <w:tcW w:w="3261" w:type="dxa"/>
          </w:tcPr>
          <w:p w14:paraId="311257C2" w14:textId="77AB2E83" w:rsidR="00075EB2" w:rsidRPr="00AB2119" w:rsidRDefault="00075EB2" w:rsidP="00FD7526">
            <w:pPr>
              <w:spacing w:after="120"/>
            </w:pPr>
            <w:r w:rsidRPr="00AB2119">
              <w:t>Replace both references to ‘</w:t>
            </w:r>
            <w:r w:rsidRPr="00AB2119">
              <w:rPr>
                <w:i/>
              </w:rPr>
              <w:t>Gas Distribution System Code</w:t>
            </w:r>
            <w:r w:rsidRPr="00AB2119">
              <w:t>’ with ‘</w:t>
            </w:r>
            <w:r w:rsidRPr="00AB2119">
              <w:rPr>
                <w:i/>
              </w:rPr>
              <w:t>Gas Distribution Code of Practice</w:t>
            </w:r>
            <w:r w:rsidRPr="00AB2119">
              <w:t>’.</w:t>
            </w:r>
          </w:p>
        </w:tc>
      </w:tr>
      <w:tr w:rsidR="00075EB2" w14:paraId="4F6F8C45" w14:textId="77777777" w:rsidTr="002B3998">
        <w:trPr>
          <w:cnfStyle w:val="000000100000" w:firstRow="0" w:lastRow="0" w:firstColumn="0" w:lastColumn="0" w:oddVBand="0" w:evenVBand="0" w:oddHBand="1" w:evenHBand="0" w:firstRowFirstColumn="0" w:firstRowLastColumn="0" w:lastRowFirstColumn="0" w:lastRowLastColumn="0"/>
        </w:trPr>
        <w:tc>
          <w:tcPr>
            <w:tcW w:w="1219" w:type="dxa"/>
          </w:tcPr>
          <w:p w14:paraId="291D4CB7" w14:textId="77777777" w:rsidR="00075EB2" w:rsidRPr="00AB2119" w:rsidRDefault="00075EB2" w:rsidP="00FD7526">
            <w:pPr>
              <w:spacing w:after="120"/>
            </w:pPr>
            <w:r w:rsidRPr="00AB2119">
              <w:t>109</w:t>
            </w:r>
          </w:p>
        </w:tc>
        <w:tc>
          <w:tcPr>
            <w:tcW w:w="1417" w:type="dxa"/>
          </w:tcPr>
          <w:p w14:paraId="6414E431" w14:textId="77777777" w:rsidR="00075EB2" w:rsidRPr="00AB2119" w:rsidRDefault="00075EB2" w:rsidP="00FD7526">
            <w:pPr>
              <w:spacing w:after="120"/>
            </w:pPr>
            <w:r w:rsidRPr="00AB2119">
              <w:t>165(1)(a)</w:t>
            </w:r>
          </w:p>
        </w:tc>
        <w:tc>
          <w:tcPr>
            <w:tcW w:w="3970" w:type="dxa"/>
          </w:tcPr>
          <w:p w14:paraId="1083123B" w14:textId="697FC26B" w:rsidR="00075EB2" w:rsidRPr="00AB2119" w:rsidRDefault="00075EB2" w:rsidP="00FD7526">
            <w:pPr>
              <w:spacing w:after="120"/>
            </w:pPr>
            <w:r w:rsidRPr="00AB2119">
              <w:t>within one business day after receiving relevant information about the life</w:t>
            </w:r>
            <w:r w:rsidR="006715AC">
              <w:t>-</w:t>
            </w:r>
            <w:r w:rsidRPr="00AB2119">
              <w:t xml:space="preserve">support equipment requirements for the relevant customer’s premises </w:t>
            </w:r>
            <w:r w:rsidRPr="00AB2119">
              <w:lastRenderedPageBreak/>
              <w:t>(including medical confirmation) or any relevant contact details, give such information to the distributor for the purposes of updating the distributor’s registration under clause 12.2.1(a) or 12.2.2 of the Electricity Distribution Code, or clause 4A.3(a)(</w:t>
            </w:r>
            <w:proofErr w:type="spellStart"/>
            <w:r w:rsidRPr="00AB2119">
              <w:t>i</w:t>
            </w:r>
            <w:proofErr w:type="spellEnd"/>
            <w:r w:rsidRPr="00AB2119">
              <w:t xml:space="preserve">) of the </w:t>
            </w:r>
            <w:r w:rsidRPr="00AB2119">
              <w:rPr>
                <w:i/>
              </w:rPr>
              <w:t>Gas Distribution System Code</w:t>
            </w:r>
            <w:r w:rsidRPr="00AB2119">
              <w:t>, unless the relevant information was provided to the retailer by the distributor; and</w:t>
            </w:r>
          </w:p>
        </w:tc>
        <w:tc>
          <w:tcPr>
            <w:tcW w:w="3261" w:type="dxa"/>
          </w:tcPr>
          <w:p w14:paraId="0F5F2087" w14:textId="7D2458EA" w:rsidR="00075EB2" w:rsidRPr="00AB2119" w:rsidRDefault="00075EB2" w:rsidP="00FD7526">
            <w:pPr>
              <w:spacing w:after="120"/>
            </w:pPr>
            <w:r w:rsidRPr="00AB2119">
              <w:lastRenderedPageBreak/>
              <w:t>Replace reference to ‘clause 4A.3(a)(</w:t>
            </w:r>
            <w:proofErr w:type="spellStart"/>
            <w:r w:rsidRPr="00AB2119">
              <w:t>i</w:t>
            </w:r>
            <w:proofErr w:type="spellEnd"/>
            <w:r w:rsidRPr="00AB2119">
              <w:t xml:space="preserve">) of the </w:t>
            </w:r>
            <w:r w:rsidRPr="00AB2119">
              <w:rPr>
                <w:i/>
              </w:rPr>
              <w:t>Gas Distribution System Code</w:t>
            </w:r>
            <w:r w:rsidRPr="00AB2119">
              <w:t xml:space="preserve">’ with </w:t>
            </w:r>
            <w:r w:rsidRPr="00AB2119">
              <w:lastRenderedPageBreak/>
              <w:t>‘clause 7.</w:t>
            </w:r>
            <w:r w:rsidR="003E3FE7">
              <w:t xml:space="preserve">4 </w:t>
            </w:r>
            <w:r w:rsidRPr="00AB2119">
              <w:t xml:space="preserve">of the </w:t>
            </w:r>
            <w:r w:rsidRPr="00AB2119">
              <w:rPr>
                <w:i/>
              </w:rPr>
              <w:t>Gas Distribution Code of Practice</w:t>
            </w:r>
            <w:r w:rsidRPr="00AB2119">
              <w:t>’.</w:t>
            </w:r>
          </w:p>
        </w:tc>
      </w:tr>
      <w:tr w:rsidR="00075EB2" w14:paraId="7BB6BAF0" w14:textId="77777777" w:rsidTr="002B3998">
        <w:trPr>
          <w:cnfStyle w:val="000000010000" w:firstRow="0" w:lastRow="0" w:firstColumn="0" w:lastColumn="0" w:oddVBand="0" w:evenVBand="0" w:oddHBand="0" w:evenHBand="1" w:firstRowFirstColumn="0" w:firstRowLastColumn="0" w:lastRowFirstColumn="0" w:lastRowLastColumn="0"/>
        </w:trPr>
        <w:tc>
          <w:tcPr>
            <w:tcW w:w="1219" w:type="dxa"/>
          </w:tcPr>
          <w:p w14:paraId="056519DF" w14:textId="77777777" w:rsidR="00075EB2" w:rsidRPr="00AB2119" w:rsidRDefault="00075EB2" w:rsidP="00FD7526">
            <w:pPr>
              <w:spacing w:after="120"/>
            </w:pPr>
            <w:r w:rsidRPr="00AB2119">
              <w:lastRenderedPageBreak/>
              <w:t>110</w:t>
            </w:r>
          </w:p>
        </w:tc>
        <w:tc>
          <w:tcPr>
            <w:tcW w:w="1417" w:type="dxa"/>
          </w:tcPr>
          <w:p w14:paraId="129E3B95" w14:textId="77777777" w:rsidR="00075EB2" w:rsidRPr="00AB2119" w:rsidRDefault="00075EB2" w:rsidP="00FD7526">
            <w:pPr>
              <w:spacing w:after="120"/>
            </w:pPr>
            <w:r w:rsidRPr="00AB2119">
              <w:t>166(3)</w:t>
            </w:r>
          </w:p>
        </w:tc>
        <w:tc>
          <w:tcPr>
            <w:tcW w:w="3970" w:type="dxa"/>
          </w:tcPr>
          <w:p w14:paraId="5B60861D" w14:textId="2A9D40AC" w:rsidR="00075EB2" w:rsidRPr="00AB2119" w:rsidRDefault="00075EB2" w:rsidP="00FD7526">
            <w:pPr>
              <w:spacing w:after="120"/>
            </w:pPr>
            <w:r>
              <w:t xml:space="preserve">If a retailer is notified by a distributor that the distributor has deregistered a relevant customer under the Electricity Distribution Code or the </w:t>
            </w:r>
            <w:r w:rsidRPr="005E4AB4">
              <w:rPr>
                <w:i/>
                <w:iCs/>
              </w:rPr>
              <w:t>Gas Distribution System Code</w:t>
            </w:r>
            <w:r>
              <w:t>, the retailer must (within one business day from notification) update its register of life</w:t>
            </w:r>
            <w:r w:rsidR="00CE1AA2">
              <w:t>-</w:t>
            </w:r>
            <w:r>
              <w:t>support customers and residents as required by clause 167.</w:t>
            </w:r>
          </w:p>
        </w:tc>
        <w:tc>
          <w:tcPr>
            <w:tcW w:w="3261" w:type="dxa"/>
          </w:tcPr>
          <w:p w14:paraId="2105EF36" w14:textId="7673F6A0" w:rsidR="00075EB2" w:rsidRPr="00AB2119" w:rsidRDefault="00075EB2" w:rsidP="00FD7526">
            <w:pPr>
              <w:spacing w:after="120"/>
            </w:pPr>
            <w:r w:rsidRPr="00AB2119">
              <w:t>Replace ‘</w:t>
            </w:r>
            <w:r w:rsidRPr="00AB2119">
              <w:rPr>
                <w:i/>
              </w:rPr>
              <w:t>Gas Distribution System Code</w:t>
            </w:r>
            <w:r w:rsidRPr="00AB2119">
              <w:t>’ with ‘</w:t>
            </w:r>
            <w:r w:rsidRPr="00AB2119">
              <w:rPr>
                <w:i/>
              </w:rPr>
              <w:t>Gas Distribution Code of Practice</w:t>
            </w:r>
            <w:r w:rsidRPr="00AB2119">
              <w:t>’.</w:t>
            </w:r>
          </w:p>
        </w:tc>
      </w:tr>
      <w:tr w:rsidR="00075EB2" w14:paraId="72ECE067" w14:textId="77777777" w:rsidTr="002B3998">
        <w:trPr>
          <w:cnfStyle w:val="000000100000" w:firstRow="0" w:lastRow="0" w:firstColumn="0" w:lastColumn="0" w:oddVBand="0" w:evenVBand="0" w:oddHBand="1" w:evenHBand="0" w:firstRowFirstColumn="0" w:firstRowLastColumn="0" w:lastRowFirstColumn="0" w:lastRowLastColumn="0"/>
        </w:trPr>
        <w:tc>
          <w:tcPr>
            <w:tcW w:w="1219" w:type="dxa"/>
          </w:tcPr>
          <w:p w14:paraId="2C2E7E9A" w14:textId="77777777" w:rsidR="00075EB2" w:rsidRPr="00AB2119" w:rsidRDefault="00075EB2" w:rsidP="00FD7526">
            <w:pPr>
              <w:spacing w:after="120"/>
            </w:pPr>
            <w:r w:rsidRPr="00AB2119">
              <w:t>111</w:t>
            </w:r>
          </w:p>
        </w:tc>
        <w:tc>
          <w:tcPr>
            <w:tcW w:w="1417" w:type="dxa"/>
          </w:tcPr>
          <w:p w14:paraId="0EBBA5B3" w14:textId="77777777" w:rsidR="00075EB2" w:rsidRPr="00AB2119" w:rsidRDefault="00075EB2" w:rsidP="00FD7526">
            <w:pPr>
              <w:spacing w:after="120"/>
            </w:pPr>
            <w:r w:rsidRPr="00AB2119">
              <w:t>166(6)(c)(ii)</w:t>
            </w:r>
          </w:p>
        </w:tc>
        <w:tc>
          <w:tcPr>
            <w:tcW w:w="3970" w:type="dxa"/>
          </w:tcPr>
          <w:p w14:paraId="4FD09001" w14:textId="77777777" w:rsidR="00075EB2" w:rsidRPr="00AB2119" w:rsidRDefault="00075EB2" w:rsidP="00FD7526">
            <w:pPr>
              <w:tabs>
                <w:tab w:val="left" w:pos="1915"/>
              </w:tabs>
              <w:spacing w:after="120"/>
            </w:pPr>
            <w:r w:rsidRPr="00AB2119">
              <w:t xml:space="preserve">clause 4A.10 of the </w:t>
            </w:r>
            <w:r w:rsidRPr="00AB2119">
              <w:rPr>
                <w:i/>
              </w:rPr>
              <w:t>Gas Distribution System Code</w:t>
            </w:r>
            <w:r w:rsidRPr="00AB2119">
              <w:t>.</w:t>
            </w:r>
          </w:p>
        </w:tc>
        <w:tc>
          <w:tcPr>
            <w:tcW w:w="3261" w:type="dxa"/>
          </w:tcPr>
          <w:p w14:paraId="0F315740" w14:textId="59C94E6F" w:rsidR="00075EB2" w:rsidRPr="00AB2119" w:rsidRDefault="00075EB2" w:rsidP="00FD7526">
            <w:pPr>
              <w:spacing w:after="120"/>
            </w:pPr>
            <w:r w:rsidRPr="00AB2119">
              <w:t xml:space="preserve">Replace reference to ‘clause 4A.10 of the </w:t>
            </w:r>
            <w:r w:rsidRPr="00AB2119">
              <w:rPr>
                <w:i/>
              </w:rPr>
              <w:t>Gas Distribution System Code</w:t>
            </w:r>
            <w:r w:rsidRPr="00AB2119">
              <w:t xml:space="preserve">’ with ‘clause 7.10 of the </w:t>
            </w:r>
            <w:r w:rsidRPr="00AB2119">
              <w:rPr>
                <w:i/>
              </w:rPr>
              <w:t>Gas Distribution Code of Practice</w:t>
            </w:r>
            <w:r w:rsidRPr="00AB2119">
              <w:t>.’</w:t>
            </w:r>
          </w:p>
        </w:tc>
      </w:tr>
      <w:tr w:rsidR="00075EB2" w14:paraId="08BCFC0D" w14:textId="77777777" w:rsidTr="002B3998">
        <w:trPr>
          <w:cnfStyle w:val="000000010000" w:firstRow="0" w:lastRow="0" w:firstColumn="0" w:lastColumn="0" w:oddVBand="0" w:evenVBand="0" w:oddHBand="0" w:evenHBand="1" w:firstRowFirstColumn="0" w:firstRowLastColumn="0" w:lastRowFirstColumn="0" w:lastRowLastColumn="0"/>
        </w:trPr>
        <w:tc>
          <w:tcPr>
            <w:tcW w:w="1219" w:type="dxa"/>
          </w:tcPr>
          <w:p w14:paraId="0469CB6E" w14:textId="77777777" w:rsidR="00075EB2" w:rsidRPr="00AB2119" w:rsidRDefault="00075EB2" w:rsidP="00FD7526">
            <w:pPr>
              <w:spacing w:after="120"/>
            </w:pPr>
            <w:r w:rsidRPr="00AB2119">
              <w:t>112</w:t>
            </w:r>
          </w:p>
        </w:tc>
        <w:tc>
          <w:tcPr>
            <w:tcW w:w="1417" w:type="dxa"/>
          </w:tcPr>
          <w:p w14:paraId="69ADDFC0" w14:textId="77777777" w:rsidR="00075EB2" w:rsidRPr="00AB2119" w:rsidRDefault="00075EB2" w:rsidP="00FD7526">
            <w:pPr>
              <w:spacing w:after="120"/>
            </w:pPr>
            <w:r w:rsidRPr="00AB2119">
              <w:t>166(8)(b)</w:t>
            </w:r>
          </w:p>
        </w:tc>
        <w:tc>
          <w:tcPr>
            <w:tcW w:w="3970" w:type="dxa"/>
          </w:tcPr>
          <w:p w14:paraId="4E6DA9B5" w14:textId="77777777" w:rsidR="00075EB2" w:rsidRPr="00AB2119" w:rsidRDefault="00075EB2" w:rsidP="00FD7526">
            <w:pPr>
              <w:spacing w:after="120"/>
            </w:pPr>
            <w:r w:rsidRPr="00AB2119">
              <w:t xml:space="preserve">clause 4A.11 of the </w:t>
            </w:r>
            <w:r w:rsidRPr="00AB2119">
              <w:rPr>
                <w:i/>
              </w:rPr>
              <w:t>Gas Distribution System Code</w:t>
            </w:r>
            <w:r w:rsidRPr="00AB2119">
              <w:t>.</w:t>
            </w:r>
          </w:p>
        </w:tc>
        <w:tc>
          <w:tcPr>
            <w:tcW w:w="3261" w:type="dxa"/>
          </w:tcPr>
          <w:p w14:paraId="6014603D" w14:textId="1AD2F156" w:rsidR="00075EB2" w:rsidRPr="00AB2119" w:rsidRDefault="00075EB2" w:rsidP="00FD7526">
            <w:pPr>
              <w:spacing w:after="120"/>
            </w:pPr>
            <w:r w:rsidRPr="00AB2119">
              <w:t xml:space="preserve">Replace reference to ‘clause 4A.11 of the </w:t>
            </w:r>
            <w:r w:rsidRPr="00AB2119">
              <w:rPr>
                <w:i/>
              </w:rPr>
              <w:t>Gas Distribution System Code</w:t>
            </w:r>
            <w:r w:rsidRPr="00AB2119">
              <w:t xml:space="preserve">’ with ‘clause 7.11 of the </w:t>
            </w:r>
            <w:r w:rsidRPr="00AB2119">
              <w:rPr>
                <w:i/>
              </w:rPr>
              <w:t>Gas Distribution Code of Practice</w:t>
            </w:r>
            <w:r w:rsidRPr="00AB2119">
              <w:t>.’</w:t>
            </w:r>
          </w:p>
        </w:tc>
      </w:tr>
      <w:tr w:rsidR="00075EB2" w14:paraId="736C56DF" w14:textId="77777777" w:rsidTr="002B3998">
        <w:trPr>
          <w:cnfStyle w:val="000000100000" w:firstRow="0" w:lastRow="0" w:firstColumn="0" w:lastColumn="0" w:oddVBand="0" w:evenVBand="0" w:oddHBand="1" w:evenHBand="0" w:firstRowFirstColumn="0" w:firstRowLastColumn="0" w:lastRowFirstColumn="0" w:lastRowLastColumn="0"/>
        </w:trPr>
        <w:tc>
          <w:tcPr>
            <w:tcW w:w="1219" w:type="dxa"/>
          </w:tcPr>
          <w:p w14:paraId="551E23D0" w14:textId="77777777" w:rsidR="00075EB2" w:rsidRDefault="00075EB2" w:rsidP="00FD7526">
            <w:pPr>
              <w:spacing w:after="120"/>
            </w:pPr>
            <w:r w:rsidRPr="00AB2119">
              <w:t>137</w:t>
            </w:r>
          </w:p>
        </w:tc>
        <w:tc>
          <w:tcPr>
            <w:tcW w:w="1417" w:type="dxa"/>
          </w:tcPr>
          <w:p w14:paraId="0050B909" w14:textId="77777777" w:rsidR="00075EB2" w:rsidRDefault="00075EB2" w:rsidP="00FD7526">
            <w:pPr>
              <w:spacing w:after="120"/>
            </w:pPr>
            <w:r w:rsidRPr="00AB2119">
              <w:t>Schedule 2 clause 6.3(c)</w:t>
            </w:r>
          </w:p>
        </w:tc>
        <w:tc>
          <w:tcPr>
            <w:tcW w:w="3970" w:type="dxa"/>
          </w:tcPr>
          <w:p w14:paraId="33D732E9" w14:textId="7DFB0B77" w:rsidR="00075EB2" w:rsidRDefault="00075EB2" w:rsidP="00FD7526">
            <w:pPr>
              <w:spacing w:after="120"/>
            </w:pPr>
            <w:r w:rsidRPr="00AB2119">
              <w:t xml:space="preserve">Subject to satisfying the requirements in this code of practice, the Electricity Distribution Code or the </w:t>
            </w:r>
            <w:r w:rsidRPr="00AB2119">
              <w:rPr>
                <w:i/>
                <w:iCs/>
              </w:rPr>
              <w:t>Gas Distribution System Code</w:t>
            </w:r>
            <w:r w:rsidRPr="00AB2119">
              <w:t>, your premises may cease to be registered as having life</w:t>
            </w:r>
            <w:r w:rsidR="00CE1AA2">
              <w:t>-</w:t>
            </w:r>
            <w:r w:rsidRPr="00AB2119">
              <w:t>support equipment if medical confirmation is not provided to us or your distributor.</w:t>
            </w:r>
          </w:p>
        </w:tc>
        <w:tc>
          <w:tcPr>
            <w:tcW w:w="3261" w:type="dxa"/>
          </w:tcPr>
          <w:p w14:paraId="61C8E7AA" w14:textId="29813122" w:rsidR="00075EB2" w:rsidRDefault="00075EB2" w:rsidP="00FD7526">
            <w:pPr>
              <w:spacing w:after="120"/>
            </w:pPr>
            <w:r w:rsidRPr="00AB2119">
              <w:t>Replace ‘</w:t>
            </w:r>
            <w:r w:rsidRPr="00AB2119">
              <w:rPr>
                <w:i/>
                <w:iCs/>
              </w:rPr>
              <w:t>Gas Distribution System Code</w:t>
            </w:r>
            <w:r w:rsidRPr="00AB2119">
              <w:t>’ with ‘</w:t>
            </w:r>
            <w:r w:rsidRPr="00AB2119">
              <w:rPr>
                <w:i/>
                <w:iCs/>
              </w:rPr>
              <w:t>Gas Distribution Code of Practice</w:t>
            </w:r>
            <w:r w:rsidRPr="00AB2119">
              <w:t>’.</w:t>
            </w:r>
          </w:p>
        </w:tc>
      </w:tr>
    </w:tbl>
    <w:p w14:paraId="1E4D9B5B" w14:textId="77777777" w:rsidR="00075EB2" w:rsidRDefault="00075EB2" w:rsidP="00075EB2"/>
    <w:bookmarkEnd w:id="3"/>
    <w:p w14:paraId="69C8E0EF" w14:textId="77777777" w:rsidR="002410F0" w:rsidRDefault="002410F0" w:rsidP="00E23090">
      <w:pPr>
        <w:pStyle w:val="Figure-Table-BoxHeading"/>
      </w:pPr>
    </w:p>
    <w:p w14:paraId="16402F84" w14:textId="77777777" w:rsidR="006F62CC" w:rsidRDefault="006F62CC" w:rsidP="00E23090">
      <w:pPr>
        <w:pStyle w:val="Figure-Table-BoxHeading"/>
        <w:sectPr w:rsidR="006F62CC" w:rsidSect="006909A3">
          <w:headerReference w:type="default" r:id="rId11"/>
          <w:footerReference w:type="default" r:id="rId12"/>
          <w:footerReference w:type="first" r:id="rId13"/>
          <w:pgSz w:w="11906" w:h="16838" w:code="9"/>
          <w:pgMar w:top="1134" w:right="1134" w:bottom="1134" w:left="1134" w:header="709" w:footer="692" w:gutter="0"/>
          <w:cols w:space="708"/>
          <w:titlePg/>
          <w:docGrid w:linePitch="360"/>
        </w:sectPr>
      </w:pPr>
    </w:p>
    <w:p w14:paraId="66008C07" w14:textId="2009E0D1" w:rsidR="00E23090" w:rsidRDefault="00E23090" w:rsidP="00E23090">
      <w:pPr>
        <w:pStyle w:val="Figure-Table-BoxHeading"/>
      </w:pPr>
      <w:r w:rsidRPr="00A65DB4">
        <w:lastRenderedPageBreak/>
        <w:t xml:space="preserve">Table </w:t>
      </w:r>
      <w:r>
        <w:t>2</w:t>
      </w:r>
      <w:r w:rsidRPr="00A65DB4">
        <w:t xml:space="preserve">. </w:t>
      </w:r>
      <w:r w:rsidR="005E6105">
        <w:t>Consequential</w:t>
      </w:r>
      <w:r w:rsidRPr="00A65DB4">
        <w:t xml:space="preserve"> </w:t>
      </w:r>
      <w:r w:rsidR="000D7F70">
        <w:t>amendment</w:t>
      </w:r>
      <w:r>
        <w:t xml:space="preserve">s to the Compliance and </w:t>
      </w:r>
      <w:r w:rsidR="005E6105">
        <w:t>Performance</w:t>
      </w:r>
      <w:r w:rsidR="00326ED4">
        <w:t xml:space="preserve"> </w:t>
      </w:r>
      <w:r>
        <w:t xml:space="preserve">Reporting </w:t>
      </w:r>
      <w:r w:rsidR="00326ED4">
        <w:t>Guideline</w:t>
      </w:r>
    </w:p>
    <w:tbl>
      <w:tblPr>
        <w:tblStyle w:val="TableGrid"/>
        <w:tblW w:w="5059" w:type="pct"/>
        <w:tblLook w:val="04A0" w:firstRow="1" w:lastRow="0" w:firstColumn="1" w:lastColumn="0" w:noHBand="0" w:noVBand="1"/>
      </w:tblPr>
      <w:tblGrid>
        <w:gridCol w:w="1620"/>
        <w:gridCol w:w="150"/>
        <w:gridCol w:w="2910"/>
        <w:gridCol w:w="2385"/>
        <w:gridCol w:w="3862"/>
        <w:gridCol w:w="3815"/>
      </w:tblGrid>
      <w:tr w:rsidR="005A7CDA" w14:paraId="7A5EEC89" w14:textId="77777777" w:rsidTr="00B91207">
        <w:trPr>
          <w:cnfStyle w:val="100000000000" w:firstRow="1" w:lastRow="0" w:firstColumn="0" w:lastColumn="0" w:oddVBand="0" w:evenVBand="0" w:oddHBand="0" w:evenHBand="0" w:firstRowFirstColumn="0" w:firstRowLastColumn="0" w:lastRowFirstColumn="0" w:lastRowLastColumn="0"/>
        </w:trPr>
        <w:tc>
          <w:tcPr>
            <w:tcW w:w="600" w:type="pct"/>
            <w:gridSpan w:val="2"/>
            <w:vAlign w:val="center"/>
          </w:tcPr>
          <w:p w14:paraId="2ED3E8C6" w14:textId="257D22BA" w:rsidR="00C20154" w:rsidRDefault="00D630AB" w:rsidP="005A7CDA">
            <w:pPr>
              <w:jc w:val="center"/>
            </w:pPr>
            <w:r>
              <w:t xml:space="preserve">Previous </w:t>
            </w:r>
            <w:r w:rsidR="00C20154">
              <w:t>CPRG (v8)</w:t>
            </w:r>
            <w:r w:rsidR="00C20154" w:rsidRPr="00406C42">
              <w:t xml:space="preserve"> page number</w:t>
            </w:r>
            <w:r w:rsidR="00C20154">
              <w:t xml:space="preserve"> and ESC ref</w:t>
            </w:r>
            <w:r w:rsidR="00EF5B34">
              <w:t>erence</w:t>
            </w:r>
          </w:p>
        </w:tc>
        <w:tc>
          <w:tcPr>
            <w:tcW w:w="987" w:type="pct"/>
            <w:vAlign w:val="center"/>
          </w:tcPr>
          <w:p w14:paraId="18E75707" w14:textId="65B553A1" w:rsidR="00C20154" w:rsidRPr="0005488D" w:rsidRDefault="00C20154" w:rsidP="005A7CDA">
            <w:pPr>
              <w:jc w:val="center"/>
            </w:pPr>
            <w:r>
              <w:t>Related instrument (Gas Distribution System Code of Practice v16</w:t>
            </w:r>
            <w:r w:rsidR="009050CA">
              <w:t xml:space="preserve"> (GDSCoP)</w:t>
            </w:r>
            <w:r>
              <w:t xml:space="preserve"> or </w:t>
            </w:r>
            <w:r w:rsidRPr="001667F5">
              <w:rPr>
                <w:i/>
                <w:iCs/>
              </w:rPr>
              <w:t>Gas Industry Act</w:t>
            </w:r>
            <w:r>
              <w:t xml:space="preserve"> </w:t>
            </w:r>
            <w:r w:rsidRPr="001667F5">
              <w:rPr>
                <w:i/>
                <w:iCs/>
              </w:rPr>
              <w:t>2001</w:t>
            </w:r>
            <w:r w:rsidR="00A05CB8">
              <w:rPr>
                <w:i/>
                <w:iCs/>
              </w:rPr>
              <w:t xml:space="preserve"> </w:t>
            </w:r>
            <w:r w:rsidR="00A05CB8">
              <w:t>(GIA)</w:t>
            </w:r>
            <w:r>
              <w:t>)</w:t>
            </w:r>
          </w:p>
        </w:tc>
        <w:tc>
          <w:tcPr>
            <w:tcW w:w="809" w:type="pct"/>
            <w:vAlign w:val="center"/>
          </w:tcPr>
          <w:p w14:paraId="16E43367" w14:textId="633A1C7A" w:rsidR="00C20154" w:rsidRPr="0005488D" w:rsidRDefault="00C20154" w:rsidP="005A7CDA">
            <w:pPr>
              <w:jc w:val="center"/>
            </w:pPr>
            <w:r>
              <w:t>GDCoP clause numbers</w:t>
            </w:r>
          </w:p>
        </w:tc>
        <w:tc>
          <w:tcPr>
            <w:tcW w:w="1310" w:type="pct"/>
            <w:vAlign w:val="center"/>
          </w:tcPr>
          <w:p w14:paraId="4B94B236" w14:textId="692A8A8D" w:rsidR="00C20154" w:rsidRPr="0005488D" w:rsidRDefault="00C20154" w:rsidP="005A7CDA">
            <w:pPr>
              <w:jc w:val="center"/>
            </w:pPr>
            <w:r>
              <w:t>Name of provision</w:t>
            </w:r>
          </w:p>
        </w:tc>
        <w:tc>
          <w:tcPr>
            <w:tcW w:w="1294" w:type="pct"/>
            <w:vAlign w:val="center"/>
          </w:tcPr>
          <w:p w14:paraId="22859983" w14:textId="3E9E4CE2" w:rsidR="00C20154" w:rsidRPr="0005488D" w:rsidRDefault="00AF050F" w:rsidP="005A7CDA">
            <w:pPr>
              <w:jc w:val="center"/>
            </w:pPr>
            <w:r>
              <w:t>Amendment</w:t>
            </w:r>
          </w:p>
        </w:tc>
      </w:tr>
      <w:tr w:rsidR="00B91207" w14:paraId="6863948D" w14:textId="77777777" w:rsidTr="00B91207">
        <w:trPr>
          <w:cnfStyle w:val="000000100000" w:firstRow="0" w:lastRow="0" w:firstColumn="0" w:lastColumn="0" w:oddVBand="0" w:evenVBand="0" w:oddHBand="1" w:evenHBand="0" w:firstRowFirstColumn="0" w:firstRowLastColumn="0" w:lastRowFirstColumn="0" w:lastRowLastColumn="0"/>
        </w:trPr>
        <w:tc>
          <w:tcPr>
            <w:tcW w:w="5000" w:type="pct"/>
            <w:gridSpan w:val="6"/>
            <w:shd w:val="clear" w:color="auto" w:fill="D8E7ED" w:themeFill="text2" w:themeFillTint="33"/>
          </w:tcPr>
          <w:p w14:paraId="00236197" w14:textId="4FB21234" w:rsidR="00B91207" w:rsidRPr="004717C4" w:rsidRDefault="00B91207" w:rsidP="005A7CDA">
            <w:pPr>
              <w:jc w:val="center"/>
              <w:rPr>
                <w:b/>
                <w:bCs/>
              </w:rPr>
            </w:pPr>
            <w:r w:rsidRPr="004717C4">
              <w:rPr>
                <w:b/>
                <w:bCs/>
                <w:color w:val="4986A0" w:themeColor="text2"/>
              </w:rPr>
              <w:t>Type 1 breaches – gas distributors</w:t>
            </w:r>
          </w:p>
        </w:tc>
      </w:tr>
      <w:tr w:rsidR="005A7CDA" w14:paraId="1C2812DC"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26A53B95" w14:textId="19DD74A3" w:rsidR="003063A0" w:rsidRDefault="003063A0" w:rsidP="005A7CDA">
            <w:r>
              <w:t>43/ DB0032</w:t>
            </w:r>
          </w:p>
        </w:tc>
        <w:tc>
          <w:tcPr>
            <w:tcW w:w="51" w:type="pct"/>
          </w:tcPr>
          <w:p w14:paraId="362515CA" w14:textId="77777777" w:rsidR="003063A0" w:rsidRDefault="003063A0" w:rsidP="005A7CDA"/>
        </w:tc>
        <w:tc>
          <w:tcPr>
            <w:tcW w:w="987" w:type="pct"/>
          </w:tcPr>
          <w:p w14:paraId="07EAAB2D" w14:textId="663D15ED" w:rsidR="003063A0" w:rsidRDefault="003063A0" w:rsidP="005A7CDA">
            <w:r>
              <w:t xml:space="preserve">GDSCoP </w:t>
            </w:r>
            <w:r w:rsidR="008B31C4">
              <w:t>–</w:t>
            </w:r>
            <w:r>
              <w:t xml:space="preserve"> clause 4A.3.1(a)</w:t>
            </w:r>
          </w:p>
        </w:tc>
        <w:tc>
          <w:tcPr>
            <w:tcW w:w="809" w:type="pct"/>
          </w:tcPr>
          <w:p w14:paraId="2BEB87B1" w14:textId="64F1B0B4" w:rsidR="003063A0" w:rsidRDefault="003063A0" w:rsidP="005A7CDA">
            <w:r>
              <w:t xml:space="preserve">GDCoP </w:t>
            </w:r>
            <w:r w:rsidR="008B31C4">
              <w:t>–</w:t>
            </w:r>
            <w:r>
              <w:t xml:space="preserve"> clause 7.3.1(a)</w:t>
            </w:r>
          </w:p>
        </w:tc>
        <w:tc>
          <w:tcPr>
            <w:tcW w:w="1310" w:type="pct"/>
          </w:tcPr>
          <w:p w14:paraId="05C14C7F" w14:textId="24D79D76" w:rsidR="003063A0" w:rsidRDefault="003063A0" w:rsidP="005A7CDA">
            <w:r w:rsidRPr="006F1C69">
              <w:t>Registering life support equipment – obligations when advised by customer</w:t>
            </w:r>
          </w:p>
        </w:tc>
        <w:tc>
          <w:tcPr>
            <w:tcW w:w="1294" w:type="pct"/>
          </w:tcPr>
          <w:p w14:paraId="6EBCB432" w14:textId="5C46A45D" w:rsidR="005A7CDA" w:rsidRDefault="00AF050F" w:rsidP="005A7CDA">
            <w:r>
              <w:t xml:space="preserve">Move </w:t>
            </w:r>
            <w:r w:rsidR="0057095F">
              <w:t xml:space="preserve">reporting </w:t>
            </w:r>
            <w:r>
              <w:t xml:space="preserve">obligation to </w:t>
            </w:r>
            <w:r w:rsidR="003063A0">
              <w:t>Schedule 3, part 1, table 2</w:t>
            </w:r>
            <w:r w:rsidR="003854FC">
              <w:t>.</w:t>
            </w:r>
            <w:r w:rsidR="000D7F70">
              <w:t xml:space="preserve"> </w:t>
            </w:r>
          </w:p>
          <w:p w14:paraId="63A06AA4" w14:textId="45E900A1" w:rsidR="00347A61" w:rsidRDefault="00347A61" w:rsidP="005A7CDA">
            <w:r>
              <w:t>Remove from CPRG (v9)</w:t>
            </w:r>
            <w:r w:rsidR="003854FC">
              <w:t>.</w:t>
            </w:r>
          </w:p>
        </w:tc>
      </w:tr>
      <w:tr w:rsidR="005A7CDA" w14:paraId="6CD2CDCF"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4868505F" w14:textId="0194E2C8" w:rsidR="003063A0" w:rsidRDefault="003063A0" w:rsidP="005A7CDA">
            <w:r>
              <w:t>43/ DB0032-2</w:t>
            </w:r>
          </w:p>
        </w:tc>
        <w:tc>
          <w:tcPr>
            <w:tcW w:w="51" w:type="pct"/>
          </w:tcPr>
          <w:p w14:paraId="17CE7B0F" w14:textId="77777777" w:rsidR="003063A0" w:rsidRDefault="003063A0" w:rsidP="005A7CDA"/>
        </w:tc>
        <w:tc>
          <w:tcPr>
            <w:tcW w:w="987" w:type="pct"/>
          </w:tcPr>
          <w:p w14:paraId="44DC840E" w14:textId="464E50F0" w:rsidR="003063A0" w:rsidRDefault="003063A0" w:rsidP="005A7CDA">
            <w:r>
              <w:t xml:space="preserve">GDSCoP </w:t>
            </w:r>
            <w:r w:rsidR="008B31C4">
              <w:t>–</w:t>
            </w:r>
            <w:r>
              <w:t xml:space="preserve"> clause 4A.3.1(b)</w:t>
            </w:r>
          </w:p>
        </w:tc>
        <w:tc>
          <w:tcPr>
            <w:tcW w:w="809" w:type="pct"/>
          </w:tcPr>
          <w:p w14:paraId="64E02D2B" w14:textId="01DF7E40" w:rsidR="003063A0" w:rsidRDefault="003063A0" w:rsidP="005A7CDA">
            <w:r>
              <w:t xml:space="preserve">GDCoP </w:t>
            </w:r>
            <w:r w:rsidR="008B31C4">
              <w:t>–</w:t>
            </w:r>
            <w:r>
              <w:t xml:space="preserve"> clause 7.3.1(b)</w:t>
            </w:r>
          </w:p>
        </w:tc>
        <w:tc>
          <w:tcPr>
            <w:tcW w:w="1310" w:type="pct"/>
          </w:tcPr>
          <w:p w14:paraId="0731B09A" w14:textId="1114ECCB" w:rsidR="003063A0" w:rsidRDefault="003063A0" w:rsidP="005A7CDA">
            <w:r>
              <w:t>Registering life support equipment – obligations when advised by customer</w:t>
            </w:r>
          </w:p>
        </w:tc>
        <w:tc>
          <w:tcPr>
            <w:tcW w:w="1294" w:type="pct"/>
          </w:tcPr>
          <w:p w14:paraId="63592B4E" w14:textId="1D1C7AC6" w:rsidR="003063A0" w:rsidRDefault="00AF050F" w:rsidP="005A7CDA">
            <w:r>
              <w:t>Move</w:t>
            </w:r>
            <w:r w:rsidR="0057095F">
              <w:t xml:space="preserve"> reporting</w:t>
            </w:r>
            <w:r>
              <w:t xml:space="preserve"> obligation to </w:t>
            </w:r>
            <w:r w:rsidR="003063A0">
              <w:t>Schedule 3, part 1, table 2</w:t>
            </w:r>
            <w:r w:rsidR="003854FC">
              <w:t>.</w:t>
            </w:r>
          </w:p>
          <w:p w14:paraId="1850BF97" w14:textId="16C9EE91" w:rsidR="00347A61" w:rsidRDefault="00347A61" w:rsidP="005A7CDA">
            <w:r>
              <w:t>Remove from CPRG (v9)</w:t>
            </w:r>
            <w:r w:rsidR="003854FC">
              <w:t>.</w:t>
            </w:r>
          </w:p>
        </w:tc>
      </w:tr>
      <w:tr w:rsidR="005A7CDA" w14:paraId="588D8CEC"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6E2E62C0" w14:textId="56727FA2" w:rsidR="003063A0" w:rsidRDefault="003063A0" w:rsidP="005A7CDA">
            <w:r>
              <w:t>43/ DB0032-3</w:t>
            </w:r>
          </w:p>
        </w:tc>
        <w:tc>
          <w:tcPr>
            <w:tcW w:w="51" w:type="pct"/>
          </w:tcPr>
          <w:p w14:paraId="3856F424" w14:textId="77777777" w:rsidR="003063A0" w:rsidRDefault="003063A0" w:rsidP="005A7CDA"/>
        </w:tc>
        <w:tc>
          <w:tcPr>
            <w:tcW w:w="987" w:type="pct"/>
          </w:tcPr>
          <w:p w14:paraId="4415A62C" w14:textId="7C677A51" w:rsidR="003063A0" w:rsidRDefault="003063A0" w:rsidP="005A7CDA">
            <w:r>
              <w:t xml:space="preserve">GDSCoP </w:t>
            </w:r>
            <w:r w:rsidR="008B31C4">
              <w:t>–</w:t>
            </w:r>
            <w:r>
              <w:t xml:space="preserve"> clause 4A.3.1(c)</w:t>
            </w:r>
          </w:p>
        </w:tc>
        <w:tc>
          <w:tcPr>
            <w:tcW w:w="809" w:type="pct"/>
          </w:tcPr>
          <w:p w14:paraId="048F56F7" w14:textId="0D09867D" w:rsidR="003063A0" w:rsidRDefault="003063A0" w:rsidP="005A7CDA">
            <w:r>
              <w:t xml:space="preserve">GDCoP </w:t>
            </w:r>
            <w:r w:rsidR="008B31C4">
              <w:t>–</w:t>
            </w:r>
            <w:r>
              <w:t xml:space="preserve"> clause 7.3.1(c)</w:t>
            </w:r>
          </w:p>
        </w:tc>
        <w:tc>
          <w:tcPr>
            <w:tcW w:w="1310" w:type="pct"/>
          </w:tcPr>
          <w:p w14:paraId="0A07F4E9" w14:textId="0C93D870" w:rsidR="003063A0" w:rsidRDefault="003063A0" w:rsidP="005A7CDA">
            <w:r>
              <w:t>Registering life support equipment – obligations when advised by customer</w:t>
            </w:r>
          </w:p>
        </w:tc>
        <w:tc>
          <w:tcPr>
            <w:tcW w:w="1294" w:type="pct"/>
          </w:tcPr>
          <w:p w14:paraId="61481860" w14:textId="689EC27D" w:rsidR="003063A0" w:rsidRDefault="00AF050F" w:rsidP="005A7CDA">
            <w:r>
              <w:t xml:space="preserve">Move </w:t>
            </w:r>
            <w:r w:rsidR="0057095F">
              <w:t xml:space="preserve">reporting </w:t>
            </w:r>
            <w:r>
              <w:t xml:space="preserve">obligation to </w:t>
            </w:r>
            <w:r w:rsidR="003063A0">
              <w:t>Schedule 3, part 1, table 2</w:t>
            </w:r>
            <w:r w:rsidR="003854FC">
              <w:t>.</w:t>
            </w:r>
          </w:p>
          <w:p w14:paraId="6E4B4471" w14:textId="5BD1EE7E" w:rsidR="00347A61" w:rsidRDefault="00347A61" w:rsidP="005A7CDA">
            <w:r>
              <w:t>Remove from CPRG (v9)</w:t>
            </w:r>
            <w:r w:rsidR="003854FC">
              <w:t>.</w:t>
            </w:r>
          </w:p>
        </w:tc>
      </w:tr>
      <w:tr w:rsidR="005A7CDA" w14:paraId="1324C96F"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49642CE6" w14:textId="6C22C193" w:rsidR="003063A0" w:rsidRDefault="003063A0" w:rsidP="005A7CDA">
            <w:r>
              <w:t>43/ DB0032-4</w:t>
            </w:r>
          </w:p>
        </w:tc>
        <w:tc>
          <w:tcPr>
            <w:tcW w:w="51" w:type="pct"/>
          </w:tcPr>
          <w:p w14:paraId="3032CD08" w14:textId="77777777" w:rsidR="003063A0" w:rsidRDefault="003063A0" w:rsidP="005A7CDA"/>
        </w:tc>
        <w:tc>
          <w:tcPr>
            <w:tcW w:w="987" w:type="pct"/>
          </w:tcPr>
          <w:p w14:paraId="5F2D2B12" w14:textId="0D115A5C" w:rsidR="003063A0" w:rsidRDefault="003063A0" w:rsidP="005A7CDA">
            <w:r>
              <w:t xml:space="preserve">GDSCoP </w:t>
            </w:r>
            <w:r w:rsidR="008B31C4">
              <w:t>–</w:t>
            </w:r>
            <w:r>
              <w:t xml:space="preserve"> clause 4A.3.1(d)</w:t>
            </w:r>
          </w:p>
        </w:tc>
        <w:tc>
          <w:tcPr>
            <w:tcW w:w="809" w:type="pct"/>
          </w:tcPr>
          <w:p w14:paraId="231B545D" w14:textId="358F094B" w:rsidR="003063A0" w:rsidRDefault="003063A0" w:rsidP="005A7CDA">
            <w:r>
              <w:t xml:space="preserve">GDCoP </w:t>
            </w:r>
            <w:r w:rsidR="008B31C4">
              <w:t>–</w:t>
            </w:r>
            <w:r>
              <w:t xml:space="preserve"> clause 7.3.1(d)</w:t>
            </w:r>
          </w:p>
        </w:tc>
        <w:tc>
          <w:tcPr>
            <w:tcW w:w="1310" w:type="pct"/>
          </w:tcPr>
          <w:p w14:paraId="6A804155" w14:textId="491D6108" w:rsidR="003063A0" w:rsidRDefault="003063A0" w:rsidP="005A7CDA">
            <w:r>
              <w:t>Registering life support equipment – obligations when advised by customer</w:t>
            </w:r>
          </w:p>
        </w:tc>
        <w:tc>
          <w:tcPr>
            <w:tcW w:w="1294" w:type="pct"/>
          </w:tcPr>
          <w:p w14:paraId="2FE20DFE" w14:textId="2D9816F8" w:rsidR="003063A0" w:rsidRDefault="00AF050F" w:rsidP="005A7CDA">
            <w:r>
              <w:t>Move</w:t>
            </w:r>
            <w:r w:rsidR="0057095F">
              <w:t xml:space="preserve"> reporting</w:t>
            </w:r>
            <w:r>
              <w:t xml:space="preserve"> obligation to </w:t>
            </w:r>
            <w:r w:rsidR="003063A0">
              <w:t>Schedule 3, part 1, table 2</w:t>
            </w:r>
            <w:r w:rsidR="003854FC">
              <w:t>.</w:t>
            </w:r>
          </w:p>
          <w:p w14:paraId="55575A01" w14:textId="1FB72BFF" w:rsidR="00347A61" w:rsidRDefault="00347A61" w:rsidP="005A7CDA">
            <w:r>
              <w:t>Remove from CPRG (v9)</w:t>
            </w:r>
            <w:r w:rsidR="003854FC">
              <w:t>.</w:t>
            </w:r>
          </w:p>
        </w:tc>
      </w:tr>
      <w:tr w:rsidR="005A7CDA" w14:paraId="0865E3E3"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05505E7A" w14:textId="492A20BB" w:rsidR="003063A0" w:rsidRDefault="003063A0" w:rsidP="005A7CDA">
            <w:r>
              <w:t>43/ DB0033</w:t>
            </w:r>
          </w:p>
        </w:tc>
        <w:tc>
          <w:tcPr>
            <w:tcW w:w="51" w:type="pct"/>
          </w:tcPr>
          <w:p w14:paraId="3474695D" w14:textId="77777777" w:rsidR="003063A0" w:rsidRDefault="003063A0" w:rsidP="005A7CDA"/>
        </w:tc>
        <w:tc>
          <w:tcPr>
            <w:tcW w:w="987" w:type="pct"/>
          </w:tcPr>
          <w:p w14:paraId="6C057269" w14:textId="4FF5D60E" w:rsidR="003063A0" w:rsidRDefault="003063A0" w:rsidP="005A7CDA">
            <w:r>
              <w:t xml:space="preserve">GDSCoP </w:t>
            </w:r>
            <w:r w:rsidR="008B31C4">
              <w:t>–</w:t>
            </w:r>
            <w:r>
              <w:t xml:space="preserve"> clause 4A.4</w:t>
            </w:r>
          </w:p>
        </w:tc>
        <w:tc>
          <w:tcPr>
            <w:tcW w:w="809" w:type="pct"/>
          </w:tcPr>
          <w:p w14:paraId="774515CE" w14:textId="26DDD0FB" w:rsidR="003063A0" w:rsidRDefault="003063A0" w:rsidP="005A7CDA">
            <w:r>
              <w:t xml:space="preserve">GDCoP </w:t>
            </w:r>
            <w:r w:rsidR="008B31C4">
              <w:t>–</w:t>
            </w:r>
            <w:r>
              <w:t xml:space="preserve"> clause 7.4</w:t>
            </w:r>
          </w:p>
        </w:tc>
        <w:tc>
          <w:tcPr>
            <w:tcW w:w="1310" w:type="pct"/>
          </w:tcPr>
          <w:p w14:paraId="3062757A" w14:textId="3CFDB9EA" w:rsidR="003063A0" w:rsidRDefault="003063A0" w:rsidP="005A7CDA">
            <w:r>
              <w:t>Registering life support equipment – obligations when advised by retailer</w:t>
            </w:r>
          </w:p>
        </w:tc>
        <w:tc>
          <w:tcPr>
            <w:tcW w:w="1294" w:type="pct"/>
          </w:tcPr>
          <w:p w14:paraId="13D552B4" w14:textId="3EB5EE9A" w:rsidR="003063A0" w:rsidRDefault="00AF050F" w:rsidP="005A7CDA">
            <w:r>
              <w:t xml:space="preserve">Move </w:t>
            </w:r>
            <w:r w:rsidR="0057095F">
              <w:t xml:space="preserve">reporting </w:t>
            </w:r>
            <w:r>
              <w:t xml:space="preserve">obligation to </w:t>
            </w:r>
            <w:r w:rsidR="003063A0">
              <w:t>Schedule 3, part 1, table 2</w:t>
            </w:r>
            <w:r w:rsidR="003854FC">
              <w:t>.</w:t>
            </w:r>
          </w:p>
          <w:p w14:paraId="4C4183B0" w14:textId="511F8F68" w:rsidR="00347A61" w:rsidRDefault="00347A61" w:rsidP="005A7CDA">
            <w:r>
              <w:t>Remove from CPRG (v9)</w:t>
            </w:r>
            <w:r w:rsidR="003854FC">
              <w:t>.</w:t>
            </w:r>
          </w:p>
        </w:tc>
      </w:tr>
      <w:tr w:rsidR="005A7CDA" w14:paraId="750F0660"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47E432FD" w14:textId="3AEF5520" w:rsidR="003063A0" w:rsidRDefault="003063A0" w:rsidP="005A7CDA">
            <w:r>
              <w:t>44/ DB0034</w:t>
            </w:r>
          </w:p>
        </w:tc>
        <w:tc>
          <w:tcPr>
            <w:tcW w:w="51" w:type="pct"/>
          </w:tcPr>
          <w:p w14:paraId="3102ABFD" w14:textId="77777777" w:rsidR="003063A0" w:rsidRDefault="003063A0" w:rsidP="005A7CDA"/>
        </w:tc>
        <w:tc>
          <w:tcPr>
            <w:tcW w:w="987" w:type="pct"/>
          </w:tcPr>
          <w:p w14:paraId="33B8CFC4" w14:textId="6586EF85" w:rsidR="003063A0" w:rsidRDefault="003063A0" w:rsidP="005A7CDA">
            <w:r>
              <w:t xml:space="preserve">GDSCoP </w:t>
            </w:r>
            <w:r w:rsidR="008B31C4">
              <w:t>–</w:t>
            </w:r>
            <w:r>
              <w:t xml:space="preserve"> clause 4A.6(a)</w:t>
            </w:r>
          </w:p>
        </w:tc>
        <w:tc>
          <w:tcPr>
            <w:tcW w:w="809" w:type="pct"/>
          </w:tcPr>
          <w:p w14:paraId="1884DE3E" w14:textId="0EA3C73D" w:rsidR="003063A0" w:rsidRDefault="003063A0" w:rsidP="005A7CDA">
            <w:r>
              <w:t>GDCoP – clause 7.6.1</w:t>
            </w:r>
          </w:p>
        </w:tc>
        <w:tc>
          <w:tcPr>
            <w:tcW w:w="1310" w:type="pct"/>
          </w:tcPr>
          <w:p w14:paraId="3C4EAB31" w14:textId="33C50E21" w:rsidR="003063A0" w:rsidRDefault="003063A0" w:rsidP="005A7CDA">
            <w:r>
              <w:t>Confirmation of supply address as requiring life support equipment</w:t>
            </w:r>
          </w:p>
        </w:tc>
        <w:tc>
          <w:tcPr>
            <w:tcW w:w="1294" w:type="pct"/>
          </w:tcPr>
          <w:p w14:paraId="2A547790" w14:textId="648F60DC" w:rsidR="003063A0" w:rsidRDefault="00AF050F" w:rsidP="005A7CDA">
            <w:r>
              <w:t xml:space="preserve">Move </w:t>
            </w:r>
            <w:r w:rsidR="0057095F">
              <w:t xml:space="preserve">reporting </w:t>
            </w:r>
            <w:r>
              <w:t xml:space="preserve">obligation to </w:t>
            </w:r>
            <w:r w:rsidR="003063A0">
              <w:t>Schedule 3, part 1, table 2</w:t>
            </w:r>
            <w:r w:rsidR="003854FC">
              <w:t>.</w:t>
            </w:r>
          </w:p>
          <w:p w14:paraId="310A5942" w14:textId="42CD6458" w:rsidR="00347A61" w:rsidRDefault="00347A61" w:rsidP="005A7CDA">
            <w:r>
              <w:t>Remove from CPRG (v9)</w:t>
            </w:r>
            <w:r w:rsidR="003854FC">
              <w:t>.</w:t>
            </w:r>
          </w:p>
        </w:tc>
      </w:tr>
      <w:tr w:rsidR="005A7CDA" w14:paraId="30CD89CD"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124CB2A7" w14:textId="11A5FE12" w:rsidR="003063A0" w:rsidRDefault="003063A0" w:rsidP="005A7CDA">
            <w:r>
              <w:t>44/ DB0035</w:t>
            </w:r>
          </w:p>
        </w:tc>
        <w:tc>
          <w:tcPr>
            <w:tcW w:w="51" w:type="pct"/>
          </w:tcPr>
          <w:p w14:paraId="38B0B7EA" w14:textId="77777777" w:rsidR="003063A0" w:rsidRDefault="003063A0" w:rsidP="005A7CDA"/>
        </w:tc>
        <w:tc>
          <w:tcPr>
            <w:tcW w:w="987" w:type="pct"/>
          </w:tcPr>
          <w:p w14:paraId="72F9E201" w14:textId="3EF542A5" w:rsidR="003063A0" w:rsidRDefault="003063A0" w:rsidP="005A7CDA">
            <w:r>
              <w:t xml:space="preserve">GDSCoP </w:t>
            </w:r>
            <w:r w:rsidR="008B31C4">
              <w:t>–</w:t>
            </w:r>
            <w:r>
              <w:t xml:space="preserve"> clause 4A.7(a)</w:t>
            </w:r>
          </w:p>
        </w:tc>
        <w:tc>
          <w:tcPr>
            <w:tcW w:w="809" w:type="pct"/>
          </w:tcPr>
          <w:p w14:paraId="236E766E" w14:textId="0C92D19D" w:rsidR="003063A0" w:rsidRDefault="003063A0" w:rsidP="005A7CDA">
            <w:r>
              <w:t>GDCoP – clause 7.7.1</w:t>
            </w:r>
          </w:p>
        </w:tc>
        <w:tc>
          <w:tcPr>
            <w:tcW w:w="1310" w:type="pct"/>
          </w:tcPr>
          <w:p w14:paraId="5FC2118E" w14:textId="4A8001DD" w:rsidR="003063A0" w:rsidRDefault="003063A0" w:rsidP="005A7CDA">
            <w:r>
              <w:t>Life support – ongoing distributor obligations</w:t>
            </w:r>
          </w:p>
        </w:tc>
        <w:tc>
          <w:tcPr>
            <w:tcW w:w="1294" w:type="pct"/>
          </w:tcPr>
          <w:p w14:paraId="279CF316" w14:textId="7CF9FEC4" w:rsidR="00347A61" w:rsidRDefault="00AF050F" w:rsidP="005A7CDA">
            <w:r>
              <w:t>Move</w:t>
            </w:r>
            <w:r w:rsidR="00E81487">
              <w:t xml:space="preserve"> </w:t>
            </w:r>
            <w:r w:rsidR="0057095F">
              <w:t xml:space="preserve">reporting </w:t>
            </w:r>
            <w:r>
              <w:t xml:space="preserve">obligation to </w:t>
            </w:r>
            <w:r w:rsidR="003063A0">
              <w:t>Schedule 3, part 1, table 2</w:t>
            </w:r>
            <w:r w:rsidR="003854FC">
              <w:t>.</w:t>
            </w:r>
          </w:p>
          <w:p w14:paraId="33286C3F" w14:textId="5C8F5C75" w:rsidR="00347A61" w:rsidRDefault="00347A61" w:rsidP="005A7CDA">
            <w:r>
              <w:t>Remove from CPRG (v9)</w:t>
            </w:r>
            <w:r w:rsidR="003854FC">
              <w:t>.</w:t>
            </w:r>
          </w:p>
        </w:tc>
      </w:tr>
      <w:tr w:rsidR="005A7CDA" w14:paraId="08294CFE"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5F5EFE5D" w14:textId="3F1420CD" w:rsidR="003063A0" w:rsidRDefault="003063A0" w:rsidP="005A7CDA">
            <w:r>
              <w:lastRenderedPageBreak/>
              <w:t>44/ DB0036</w:t>
            </w:r>
          </w:p>
        </w:tc>
        <w:tc>
          <w:tcPr>
            <w:tcW w:w="51" w:type="pct"/>
          </w:tcPr>
          <w:p w14:paraId="779107D0" w14:textId="77777777" w:rsidR="003063A0" w:rsidRDefault="003063A0" w:rsidP="005A7CDA"/>
        </w:tc>
        <w:tc>
          <w:tcPr>
            <w:tcW w:w="987" w:type="pct"/>
          </w:tcPr>
          <w:p w14:paraId="3766037C" w14:textId="687744A9" w:rsidR="003063A0" w:rsidRDefault="003063A0" w:rsidP="005A7CDA">
            <w:r>
              <w:t xml:space="preserve">GDSCoP </w:t>
            </w:r>
            <w:r w:rsidR="008B31C4">
              <w:t>–</w:t>
            </w:r>
            <w:r>
              <w:t xml:space="preserve"> clause 4A.8(a)</w:t>
            </w:r>
          </w:p>
        </w:tc>
        <w:tc>
          <w:tcPr>
            <w:tcW w:w="809" w:type="pct"/>
          </w:tcPr>
          <w:p w14:paraId="5A5116BE" w14:textId="670E37A7" w:rsidR="003063A0" w:rsidRDefault="003063A0" w:rsidP="005A7CDA">
            <w:r>
              <w:t>GDCoP – clause 7.8.1</w:t>
            </w:r>
          </w:p>
        </w:tc>
        <w:tc>
          <w:tcPr>
            <w:tcW w:w="1310" w:type="pct"/>
          </w:tcPr>
          <w:p w14:paraId="73E25282" w14:textId="53D0E29B" w:rsidR="003063A0" w:rsidRDefault="003063A0" w:rsidP="005A7CDA">
            <w:r>
              <w:t>Deregistration of life support customer</w:t>
            </w:r>
          </w:p>
        </w:tc>
        <w:tc>
          <w:tcPr>
            <w:tcW w:w="1294" w:type="pct"/>
          </w:tcPr>
          <w:p w14:paraId="51137C9F" w14:textId="1DAF9526" w:rsidR="003063A0" w:rsidRDefault="00AF050F" w:rsidP="005A7CDA">
            <w:r>
              <w:t xml:space="preserve">Move </w:t>
            </w:r>
            <w:r w:rsidR="0057095F">
              <w:t xml:space="preserve">reporting </w:t>
            </w:r>
            <w:r>
              <w:t xml:space="preserve">obligation to </w:t>
            </w:r>
            <w:r w:rsidR="003063A0">
              <w:t>Schedule 3, part 1, table 2</w:t>
            </w:r>
            <w:r w:rsidR="003854FC">
              <w:t>.</w:t>
            </w:r>
          </w:p>
          <w:p w14:paraId="4C843D1D" w14:textId="02DAE234" w:rsidR="00347A61" w:rsidRDefault="00347A61" w:rsidP="005A7CDA">
            <w:r>
              <w:t>Remove from CPRG (v9)</w:t>
            </w:r>
            <w:r w:rsidR="003854FC">
              <w:t>.</w:t>
            </w:r>
          </w:p>
        </w:tc>
      </w:tr>
      <w:tr w:rsidR="005A7CDA" w14:paraId="4779E16C"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5950736C" w14:textId="335A3AE1" w:rsidR="00EF4324" w:rsidRDefault="00EF4324" w:rsidP="005A7CDA">
            <w:r>
              <w:t>44/ DB0037</w:t>
            </w:r>
          </w:p>
        </w:tc>
        <w:tc>
          <w:tcPr>
            <w:tcW w:w="51" w:type="pct"/>
          </w:tcPr>
          <w:p w14:paraId="7E68D504" w14:textId="77777777" w:rsidR="00EF4324" w:rsidRDefault="00EF4324" w:rsidP="005A7CDA"/>
        </w:tc>
        <w:tc>
          <w:tcPr>
            <w:tcW w:w="987" w:type="pct"/>
          </w:tcPr>
          <w:p w14:paraId="16C0F20B" w14:textId="0A85C723" w:rsidR="00EF4324" w:rsidRDefault="00EF4324" w:rsidP="005A7CDA">
            <w:r>
              <w:t>GDSCoP – clause 4A.13(a)</w:t>
            </w:r>
          </w:p>
        </w:tc>
        <w:tc>
          <w:tcPr>
            <w:tcW w:w="809" w:type="pct"/>
          </w:tcPr>
          <w:p w14:paraId="03123F94" w14:textId="342F606D" w:rsidR="00EF4324" w:rsidRDefault="006F7EE4" w:rsidP="005A7CDA">
            <w:r>
              <w:t xml:space="preserve">GDCoP – clause </w:t>
            </w:r>
            <w:r w:rsidR="00E66F2C">
              <w:t>7.13(a)</w:t>
            </w:r>
          </w:p>
        </w:tc>
        <w:tc>
          <w:tcPr>
            <w:tcW w:w="1310" w:type="pct"/>
          </w:tcPr>
          <w:p w14:paraId="6E1DD15A" w14:textId="58814470" w:rsidR="00EF4324" w:rsidRDefault="00EF4324" w:rsidP="005A7CDA">
            <w:r>
              <w:t>Registration and deregistration details must be kept by distributors</w:t>
            </w:r>
          </w:p>
        </w:tc>
        <w:tc>
          <w:tcPr>
            <w:tcW w:w="1294" w:type="pct"/>
          </w:tcPr>
          <w:p w14:paraId="5EDB6771" w14:textId="73F994AA" w:rsidR="00EF4324" w:rsidRDefault="00EF4324" w:rsidP="005A7CDA">
            <w:r>
              <w:t>Move reporting obligation to Schedule 3, part 1, table 2</w:t>
            </w:r>
            <w:r w:rsidR="003854FC">
              <w:t>.</w:t>
            </w:r>
          </w:p>
          <w:p w14:paraId="08F55992" w14:textId="2224955F" w:rsidR="00347A61" w:rsidRDefault="00347A61" w:rsidP="005A7CDA">
            <w:r>
              <w:t>Remove from CPRG (v9)</w:t>
            </w:r>
            <w:r w:rsidR="003854FC">
              <w:t>.</w:t>
            </w:r>
          </w:p>
        </w:tc>
      </w:tr>
      <w:tr w:rsidR="005A7CDA" w14:paraId="171E012A"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794DDED7" w14:textId="705B1A6C" w:rsidR="003063A0" w:rsidRDefault="003063A0" w:rsidP="005A7CDA">
            <w:r>
              <w:t>44/ DB0037 and -2</w:t>
            </w:r>
          </w:p>
        </w:tc>
        <w:tc>
          <w:tcPr>
            <w:tcW w:w="51" w:type="pct"/>
          </w:tcPr>
          <w:p w14:paraId="00BEE136" w14:textId="77777777" w:rsidR="003063A0" w:rsidRDefault="003063A0" w:rsidP="005A7CDA"/>
        </w:tc>
        <w:tc>
          <w:tcPr>
            <w:tcW w:w="987" w:type="pct"/>
          </w:tcPr>
          <w:p w14:paraId="31A36336" w14:textId="3141617D" w:rsidR="003063A0" w:rsidRDefault="003063A0" w:rsidP="005A7CDA">
            <w:r>
              <w:t xml:space="preserve">GDSCoP </w:t>
            </w:r>
            <w:r w:rsidR="008B31C4">
              <w:t>–</w:t>
            </w:r>
            <w:r>
              <w:t xml:space="preserve"> clause 4A.13</w:t>
            </w:r>
            <w:r w:rsidR="00EF4324">
              <w:t>(b)</w:t>
            </w:r>
          </w:p>
        </w:tc>
        <w:tc>
          <w:tcPr>
            <w:tcW w:w="809" w:type="pct"/>
          </w:tcPr>
          <w:p w14:paraId="3B6AD6F7" w14:textId="7C5FB742" w:rsidR="003063A0" w:rsidRDefault="003063A0" w:rsidP="005A7CDA">
            <w:r>
              <w:t>GDCoP – clause 7.13</w:t>
            </w:r>
            <w:r w:rsidR="00E66F2C">
              <w:t>(b)</w:t>
            </w:r>
          </w:p>
        </w:tc>
        <w:tc>
          <w:tcPr>
            <w:tcW w:w="1310" w:type="pct"/>
          </w:tcPr>
          <w:p w14:paraId="0CC59B20" w14:textId="166A2FED" w:rsidR="003063A0" w:rsidRDefault="003063A0" w:rsidP="005A7CDA">
            <w:r>
              <w:t>Registration and deregistration details must be kept by distributors</w:t>
            </w:r>
          </w:p>
        </w:tc>
        <w:tc>
          <w:tcPr>
            <w:tcW w:w="1294" w:type="pct"/>
          </w:tcPr>
          <w:p w14:paraId="0CED651E" w14:textId="48C930FF" w:rsidR="003063A0" w:rsidRDefault="00AF050F" w:rsidP="005A7CDA">
            <w:r>
              <w:t xml:space="preserve">Move </w:t>
            </w:r>
            <w:r w:rsidR="0057095F">
              <w:t xml:space="preserve">reporting </w:t>
            </w:r>
            <w:r>
              <w:t xml:space="preserve">obligation to </w:t>
            </w:r>
            <w:r w:rsidR="003063A0">
              <w:t>Schedule 3, part 1, table 2</w:t>
            </w:r>
            <w:r w:rsidR="003854FC">
              <w:t>.</w:t>
            </w:r>
          </w:p>
          <w:p w14:paraId="13DCC27D" w14:textId="708324FE" w:rsidR="00347A61" w:rsidRDefault="00347A61" w:rsidP="005A7CDA">
            <w:r>
              <w:t>Remove from CPRG (v9)</w:t>
            </w:r>
            <w:r w:rsidR="003854FC">
              <w:t>.</w:t>
            </w:r>
          </w:p>
        </w:tc>
      </w:tr>
      <w:tr w:rsidR="00B91207" w14:paraId="449C508A" w14:textId="77777777" w:rsidTr="00B91207">
        <w:trPr>
          <w:cnfStyle w:val="000000010000" w:firstRow="0" w:lastRow="0" w:firstColumn="0" w:lastColumn="0" w:oddVBand="0" w:evenVBand="0" w:oddHBand="0" w:evenHBand="1" w:firstRowFirstColumn="0" w:firstRowLastColumn="0" w:lastRowFirstColumn="0" w:lastRowLastColumn="0"/>
        </w:trPr>
        <w:tc>
          <w:tcPr>
            <w:tcW w:w="5000" w:type="pct"/>
            <w:gridSpan w:val="6"/>
            <w:shd w:val="clear" w:color="auto" w:fill="D8E7ED" w:themeFill="text2" w:themeFillTint="33"/>
          </w:tcPr>
          <w:p w14:paraId="340BD2A2" w14:textId="39E22562" w:rsidR="00B91207" w:rsidRDefault="00B91207" w:rsidP="005A7CDA">
            <w:pPr>
              <w:jc w:val="center"/>
            </w:pPr>
            <w:r w:rsidRPr="004717C4">
              <w:rPr>
                <w:b/>
                <w:bCs/>
                <w:color w:val="4986A0" w:themeColor="text2"/>
              </w:rPr>
              <w:t xml:space="preserve">Type </w:t>
            </w:r>
            <w:r>
              <w:rPr>
                <w:b/>
                <w:bCs/>
                <w:color w:val="4986A0" w:themeColor="text2"/>
              </w:rPr>
              <w:t>2</w:t>
            </w:r>
            <w:r w:rsidRPr="004717C4">
              <w:rPr>
                <w:b/>
                <w:bCs/>
                <w:color w:val="4986A0" w:themeColor="text2"/>
              </w:rPr>
              <w:t xml:space="preserve"> breaches – gas distributors</w:t>
            </w:r>
          </w:p>
        </w:tc>
      </w:tr>
      <w:tr w:rsidR="005A7CDA" w14:paraId="5B541AB3"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0624D5F6" w14:textId="37BB9DAC" w:rsidR="003063A0" w:rsidRDefault="003063A0" w:rsidP="005A7CDA">
            <w:r>
              <w:t>44/ RB1452</w:t>
            </w:r>
          </w:p>
        </w:tc>
        <w:tc>
          <w:tcPr>
            <w:tcW w:w="51" w:type="pct"/>
          </w:tcPr>
          <w:p w14:paraId="67BB12D3" w14:textId="77777777" w:rsidR="003063A0" w:rsidRDefault="003063A0" w:rsidP="005A7CDA"/>
        </w:tc>
        <w:tc>
          <w:tcPr>
            <w:tcW w:w="987" w:type="pct"/>
          </w:tcPr>
          <w:p w14:paraId="4E3102A0" w14:textId="75AD613B" w:rsidR="003063A0" w:rsidRDefault="003063A0" w:rsidP="005A7CDA">
            <w:r>
              <w:t xml:space="preserve">GIA </w:t>
            </w:r>
            <w:r w:rsidR="008B31C4">
              <w:t>–</w:t>
            </w:r>
            <w:r>
              <w:t xml:space="preserve"> sections 33(2) and 33(3)</w:t>
            </w:r>
          </w:p>
        </w:tc>
        <w:tc>
          <w:tcPr>
            <w:tcW w:w="809" w:type="pct"/>
          </w:tcPr>
          <w:p w14:paraId="493EA02C" w14:textId="09604716" w:rsidR="003063A0" w:rsidRDefault="003063A0" w:rsidP="005A7CDA">
            <w:r>
              <w:t>N/A</w:t>
            </w:r>
          </w:p>
        </w:tc>
        <w:tc>
          <w:tcPr>
            <w:tcW w:w="1310" w:type="pct"/>
          </w:tcPr>
          <w:p w14:paraId="02938EFB" w14:textId="27F3EB18" w:rsidR="003063A0" w:rsidRDefault="003063A0" w:rsidP="005A7CDA">
            <w:r w:rsidRPr="00D81596">
              <w:t>Condition to give information to commission</w:t>
            </w:r>
          </w:p>
        </w:tc>
        <w:tc>
          <w:tcPr>
            <w:tcW w:w="1294" w:type="pct"/>
          </w:tcPr>
          <w:p w14:paraId="5CF0B9AA" w14:textId="69698E8F" w:rsidR="003063A0" w:rsidRDefault="00AF050F" w:rsidP="005A7CDA">
            <w:r>
              <w:t xml:space="preserve">Move </w:t>
            </w:r>
            <w:r w:rsidR="0057095F">
              <w:t xml:space="preserve">reporting </w:t>
            </w:r>
            <w:r>
              <w:t xml:space="preserve">obligation to </w:t>
            </w:r>
            <w:r w:rsidR="003063A0">
              <w:t>Schedule 3, part 1, table 3</w:t>
            </w:r>
            <w:r w:rsidR="003854FC">
              <w:t>.</w:t>
            </w:r>
          </w:p>
          <w:p w14:paraId="71E0E23C" w14:textId="722F200D" w:rsidR="00347A61" w:rsidRDefault="00347A61" w:rsidP="005A7CDA">
            <w:r>
              <w:t>Remove from CPRG (v9)</w:t>
            </w:r>
            <w:r w:rsidR="003854FC">
              <w:t>.</w:t>
            </w:r>
          </w:p>
        </w:tc>
      </w:tr>
      <w:tr w:rsidR="005A7CDA" w14:paraId="4D334B97"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0416A216" w14:textId="3AA964FE" w:rsidR="003063A0" w:rsidRDefault="003063A0" w:rsidP="005A7CDA">
            <w:r>
              <w:t>45/ RB1506</w:t>
            </w:r>
          </w:p>
        </w:tc>
        <w:tc>
          <w:tcPr>
            <w:tcW w:w="51" w:type="pct"/>
          </w:tcPr>
          <w:p w14:paraId="28A468C4" w14:textId="77777777" w:rsidR="003063A0" w:rsidRDefault="003063A0" w:rsidP="005A7CDA"/>
        </w:tc>
        <w:tc>
          <w:tcPr>
            <w:tcW w:w="987" w:type="pct"/>
          </w:tcPr>
          <w:p w14:paraId="7354E60E" w14:textId="2DD00247" w:rsidR="003063A0" w:rsidRDefault="003063A0" w:rsidP="005A7CDA">
            <w:r>
              <w:t xml:space="preserve">GIA </w:t>
            </w:r>
            <w:r w:rsidR="008B31C4">
              <w:t>–</w:t>
            </w:r>
            <w:r>
              <w:t xml:space="preserve"> section 229</w:t>
            </w:r>
            <w:proofErr w:type="gramStart"/>
            <w:r>
              <w:t>A(</w:t>
            </w:r>
            <w:proofErr w:type="gramEnd"/>
            <w:r>
              <w:t>1)</w:t>
            </w:r>
          </w:p>
        </w:tc>
        <w:tc>
          <w:tcPr>
            <w:tcW w:w="809" w:type="pct"/>
          </w:tcPr>
          <w:p w14:paraId="1B0A8C8B" w14:textId="15EB7C8F" w:rsidR="003063A0" w:rsidRDefault="003063A0" w:rsidP="005A7CDA">
            <w:r>
              <w:t>N/A</w:t>
            </w:r>
          </w:p>
        </w:tc>
        <w:tc>
          <w:tcPr>
            <w:tcW w:w="1310" w:type="pct"/>
          </w:tcPr>
          <w:p w14:paraId="7EBE61DF" w14:textId="2399F089" w:rsidR="003063A0" w:rsidRDefault="003063A0" w:rsidP="005A7CDA">
            <w:r>
              <w:t>Offence to give false or misleading information</w:t>
            </w:r>
          </w:p>
        </w:tc>
        <w:tc>
          <w:tcPr>
            <w:tcW w:w="1294" w:type="pct"/>
          </w:tcPr>
          <w:p w14:paraId="1C33505D" w14:textId="118F01AF" w:rsidR="003063A0" w:rsidRDefault="00AF050F" w:rsidP="005A7CDA">
            <w:r>
              <w:t>Move</w:t>
            </w:r>
            <w:r w:rsidR="0057095F">
              <w:t xml:space="preserve"> reporting</w:t>
            </w:r>
            <w:r>
              <w:t xml:space="preserve"> obligation to </w:t>
            </w:r>
            <w:r w:rsidR="003063A0">
              <w:t>Schedule 3, part 1, table 3</w:t>
            </w:r>
            <w:r w:rsidR="003854FC">
              <w:t>.</w:t>
            </w:r>
          </w:p>
          <w:p w14:paraId="68BD9CBF" w14:textId="14ED95A0" w:rsidR="00347A61" w:rsidRDefault="00347A61" w:rsidP="005A7CDA">
            <w:r>
              <w:t>Remove from CPRG (v9)</w:t>
            </w:r>
            <w:r w:rsidR="003854FC">
              <w:t>.</w:t>
            </w:r>
          </w:p>
        </w:tc>
      </w:tr>
      <w:tr w:rsidR="005A7CDA" w14:paraId="690BEF10"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7CB319FD" w14:textId="35F488F0" w:rsidR="003063A0" w:rsidRDefault="003063A0" w:rsidP="005A7CDA">
            <w:r>
              <w:t>45/ RB1507</w:t>
            </w:r>
          </w:p>
        </w:tc>
        <w:tc>
          <w:tcPr>
            <w:tcW w:w="51" w:type="pct"/>
          </w:tcPr>
          <w:p w14:paraId="42FA1B23" w14:textId="77777777" w:rsidR="003063A0" w:rsidRDefault="003063A0" w:rsidP="005A7CDA"/>
        </w:tc>
        <w:tc>
          <w:tcPr>
            <w:tcW w:w="987" w:type="pct"/>
          </w:tcPr>
          <w:p w14:paraId="7DF8F9CA" w14:textId="4A0474DC" w:rsidR="003063A0" w:rsidRDefault="003063A0" w:rsidP="005A7CDA">
            <w:r>
              <w:t xml:space="preserve">GIA </w:t>
            </w:r>
            <w:r w:rsidR="008B31C4">
              <w:t>–</w:t>
            </w:r>
            <w:r>
              <w:t xml:space="preserve"> section 229</w:t>
            </w:r>
            <w:proofErr w:type="gramStart"/>
            <w:r>
              <w:t>A(</w:t>
            </w:r>
            <w:proofErr w:type="gramEnd"/>
            <w:r>
              <w:t xml:space="preserve">2) </w:t>
            </w:r>
          </w:p>
        </w:tc>
        <w:tc>
          <w:tcPr>
            <w:tcW w:w="809" w:type="pct"/>
          </w:tcPr>
          <w:p w14:paraId="5393B663" w14:textId="765400C0" w:rsidR="003063A0" w:rsidRDefault="003063A0" w:rsidP="005A7CDA">
            <w:r>
              <w:t>N/A</w:t>
            </w:r>
          </w:p>
        </w:tc>
        <w:tc>
          <w:tcPr>
            <w:tcW w:w="1310" w:type="pct"/>
          </w:tcPr>
          <w:p w14:paraId="64C8E57B" w14:textId="01BFC38B" w:rsidR="003063A0" w:rsidRDefault="003063A0" w:rsidP="005A7CDA">
            <w:r>
              <w:t>Offence to give false or misleading documents</w:t>
            </w:r>
          </w:p>
        </w:tc>
        <w:tc>
          <w:tcPr>
            <w:tcW w:w="1294" w:type="pct"/>
          </w:tcPr>
          <w:p w14:paraId="6DEF62CD" w14:textId="3640421C" w:rsidR="003063A0" w:rsidRDefault="00AF050F" w:rsidP="005A7CDA">
            <w:r>
              <w:t xml:space="preserve">Move </w:t>
            </w:r>
            <w:r w:rsidR="0057095F">
              <w:t xml:space="preserve">reporting </w:t>
            </w:r>
            <w:r>
              <w:t xml:space="preserve">obligation to </w:t>
            </w:r>
            <w:r w:rsidR="003063A0">
              <w:t>Schedule 3, part 1, table 3</w:t>
            </w:r>
            <w:r w:rsidR="003854FC">
              <w:t>.</w:t>
            </w:r>
          </w:p>
          <w:p w14:paraId="0A1880A5" w14:textId="7991DB2F" w:rsidR="00347A61" w:rsidRDefault="00347A61" w:rsidP="005A7CDA">
            <w:r>
              <w:t>Remove from CPRG (v9)</w:t>
            </w:r>
            <w:r w:rsidR="003854FC">
              <w:t>.</w:t>
            </w:r>
          </w:p>
        </w:tc>
      </w:tr>
      <w:tr w:rsidR="005A7CDA" w14:paraId="71B34BAF"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4F43AB18" w14:textId="032F5188" w:rsidR="003063A0" w:rsidRDefault="003063A0" w:rsidP="005A7CDA">
            <w:r>
              <w:t>45/ DB0031</w:t>
            </w:r>
          </w:p>
        </w:tc>
        <w:tc>
          <w:tcPr>
            <w:tcW w:w="51" w:type="pct"/>
          </w:tcPr>
          <w:p w14:paraId="5D5C95D6" w14:textId="77777777" w:rsidR="003063A0" w:rsidRDefault="003063A0" w:rsidP="005A7CDA"/>
        </w:tc>
        <w:tc>
          <w:tcPr>
            <w:tcW w:w="987" w:type="pct"/>
          </w:tcPr>
          <w:p w14:paraId="7207887D" w14:textId="5D08581B" w:rsidR="003063A0" w:rsidRDefault="003063A0" w:rsidP="005A7CDA">
            <w:r>
              <w:t xml:space="preserve">GDSCoP </w:t>
            </w:r>
            <w:r w:rsidR="008B31C4">
              <w:t>–</w:t>
            </w:r>
            <w:r>
              <w:t xml:space="preserve"> clause 2.2(b)</w:t>
            </w:r>
          </w:p>
        </w:tc>
        <w:tc>
          <w:tcPr>
            <w:tcW w:w="809" w:type="pct"/>
          </w:tcPr>
          <w:p w14:paraId="260C1C45" w14:textId="4E9E44CD" w:rsidR="003063A0" w:rsidRDefault="003063A0" w:rsidP="005A7CDA">
            <w:r>
              <w:t>GDCoP – clause 3.2.2</w:t>
            </w:r>
          </w:p>
        </w:tc>
        <w:tc>
          <w:tcPr>
            <w:tcW w:w="1310" w:type="pct"/>
          </w:tcPr>
          <w:p w14:paraId="39A55C75" w14:textId="2AB2AB9B" w:rsidR="003063A0" w:rsidRDefault="003063A0" w:rsidP="005A7CDA">
            <w:r>
              <w:t>Guaranteed Service Levels</w:t>
            </w:r>
          </w:p>
        </w:tc>
        <w:tc>
          <w:tcPr>
            <w:tcW w:w="1294" w:type="pct"/>
          </w:tcPr>
          <w:p w14:paraId="3A495B65" w14:textId="5A34F41A" w:rsidR="003063A0" w:rsidRDefault="00AF050F" w:rsidP="005A7CDA">
            <w:r>
              <w:t xml:space="preserve">Move </w:t>
            </w:r>
            <w:r w:rsidR="0057095F">
              <w:t xml:space="preserve">reporting </w:t>
            </w:r>
            <w:r>
              <w:t xml:space="preserve">obligation to </w:t>
            </w:r>
            <w:r w:rsidR="003063A0">
              <w:t>Schedule 3, part 1, table 3</w:t>
            </w:r>
            <w:r w:rsidR="003854FC">
              <w:t>.</w:t>
            </w:r>
          </w:p>
          <w:p w14:paraId="17D8C2BB" w14:textId="6B92A5E3" w:rsidR="00347A61" w:rsidRDefault="00347A61" w:rsidP="005A7CDA">
            <w:r>
              <w:t>Remove from CPRG (v9)</w:t>
            </w:r>
            <w:r w:rsidR="003854FC">
              <w:t>.</w:t>
            </w:r>
          </w:p>
        </w:tc>
      </w:tr>
      <w:tr w:rsidR="005A7CDA" w14:paraId="73C1D7A3" w14:textId="77777777" w:rsidTr="00B91207">
        <w:trPr>
          <w:cnfStyle w:val="000000100000" w:firstRow="0" w:lastRow="0" w:firstColumn="0" w:lastColumn="0" w:oddVBand="0" w:evenVBand="0" w:oddHBand="1" w:evenHBand="0" w:firstRowFirstColumn="0" w:firstRowLastColumn="0" w:lastRowFirstColumn="0" w:lastRowLastColumn="0"/>
        </w:trPr>
        <w:tc>
          <w:tcPr>
            <w:tcW w:w="549" w:type="pct"/>
          </w:tcPr>
          <w:p w14:paraId="152A3E49" w14:textId="1C88EB26" w:rsidR="00341CB7" w:rsidRDefault="00341CB7" w:rsidP="005A7CDA">
            <w:r>
              <w:t>45/ DB0036- 2</w:t>
            </w:r>
          </w:p>
        </w:tc>
        <w:tc>
          <w:tcPr>
            <w:tcW w:w="51" w:type="pct"/>
          </w:tcPr>
          <w:p w14:paraId="31E6D3C1" w14:textId="77777777" w:rsidR="00341CB7" w:rsidRDefault="00341CB7" w:rsidP="005A7CDA"/>
        </w:tc>
        <w:tc>
          <w:tcPr>
            <w:tcW w:w="987" w:type="pct"/>
          </w:tcPr>
          <w:p w14:paraId="10A42CFF" w14:textId="050578A4" w:rsidR="00341CB7" w:rsidRDefault="00341CB7" w:rsidP="005A7CDA">
            <w:r>
              <w:t xml:space="preserve">GDSCoP </w:t>
            </w:r>
            <w:r w:rsidR="000E5BCD">
              <w:t>–</w:t>
            </w:r>
            <w:r>
              <w:t xml:space="preserve"> clause 4A.8(b)</w:t>
            </w:r>
          </w:p>
        </w:tc>
        <w:tc>
          <w:tcPr>
            <w:tcW w:w="809" w:type="pct"/>
          </w:tcPr>
          <w:p w14:paraId="055EE824" w14:textId="5470FB1E" w:rsidR="00341CB7" w:rsidRDefault="00341CB7" w:rsidP="005A7CDA">
            <w:r>
              <w:t>GDCoP – clause 7.8.2</w:t>
            </w:r>
          </w:p>
        </w:tc>
        <w:tc>
          <w:tcPr>
            <w:tcW w:w="1310" w:type="pct"/>
          </w:tcPr>
          <w:p w14:paraId="24FC54B8" w14:textId="53036C7B" w:rsidR="00341CB7" w:rsidRDefault="00341CB7" w:rsidP="005A7CDA">
            <w:r>
              <w:t>Deregistration of life support customer</w:t>
            </w:r>
          </w:p>
        </w:tc>
        <w:tc>
          <w:tcPr>
            <w:tcW w:w="1294" w:type="pct"/>
          </w:tcPr>
          <w:p w14:paraId="1A229746" w14:textId="3C8571AC" w:rsidR="00341CB7" w:rsidRDefault="00AF050F" w:rsidP="005A7CDA">
            <w:r>
              <w:t xml:space="preserve">Move </w:t>
            </w:r>
            <w:r w:rsidR="0057095F">
              <w:t xml:space="preserve">reporting </w:t>
            </w:r>
            <w:r>
              <w:t xml:space="preserve">obligation to </w:t>
            </w:r>
            <w:r w:rsidR="00341CB7">
              <w:t>Schedule 3, part 1, table 3</w:t>
            </w:r>
            <w:r w:rsidR="003854FC">
              <w:t>.</w:t>
            </w:r>
          </w:p>
          <w:p w14:paraId="7F4ACDB0" w14:textId="73F2F391" w:rsidR="00347A61" w:rsidRDefault="00347A61" w:rsidP="005A7CDA">
            <w:r>
              <w:t>Remove from CPRG (v9)</w:t>
            </w:r>
            <w:r w:rsidR="003854FC">
              <w:t>.</w:t>
            </w:r>
          </w:p>
        </w:tc>
      </w:tr>
      <w:tr w:rsidR="005A7CDA" w14:paraId="46DFD6C8" w14:textId="77777777" w:rsidTr="00B91207">
        <w:trPr>
          <w:cnfStyle w:val="000000010000" w:firstRow="0" w:lastRow="0" w:firstColumn="0" w:lastColumn="0" w:oddVBand="0" w:evenVBand="0" w:oddHBand="0" w:evenHBand="1" w:firstRowFirstColumn="0" w:firstRowLastColumn="0" w:lastRowFirstColumn="0" w:lastRowLastColumn="0"/>
        </w:trPr>
        <w:tc>
          <w:tcPr>
            <w:tcW w:w="549" w:type="pct"/>
          </w:tcPr>
          <w:p w14:paraId="1CDD4E0B" w14:textId="5DC3E0A8" w:rsidR="00341CB7" w:rsidRDefault="00341CB7" w:rsidP="005A7CDA">
            <w:r>
              <w:t>45/ DB0036- 3</w:t>
            </w:r>
          </w:p>
        </w:tc>
        <w:tc>
          <w:tcPr>
            <w:tcW w:w="51" w:type="pct"/>
          </w:tcPr>
          <w:p w14:paraId="15742D70" w14:textId="77777777" w:rsidR="00341CB7" w:rsidRDefault="00341CB7" w:rsidP="005A7CDA"/>
        </w:tc>
        <w:tc>
          <w:tcPr>
            <w:tcW w:w="987" w:type="pct"/>
          </w:tcPr>
          <w:p w14:paraId="7107C19A" w14:textId="4BB5E18B" w:rsidR="00341CB7" w:rsidRDefault="00341CB7" w:rsidP="005A7CDA">
            <w:r>
              <w:t xml:space="preserve">GDSCoP </w:t>
            </w:r>
            <w:r w:rsidR="000E5BCD">
              <w:t>–</w:t>
            </w:r>
            <w:r>
              <w:t xml:space="preserve"> clause 4A.8(c)</w:t>
            </w:r>
          </w:p>
        </w:tc>
        <w:tc>
          <w:tcPr>
            <w:tcW w:w="809" w:type="pct"/>
          </w:tcPr>
          <w:p w14:paraId="519B2755" w14:textId="272FE1E5" w:rsidR="00341CB7" w:rsidRDefault="00341CB7" w:rsidP="005A7CDA">
            <w:r>
              <w:t>GDCoP – clause 7.8.3</w:t>
            </w:r>
          </w:p>
        </w:tc>
        <w:tc>
          <w:tcPr>
            <w:tcW w:w="1310" w:type="pct"/>
          </w:tcPr>
          <w:p w14:paraId="4840C16B" w14:textId="32D262CB" w:rsidR="00341CB7" w:rsidRDefault="00341CB7" w:rsidP="005A7CDA">
            <w:pPr>
              <w:tabs>
                <w:tab w:val="left" w:pos="1300"/>
              </w:tabs>
            </w:pPr>
            <w:r>
              <w:t>Deregistration of life support customer</w:t>
            </w:r>
          </w:p>
        </w:tc>
        <w:tc>
          <w:tcPr>
            <w:tcW w:w="1294" w:type="pct"/>
          </w:tcPr>
          <w:p w14:paraId="7020D506" w14:textId="77777777" w:rsidR="00EA6B07" w:rsidRDefault="00AF050F" w:rsidP="005A7CDA">
            <w:r>
              <w:t xml:space="preserve">Move </w:t>
            </w:r>
            <w:r w:rsidR="0057095F">
              <w:t xml:space="preserve">reporting </w:t>
            </w:r>
            <w:r>
              <w:t xml:space="preserve">obligation to </w:t>
            </w:r>
            <w:r w:rsidR="00341CB7">
              <w:t>Schedule 3, part 1, table 3</w:t>
            </w:r>
            <w:r w:rsidR="003854FC">
              <w:t>.</w:t>
            </w:r>
          </w:p>
          <w:p w14:paraId="77490208" w14:textId="4A76F67D" w:rsidR="00347A61" w:rsidRDefault="00347A61" w:rsidP="005A7CDA">
            <w:r>
              <w:t>Remove from CPRG (v9)</w:t>
            </w:r>
            <w:r w:rsidR="003854FC">
              <w:t>.</w:t>
            </w:r>
          </w:p>
        </w:tc>
      </w:tr>
    </w:tbl>
    <w:p w14:paraId="6E015E92" w14:textId="77777777" w:rsidR="00E23090" w:rsidRPr="00075EB2" w:rsidRDefault="00E23090" w:rsidP="005A7CDA"/>
    <w:sectPr w:rsidR="00E23090" w:rsidRPr="00075EB2" w:rsidSect="006909A3">
      <w:pgSz w:w="16838" w:h="11906" w:orient="landscape"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F6EF" w14:textId="77777777" w:rsidR="006909A3" w:rsidRDefault="006909A3" w:rsidP="00AE03FA">
      <w:pPr>
        <w:spacing w:after="0"/>
      </w:pPr>
      <w:r>
        <w:separator/>
      </w:r>
    </w:p>
    <w:p w14:paraId="3136EF57" w14:textId="77777777" w:rsidR="006909A3" w:rsidRDefault="006909A3"/>
  </w:endnote>
  <w:endnote w:type="continuationSeparator" w:id="0">
    <w:p w14:paraId="4B4E0D4E" w14:textId="77777777" w:rsidR="006909A3" w:rsidRDefault="006909A3" w:rsidP="00AE03FA">
      <w:pPr>
        <w:spacing w:after="0"/>
      </w:pPr>
      <w:r>
        <w:continuationSeparator/>
      </w:r>
    </w:p>
    <w:p w14:paraId="0C615264" w14:textId="77777777" w:rsidR="006909A3" w:rsidRDefault="006909A3"/>
  </w:endnote>
  <w:endnote w:type="continuationNotice" w:id="1">
    <w:p w14:paraId="4E337C03" w14:textId="77777777" w:rsidR="00AD09C4" w:rsidRDefault="00AD0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E129D" w14:paraId="49163BF1" w14:textId="77777777" w:rsidTr="00FD75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2AE7048" w14:textId="77777777" w:rsidR="00DE129D" w:rsidRPr="009E15D6" w:rsidRDefault="00DE129D" w:rsidP="00FD752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2</w:t>
          </w:r>
          <w:r w:rsidRPr="009E15D6">
            <w:rPr>
              <w:rStyle w:val="PageNumber"/>
            </w:rPr>
            <w:fldChar w:fldCharType="end"/>
          </w:r>
        </w:p>
      </w:tc>
    </w:tr>
  </w:tbl>
  <w:p w14:paraId="750678D2" w14:textId="1CD54712" w:rsidR="00F06B55" w:rsidRPr="00DE129D" w:rsidRDefault="00DE129D" w:rsidP="008E5CAD">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120604">
          <w:rPr>
            <w:b/>
          </w:rPr>
          <w:t>Annex D – Amendments to the Energy Retail Code of Practice and the Compliance and Performance Reporting Guideline</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B7573" w14:paraId="75B67A90" w14:textId="77777777" w:rsidTr="00FD752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CF171C" w14:textId="77777777" w:rsidR="006B7573" w:rsidRPr="009E15D6" w:rsidRDefault="006B7573" w:rsidP="00FD752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1</w:t>
          </w:r>
          <w:r w:rsidRPr="009E15D6">
            <w:rPr>
              <w:rStyle w:val="PageNumber"/>
            </w:rPr>
            <w:fldChar w:fldCharType="end"/>
          </w:r>
        </w:p>
      </w:tc>
    </w:tr>
  </w:tbl>
  <w:p w14:paraId="7488EE01" w14:textId="6E38EDEE" w:rsidR="000E4F95" w:rsidRPr="006B7573" w:rsidRDefault="006B7573" w:rsidP="008E5CAD">
    <w:pPr>
      <w:pStyle w:val="Footer"/>
      <w:ind w:right="707"/>
      <w:rPr>
        <w:b/>
      </w:rPr>
    </w:pPr>
    <w:r>
      <w:t xml:space="preserve">Essential Services Commission </w:t>
    </w:r>
    <w:sdt>
      <w:sdtPr>
        <w:rPr>
          <w:b/>
        </w:rPr>
        <w:alias w:val="Title"/>
        <w:tag w:val=""/>
        <w:id w:val="777452214"/>
        <w:dataBinding w:prefixMappings="xmlns:ns0='http://purl.org/dc/elements/1.1/' xmlns:ns1='http://schemas.openxmlformats.org/package/2006/metadata/core-properties' " w:xpath="/ns1:coreProperties[1]/ns0:title[1]" w:storeItemID="{6C3C8BC8-F283-45AE-878A-BAB7291924A1}"/>
        <w:text/>
      </w:sdtPr>
      <w:sdtEndPr/>
      <w:sdtContent>
        <w:r w:rsidR="00B574AF">
          <w:rPr>
            <w:b/>
          </w:rPr>
          <w:t xml:space="preserve">Annex D – </w:t>
        </w:r>
        <w:r w:rsidR="00120604">
          <w:rPr>
            <w:b/>
          </w:rPr>
          <w:t>A</w:t>
        </w:r>
        <w:r w:rsidR="00B574AF">
          <w:rPr>
            <w:b/>
          </w:rPr>
          <w:t xml:space="preserve">mendments to the Energy Retail Code of Practice and </w:t>
        </w:r>
        <w:r w:rsidR="00AC7BA5">
          <w:rPr>
            <w:b/>
          </w:rPr>
          <w:t>the Compliance and Performance Reporting Guideline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ACDA" w14:textId="77777777" w:rsidR="006909A3" w:rsidRPr="00CF33F6" w:rsidRDefault="006909A3" w:rsidP="00AE03FA">
      <w:pPr>
        <w:spacing w:after="0"/>
        <w:rPr>
          <w:color w:val="75787B" w:themeColor="background2"/>
        </w:rPr>
      </w:pPr>
      <w:bookmarkStart w:id="0" w:name="_Hlk480978878"/>
      <w:bookmarkEnd w:id="0"/>
      <w:r w:rsidRPr="00CF33F6">
        <w:rPr>
          <w:color w:val="75787B" w:themeColor="background2"/>
        </w:rPr>
        <w:separator/>
      </w:r>
    </w:p>
    <w:p w14:paraId="4640EDA1" w14:textId="77777777" w:rsidR="006909A3" w:rsidRDefault="006909A3" w:rsidP="00CF33F6">
      <w:pPr>
        <w:pStyle w:val="NoSpacing"/>
      </w:pPr>
    </w:p>
  </w:footnote>
  <w:footnote w:type="continuationSeparator" w:id="0">
    <w:p w14:paraId="5E1BE042" w14:textId="77777777" w:rsidR="006909A3" w:rsidRDefault="006909A3" w:rsidP="00AE03FA">
      <w:pPr>
        <w:spacing w:after="0"/>
      </w:pPr>
      <w:r>
        <w:continuationSeparator/>
      </w:r>
    </w:p>
    <w:p w14:paraId="6E772442" w14:textId="77777777" w:rsidR="006909A3" w:rsidRDefault="006909A3"/>
  </w:footnote>
  <w:footnote w:type="continuationNotice" w:id="1">
    <w:p w14:paraId="61F4D591" w14:textId="77777777" w:rsidR="00AD09C4" w:rsidRDefault="00AD0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6F2F" w14:textId="3788607C"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E5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204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E7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6A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841FDB"/>
    <w:multiLevelType w:val="hybridMultilevel"/>
    <w:tmpl w:val="A6E4F854"/>
    <w:lvl w:ilvl="0" w:tplc="78B8CEA8">
      <w:start w:val="1"/>
      <w:numFmt w:val="bullet"/>
      <w:lvlText w:val=""/>
      <w:lvlJc w:val="left"/>
      <w:pPr>
        <w:ind w:left="1440" w:hanging="360"/>
      </w:pPr>
      <w:rPr>
        <w:rFonts w:ascii="Symbol" w:hAnsi="Symbol"/>
      </w:rPr>
    </w:lvl>
    <w:lvl w:ilvl="1" w:tplc="A88228F6">
      <w:start w:val="1"/>
      <w:numFmt w:val="bullet"/>
      <w:lvlText w:val=""/>
      <w:lvlJc w:val="left"/>
      <w:pPr>
        <w:ind w:left="1440" w:hanging="360"/>
      </w:pPr>
      <w:rPr>
        <w:rFonts w:ascii="Symbol" w:hAnsi="Symbol"/>
      </w:rPr>
    </w:lvl>
    <w:lvl w:ilvl="2" w:tplc="BD04E0F6">
      <w:start w:val="1"/>
      <w:numFmt w:val="bullet"/>
      <w:lvlText w:val=""/>
      <w:lvlJc w:val="left"/>
      <w:pPr>
        <w:ind w:left="1440" w:hanging="360"/>
      </w:pPr>
      <w:rPr>
        <w:rFonts w:ascii="Symbol" w:hAnsi="Symbol"/>
      </w:rPr>
    </w:lvl>
    <w:lvl w:ilvl="3" w:tplc="F70C2CD0">
      <w:start w:val="1"/>
      <w:numFmt w:val="bullet"/>
      <w:lvlText w:val=""/>
      <w:lvlJc w:val="left"/>
      <w:pPr>
        <w:ind w:left="1440" w:hanging="360"/>
      </w:pPr>
      <w:rPr>
        <w:rFonts w:ascii="Symbol" w:hAnsi="Symbol"/>
      </w:rPr>
    </w:lvl>
    <w:lvl w:ilvl="4" w:tplc="85962FEA">
      <w:start w:val="1"/>
      <w:numFmt w:val="bullet"/>
      <w:lvlText w:val=""/>
      <w:lvlJc w:val="left"/>
      <w:pPr>
        <w:ind w:left="1440" w:hanging="360"/>
      </w:pPr>
      <w:rPr>
        <w:rFonts w:ascii="Symbol" w:hAnsi="Symbol"/>
      </w:rPr>
    </w:lvl>
    <w:lvl w:ilvl="5" w:tplc="9278B21E">
      <w:start w:val="1"/>
      <w:numFmt w:val="bullet"/>
      <w:lvlText w:val=""/>
      <w:lvlJc w:val="left"/>
      <w:pPr>
        <w:ind w:left="1440" w:hanging="360"/>
      </w:pPr>
      <w:rPr>
        <w:rFonts w:ascii="Symbol" w:hAnsi="Symbol"/>
      </w:rPr>
    </w:lvl>
    <w:lvl w:ilvl="6" w:tplc="C7FEDD3C">
      <w:start w:val="1"/>
      <w:numFmt w:val="bullet"/>
      <w:lvlText w:val=""/>
      <w:lvlJc w:val="left"/>
      <w:pPr>
        <w:ind w:left="1440" w:hanging="360"/>
      </w:pPr>
      <w:rPr>
        <w:rFonts w:ascii="Symbol" w:hAnsi="Symbol"/>
      </w:rPr>
    </w:lvl>
    <w:lvl w:ilvl="7" w:tplc="038EAB40">
      <w:start w:val="1"/>
      <w:numFmt w:val="bullet"/>
      <w:lvlText w:val=""/>
      <w:lvlJc w:val="left"/>
      <w:pPr>
        <w:ind w:left="1440" w:hanging="360"/>
      </w:pPr>
      <w:rPr>
        <w:rFonts w:ascii="Symbol" w:hAnsi="Symbol"/>
      </w:rPr>
    </w:lvl>
    <w:lvl w:ilvl="8" w:tplc="40C2C526">
      <w:start w:val="1"/>
      <w:numFmt w:val="bullet"/>
      <w:lvlText w:val=""/>
      <w:lvlJc w:val="left"/>
      <w:pPr>
        <w:ind w:left="1440" w:hanging="360"/>
      </w:pPr>
      <w:rPr>
        <w:rFonts w:ascii="Symbol" w:hAnsi="Symbol"/>
      </w:rPr>
    </w:lvl>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304666">
    <w:abstractNumId w:val="9"/>
  </w:num>
  <w:num w:numId="2" w16cid:durableId="1173377669">
    <w:abstractNumId w:val="7"/>
  </w:num>
  <w:num w:numId="3" w16cid:durableId="1074933165">
    <w:abstractNumId w:val="6"/>
  </w:num>
  <w:num w:numId="4" w16cid:durableId="1730836520">
    <w:abstractNumId w:val="5"/>
  </w:num>
  <w:num w:numId="5" w16cid:durableId="504787970">
    <w:abstractNumId w:val="4"/>
  </w:num>
  <w:num w:numId="6" w16cid:durableId="234974036">
    <w:abstractNumId w:val="8"/>
  </w:num>
  <w:num w:numId="7" w16cid:durableId="1824659858">
    <w:abstractNumId w:val="3"/>
  </w:num>
  <w:num w:numId="8" w16cid:durableId="1821146243">
    <w:abstractNumId w:val="2"/>
  </w:num>
  <w:num w:numId="9" w16cid:durableId="830675842">
    <w:abstractNumId w:val="1"/>
  </w:num>
  <w:num w:numId="10" w16cid:durableId="921909805">
    <w:abstractNumId w:val="22"/>
  </w:num>
  <w:num w:numId="11" w16cid:durableId="1422408691">
    <w:abstractNumId w:val="16"/>
  </w:num>
  <w:num w:numId="12" w16cid:durableId="750468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136533">
    <w:abstractNumId w:val="0"/>
  </w:num>
  <w:num w:numId="14" w16cid:durableId="1495219124">
    <w:abstractNumId w:val="16"/>
  </w:num>
  <w:num w:numId="15" w16cid:durableId="1523931032">
    <w:abstractNumId w:val="17"/>
  </w:num>
  <w:num w:numId="16" w16cid:durableId="867334063">
    <w:abstractNumId w:val="11"/>
  </w:num>
  <w:num w:numId="17" w16cid:durableId="1689483362">
    <w:abstractNumId w:val="23"/>
  </w:num>
  <w:num w:numId="18" w16cid:durableId="924147703">
    <w:abstractNumId w:val="23"/>
  </w:num>
  <w:num w:numId="19" w16cid:durableId="2021927028">
    <w:abstractNumId w:val="18"/>
  </w:num>
  <w:num w:numId="20" w16cid:durableId="897016274">
    <w:abstractNumId w:val="13"/>
  </w:num>
  <w:num w:numId="21" w16cid:durableId="1614897489">
    <w:abstractNumId w:val="25"/>
  </w:num>
  <w:num w:numId="22" w16cid:durableId="1099371205">
    <w:abstractNumId w:val="27"/>
  </w:num>
  <w:num w:numId="23" w16cid:durableId="130220755">
    <w:abstractNumId w:val="12"/>
  </w:num>
  <w:num w:numId="24" w16cid:durableId="211308201">
    <w:abstractNumId w:val="30"/>
  </w:num>
  <w:num w:numId="25" w16cid:durableId="801536748">
    <w:abstractNumId w:val="26"/>
  </w:num>
  <w:num w:numId="26" w16cid:durableId="1471821126">
    <w:abstractNumId w:val="28"/>
  </w:num>
  <w:num w:numId="27" w16cid:durableId="1386488086">
    <w:abstractNumId w:val="15"/>
  </w:num>
  <w:num w:numId="28" w16cid:durableId="1005940671">
    <w:abstractNumId w:val="21"/>
  </w:num>
  <w:num w:numId="29" w16cid:durableId="170266771">
    <w:abstractNumId w:val="19"/>
  </w:num>
  <w:num w:numId="30" w16cid:durableId="518276264">
    <w:abstractNumId w:val="14"/>
  </w:num>
  <w:num w:numId="31" w16cid:durableId="1780181778">
    <w:abstractNumId w:val="24"/>
  </w:num>
  <w:num w:numId="32" w16cid:durableId="1492870346">
    <w:abstractNumId w:val="10"/>
  </w:num>
  <w:num w:numId="33" w16cid:durableId="1969971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4614944">
    <w:abstractNumId w:val="29"/>
  </w:num>
  <w:num w:numId="35" w16cid:durableId="10851501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B2"/>
    <w:rsid w:val="000046BD"/>
    <w:rsid w:val="00010AB3"/>
    <w:rsid w:val="0001367C"/>
    <w:rsid w:val="00015588"/>
    <w:rsid w:val="000200FB"/>
    <w:rsid w:val="000337A0"/>
    <w:rsid w:val="00042257"/>
    <w:rsid w:val="00043317"/>
    <w:rsid w:val="00050F2C"/>
    <w:rsid w:val="000518F3"/>
    <w:rsid w:val="0005488D"/>
    <w:rsid w:val="000566E0"/>
    <w:rsid w:val="00057477"/>
    <w:rsid w:val="00062AE4"/>
    <w:rsid w:val="00062D60"/>
    <w:rsid w:val="000630AB"/>
    <w:rsid w:val="00067DD9"/>
    <w:rsid w:val="00070BA3"/>
    <w:rsid w:val="00075EB2"/>
    <w:rsid w:val="0007655B"/>
    <w:rsid w:val="0007688B"/>
    <w:rsid w:val="00081DBC"/>
    <w:rsid w:val="000A1292"/>
    <w:rsid w:val="000A1FEB"/>
    <w:rsid w:val="000A2459"/>
    <w:rsid w:val="000A759D"/>
    <w:rsid w:val="000A7FD9"/>
    <w:rsid w:val="000C0878"/>
    <w:rsid w:val="000C2B22"/>
    <w:rsid w:val="000C5B6E"/>
    <w:rsid w:val="000C67F3"/>
    <w:rsid w:val="000D4547"/>
    <w:rsid w:val="000D7F70"/>
    <w:rsid w:val="000E4F95"/>
    <w:rsid w:val="000E5BCD"/>
    <w:rsid w:val="000E607C"/>
    <w:rsid w:val="000F4732"/>
    <w:rsid w:val="000F5633"/>
    <w:rsid w:val="00102044"/>
    <w:rsid w:val="00103943"/>
    <w:rsid w:val="00105220"/>
    <w:rsid w:val="00106524"/>
    <w:rsid w:val="00106608"/>
    <w:rsid w:val="001073A7"/>
    <w:rsid w:val="00107CC3"/>
    <w:rsid w:val="00110317"/>
    <w:rsid w:val="0011370D"/>
    <w:rsid w:val="00113791"/>
    <w:rsid w:val="00115E56"/>
    <w:rsid w:val="00120604"/>
    <w:rsid w:val="00127DBD"/>
    <w:rsid w:val="001302D9"/>
    <w:rsid w:val="00130ADC"/>
    <w:rsid w:val="00146FB6"/>
    <w:rsid w:val="00153081"/>
    <w:rsid w:val="00154F4E"/>
    <w:rsid w:val="001565D5"/>
    <w:rsid w:val="0015710D"/>
    <w:rsid w:val="00160F48"/>
    <w:rsid w:val="0016126C"/>
    <w:rsid w:val="0016255D"/>
    <w:rsid w:val="0016482F"/>
    <w:rsid w:val="001667F5"/>
    <w:rsid w:val="00166BAD"/>
    <w:rsid w:val="001673D0"/>
    <w:rsid w:val="00176608"/>
    <w:rsid w:val="00184CEF"/>
    <w:rsid w:val="001869B0"/>
    <w:rsid w:val="00187ACF"/>
    <w:rsid w:val="001906B1"/>
    <w:rsid w:val="001A4ACF"/>
    <w:rsid w:val="001B40C5"/>
    <w:rsid w:val="001C4B92"/>
    <w:rsid w:val="001C750A"/>
    <w:rsid w:val="001D07CD"/>
    <w:rsid w:val="001D7B46"/>
    <w:rsid w:val="001E16D4"/>
    <w:rsid w:val="001E3CE3"/>
    <w:rsid w:val="001E4AE6"/>
    <w:rsid w:val="001F3997"/>
    <w:rsid w:val="001F64A3"/>
    <w:rsid w:val="001F704F"/>
    <w:rsid w:val="001F72E2"/>
    <w:rsid w:val="00203E70"/>
    <w:rsid w:val="00204C88"/>
    <w:rsid w:val="00204D46"/>
    <w:rsid w:val="002056BA"/>
    <w:rsid w:val="00205ADC"/>
    <w:rsid w:val="00213265"/>
    <w:rsid w:val="0022166E"/>
    <w:rsid w:val="0022708E"/>
    <w:rsid w:val="00232581"/>
    <w:rsid w:val="00234FD5"/>
    <w:rsid w:val="002360EF"/>
    <w:rsid w:val="002410F0"/>
    <w:rsid w:val="00241740"/>
    <w:rsid w:val="0024745F"/>
    <w:rsid w:val="002500ED"/>
    <w:rsid w:val="00250B23"/>
    <w:rsid w:val="00251145"/>
    <w:rsid w:val="00257185"/>
    <w:rsid w:val="00261593"/>
    <w:rsid w:val="00272647"/>
    <w:rsid w:val="002750C4"/>
    <w:rsid w:val="00277FF8"/>
    <w:rsid w:val="00282172"/>
    <w:rsid w:val="00283407"/>
    <w:rsid w:val="00286F2B"/>
    <w:rsid w:val="00291D04"/>
    <w:rsid w:val="002966CE"/>
    <w:rsid w:val="002A059D"/>
    <w:rsid w:val="002A4AEC"/>
    <w:rsid w:val="002B1C8D"/>
    <w:rsid w:val="002B2C88"/>
    <w:rsid w:val="002B3998"/>
    <w:rsid w:val="002B6E5B"/>
    <w:rsid w:val="002C2ADF"/>
    <w:rsid w:val="002D2D20"/>
    <w:rsid w:val="002D3B02"/>
    <w:rsid w:val="002D682B"/>
    <w:rsid w:val="002D6EB0"/>
    <w:rsid w:val="002E09B9"/>
    <w:rsid w:val="002E0BB3"/>
    <w:rsid w:val="002E48AC"/>
    <w:rsid w:val="002E5B70"/>
    <w:rsid w:val="002E5F0F"/>
    <w:rsid w:val="002F0E63"/>
    <w:rsid w:val="002F14C2"/>
    <w:rsid w:val="002F6BCC"/>
    <w:rsid w:val="003003E5"/>
    <w:rsid w:val="00302AE4"/>
    <w:rsid w:val="003063A0"/>
    <w:rsid w:val="00313768"/>
    <w:rsid w:val="003152EF"/>
    <w:rsid w:val="00317664"/>
    <w:rsid w:val="00317C67"/>
    <w:rsid w:val="00320FDA"/>
    <w:rsid w:val="00322EDD"/>
    <w:rsid w:val="003261B6"/>
    <w:rsid w:val="00326A78"/>
    <w:rsid w:val="00326ED4"/>
    <w:rsid w:val="00331562"/>
    <w:rsid w:val="00332A6C"/>
    <w:rsid w:val="00333804"/>
    <w:rsid w:val="00341CB7"/>
    <w:rsid w:val="00344D56"/>
    <w:rsid w:val="00347A61"/>
    <w:rsid w:val="00353663"/>
    <w:rsid w:val="00355A00"/>
    <w:rsid w:val="00360763"/>
    <w:rsid w:val="00363908"/>
    <w:rsid w:val="003659F3"/>
    <w:rsid w:val="003674F3"/>
    <w:rsid w:val="00371516"/>
    <w:rsid w:val="00375CBF"/>
    <w:rsid w:val="00375EFC"/>
    <w:rsid w:val="003837CC"/>
    <w:rsid w:val="003854FC"/>
    <w:rsid w:val="003904B9"/>
    <w:rsid w:val="00394187"/>
    <w:rsid w:val="00395CFE"/>
    <w:rsid w:val="003A16E1"/>
    <w:rsid w:val="003A2748"/>
    <w:rsid w:val="003A30F3"/>
    <w:rsid w:val="003A61B3"/>
    <w:rsid w:val="003B13F8"/>
    <w:rsid w:val="003B5AB1"/>
    <w:rsid w:val="003B60FD"/>
    <w:rsid w:val="003C39F4"/>
    <w:rsid w:val="003C589D"/>
    <w:rsid w:val="003D5E1C"/>
    <w:rsid w:val="003D7F13"/>
    <w:rsid w:val="003E1C29"/>
    <w:rsid w:val="003E2AD2"/>
    <w:rsid w:val="003E3067"/>
    <w:rsid w:val="003E3FE7"/>
    <w:rsid w:val="003F1961"/>
    <w:rsid w:val="003F5CF3"/>
    <w:rsid w:val="004064CD"/>
    <w:rsid w:val="004064D8"/>
    <w:rsid w:val="00406C42"/>
    <w:rsid w:val="00413D61"/>
    <w:rsid w:val="00414AB9"/>
    <w:rsid w:val="0042194A"/>
    <w:rsid w:val="00424DF3"/>
    <w:rsid w:val="0043066B"/>
    <w:rsid w:val="004309BF"/>
    <w:rsid w:val="0043599B"/>
    <w:rsid w:val="0044006E"/>
    <w:rsid w:val="004403E7"/>
    <w:rsid w:val="0044062D"/>
    <w:rsid w:val="004425CB"/>
    <w:rsid w:val="004558CC"/>
    <w:rsid w:val="00460A0F"/>
    <w:rsid w:val="0046250B"/>
    <w:rsid w:val="004626B0"/>
    <w:rsid w:val="0046312A"/>
    <w:rsid w:val="004717C4"/>
    <w:rsid w:val="00472537"/>
    <w:rsid w:val="00474670"/>
    <w:rsid w:val="004771BE"/>
    <w:rsid w:val="00477971"/>
    <w:rsid w:val="00484E00"/>
    <w:rsid w:val="00484F2D"/>
    <w:rsid w:val="004855CE"/>
    <w:rsid w:val="00495E2E"/>
    <w:rsid w:val="00496CF9"/>
    <w:rsid w:val="004A3CCB"/>
    <w:rsid w:val="004B5E59"/>
    <w:rsid w:val="004B663F"/>
    <w:rsid w:val="004B6A9A"/>
    <w:rsid w:val="004D1364"/>
    <w:rsid w:val="004D7886"/>
    <w:rsid w:val="004E0FF2"/>
    <w:rsid w:val="004E56D2"/>
    <w:rsid w:val="004E690A"/>
    <w:rsid w:val="0050064B"/>
    <w:rsid w:val="005014C6"/>
    <w:rsid w:val="00507B9C"/>
    <w:rsid w:val="00507E72"/>
    <w:rsid w:val="00510B23"/>
    <w:rsid w:val="00511A77"/>
    <w:rsid w:val="0051492B"/>
    <w:rsid w:val="00515177"/>
    <w:rsid w:val="00535DF9"/>
    <w:rsid w:val="00536E0A"/>
    <w:rsid w:val="005370BA"/>
    <w:rsid w:val="00541F9A"/>
    <w:rsid w:val="00545E3C"/>
    <w:rsid w:val="0055006E"/>
    <w:rsid w:val="00553774"/>
    <w:rsid w:val="00557CBD"/>
    <w:rsid w:val="0056370A"/>
    <w:rsid w:val="00563AD8"/>
    <w:rsid w:val="00564BE8"/>
    <w:rsid w:val="0057095F"/>
    <w:rsid w:val="00570E5B"/>
    <w:rsid w:val="00571AB6"/>
    <w:rsid w:val="00580D6E"/>
    <w:rsid w:val="00586AC6"/>
    <w:rsid w:val="00593965"/>
    <w:rsid w:val="005959D6"/>
    <w:rsid w:val="00596A21"/>
    <w:rsid w:val="005A1443"/>
    <w:rsid w:val="005A7CDA"/>
    <w:rsid w:val="005B395F"/>
    <w:rsid w:val="005C3204"/>
    <w:rsid w:val="005C6E04"/>
    <w:rsid w:val="005D4724"/>
    <w:rsid w:val="005E2A78"/>
    <w:rsid w:val="005E2E03"/>
    <w:rsid w:val="005E5FCE"/>
    <w:rsid w:val="005E6105"/>
    <w:rsid w:val="005F2E59"/>
    <w:rsid w:val="005F3D90"/>
    <w:rsid w:val="005F5578"/>
    <w:rsid w:val="006042ED"/>
    <w:rsid w:val="00610575"/>
    <w:rsid w:val="00615C49"/>
    <w:rsid w:val="0061749D"/>
    <w:rsid w:val="00633068"/>
    <w:rsid w:val="0063494B"/>
    <w:rsid w:val="00642674"/>
    <w:rsid w:val="00656E0E"/>
    <w:rsid w:val="00666190"/>
    <w:rsid w:val="00666DF8"/>
    <w:rsid w:val="006715AC"/>
    <w:rsid w:val="006817B0"/>
    <w:rsid w:val="00683EC8"/>
    <w:rsid w:val="006874C4"/>
    <w:rsid w:val="006909A3"/>
    <w:rsid w:val="00691D1D"/>
    <w:rsid w:val="00692DF1"/>
    <w:rsid w:val="006952CA"/>
    <w:rsid w:val="0069740D"/>
    <w:rsid w:val="006B532C"/>
    <w:rsid w:val="006B7573"/>
    <w:rsid w:val="006C0F72"/>
    <w:rsid w:val="006C4904"/>
    <w:rsid w:val="006D0A5E"/>
    <w:rsid w:val="006D0EBF"/>
    <w:rsid w:val="006D2AE3"/>
    <w:rsid w:val="006D4CD9"/>
    <w:rsid w:val="006D7700"/>
    <w:rsid w:val="006E33C1"/>
    <w:rsid w:val="006E6549"/>
    <w:rsid w:val="006E6B2B"/>
    <w:rsid w:val="006F1C69"/>
    <w:rsid w:val="006F29EA"/>
    <w:rsid w:val="006F30DC"/>
    <w:rsid w:val="006F32D4"/>
    <w:rsid w:val="006F43E5"/>
    <w:rsid w:val="006F5F24"/>
    <w:rsid w:val="006F62CC"/>
    <w:rsid w:val="006F7EE4"/>
    <w:rsid w:val="00702FE7"/>
    <w:rsid w:val="00703C67"/>
    <w:rsid w:val="00706CF8"/>
    <w:rsid w:val="00707B2F"/>
    <w:rsid w:val="00710792"/>
    <w:rsid w:val="00711BA5"/>
    <w:rsid w:val="00716377"/>
    <w:rsid w:val="0071799F"/>
    <w:rsid w:val="00717CCA"/>
    <w:rsid w:val="007202C6"/>
    <w:rsid w:val="00720C73"/>
    <w:rsid w:val="00723853"/>
    <w:rsid w:val="007332F0"/>
    <w:rsid w:val="007372F4"/>
    <w:rsid w:val="00740720"/>
    <w:rsid w:val="00741DA5"/>
    <w:rsid w:val="00743498"/>
    <w:rsid w:val="00747563"/>
    <w:rsid w:val="00747957"/>
    <w:rsid w:val="00753D72"/>
    <w:rsid w:val="00757301"/>
    <w:rsid w:val="00764333"/>
    <w:rsid w:val="00765453"/>
    <w:rsid w:val="00767005"/>
    <w:rsid w:val="00772EB1"/>
    <w:rsid w:val="00777128"/>
    <w:rsid w:val="00781227"/>
    <w:rsid w:val="0078132D"/>
    <w:rsid w:val="00782E55"/>
    <w:rsid w:val="00784DEB"/>
    <w:rsid w:val="00785CDB"/>
    <w:rsid w:val="00790E5C"/>
    <w:rsid w:val="00792B10"/>
    <w:rsid w:val="00794D7F"/>
    <w:rsid w:val="00795D1A"/>
    <w:rsid w:val="00796928"/>
    <w:rsid w:val="007A162C"/>
    <w:rsid w:val="007A2FFB"/>
    <w:rsid w:val="007A5734"/>
    <w:rsid w:val="007B169B"/>
    <w:rsid w:val="007B36EB"/>
    <w:rsid w:val="007B488B"/>
    <w:rsid w:val="007B565F"/>
    <w:rsid w:val="007B64CF"/>
    <w:rsid w:val="007B6C8C"/>
    <w:rsid w:val="007B774E"/>
    <w:rsid w:val="007C615C"/>
    <w:rsid w:val="007C71B2"/>
    <w:rsid w:val="007C7E2D"/>
    <w:rsid w:val="007D1A0A"/>
    <w:rsid w:val="007D495A"/>
    <w:rsid w:val="007D5E5C"/>
    <w:rsid w:val="007F5D70"/>
    <w:rsid w:val="0080097E"/>
    <w:rsid w:val="008030B6"/>
    <w:rsid w:val="0080532D"/>
    <w:rsid w:val="0080597C"/>
    <w:rsid w:val="0081468E"/>
    <w:rsid w:val="008150A1"/>
    <w:rsid w:val="00816329"/>
    <w:rsid w:val="008201B9"/>
    <w:rsid w:val="008403B8"/>
    <w:rsid w:val="00844427"/>
    <w:rsid w:val="00845634"/>
    <w:rsid w:val="00850D4B"/>
    <w:rsid w:val="0085440D"/>
    <w:rsid w:val="00856B4B"/>
    <w:rsid w:val="008575CC"/>
    <w:rsid w:val="00865ECE"/>
    <w:rsid w:val="00873F60"/>
    <w:rsid w:val="008774E2"/>
    <w:rsid w:val="00880090"/>
    <w:rsid w:val="00880B2C"/>
    <w:rsid w:val="00881D5F"/>
    <w:rsid w:val="00881E07"/>
    <w:rsid w:val="00882783"/>
    <w:rsid w:val="00887151"/>
    <w:rsid w:val="00893107"/>
    <w:rsid w:val="008977FD"/>
    <w:rsid w:val="008A1A46"/>
    <w:rsid w:val="008A2BD9"/>
    <w:rsid w:val="008A5599"/>
    <w:rsid w:val="008A7A8E"/>
    <w:rsid w:val="008B23CF"/>
    <w:rsid w:val="008B31C4"/>
    <w:rsid w:val="008B55BB"/>
    <w:rsid w:val="008B6874"/>
    <w:rsid w:val="008C1818"/>
    <w:rsid w:val="008D2C44"/>
    <w:rsid w:val="008D5E13"/>
    <w:rsid w:val="008E5CAD"/>
    <w:rsid w:val="008F22C0"/>
    <w:rsid w:val="008F7087"/>
    <w:rsid w:val="00903410"/>
    <w:rsid w:val="009050CA"/>
    <w:rsid w:val="0090538B"/>
    <w:rsid w:val="009058B1"/>
    <w:rsid w:val="009079F7"/>
    <w:rsid w:val="00910757"/>
    <w:rsid w:val="00916721"/>
    <w:rsid w:val="009179CE"/>
    <w:rsid w:val="009230CE"/>
    <w:rsid w:val="009236ED"/>
    <w:rsid w:val="00932B31"/>
    <w:rsid w:val="00935EDD"/>
    <w:rsid w:val="00936CCF"/>
    <w:rsid w:val="00943BDE"/>
    <w:rsid w:val="009548D0"/>
    <w:rsid w:val="009655F2"/>
    <w:rsid w:val="00971D83"/>
    <w:rsid w:val="00972196"/>
    <w:rsid w:val="00972270"/>
    <w:rsid w:val="00973A11"/>
    <w:rsid w:val="00976022"/>
    <w:rsid w:val="00986CF3"/>
    <w:rsid w:val="009A4DB9"/>
    <w:rsid w:val="009B2723"/>
    <w:rsid w:val="009B3ECA"/>
    <w:rsid w:val="009B583F"/>
    <w:rsid w:val="009C2190"/>
    <w:rsid w:val="009C3565"/>
    <w:rsid w:val="009C491E"/>
    <w:rsid w:val="009C66CC"/>
    <w:rsid w:val="009C6D5F"/>
    <w:rsid w:val="009E02E2"/>
    <w:rsid w:val="009E15D6"/>
    <w:rsid w:val="009E29E5"/>
    <w:rsid w:val="009E2C7E"/>
    <w:rsid w:val="009E3A32"/>
    <w:rsid w:val="009E51BA"/>
    <w:rsid w:val="009E7DBF"/>
    <w:rsid w:val="009F1390"/>
    <w:rsid w:val="009F580A"/>
    <w:rsid w:val="009F7723"/>
    <w:rsid w:val="00A0087D"/>
    <w:rsid w:val="00A05CB8"/>
    <w:rsid w:val="00A06E9A"/>
    <w:rsid w:val="00A22565"/>
    <w:rsid w:val="00A24A84"/>
    <w:rsid w:val="00A272F0"/>
    <w:rsid w:val="00A2785F"/>
    <w:rsid w:val="00A27C06"/>
    <w:rsid w:val="00A27C53"/>
    <w:rsid w:val="00A27D94"/>
    <w:rsid w:val="00A31077"/>
    <w:rsid w:val="00A350D1"/>
    <w:rsid w:val="00A36E4A"/>
    <w:rsid w:val="00A37D48"/>
    <w:rsid w:val="00A403AB"/>
    <w:rsid w:val="00A459E6"/>
    <w:rsid w:val="00A4794F"/>
    <w:rsid w:val="00A521DF"/>
    <w:rsid w:val="00A619E3"/>
    <w:rsid w:val="00A6211B"/>
    <w:rsid w:val="00A63BFC"/>
    <w:rsid w:val="00A672AE"/>
    <w:rsid w:val="00A67A25"/>
    <w:rsid w:val="00A72FD9"/>
    <w:rsid w:val="00A74CB1"/>
    <w:rsid w:val="00A84D75"/>
    <w:rsid w:val="00A90182"/>
    <w:rsid w:val="00A93CAF"/>
    <w:rsid w:val="00A95F79"/>
    <w:rsid w:val="00A96CFE"/>
    <w:rsid w:val="00AA05CA"/>
    <w:rsid w:val="00AA1224"/>
    <w:rsid w:val="00AA5609"/>
    <w:rsid w:val="00AC7BA5"/>
    <w:rsid w:val="00AD0022"/>
    <w:rsid w:val="00AD0299"/>
    <w:rsid w:val="00AD09C4"/>
    <w:rsid w:val="00AD0B6E"/>
    <w:rsid w:val="00AD18A6"/>
    <w:rsid w:val="00AD29CB"/>
    <w:rsid w:val="00AD2E14"/>
    <w:rsid w:val="00AD3748"/>
    <w:rsid w:val="00AE03FA"/>
    <w:rsid w:val="00AE0C8F"/>
    <w:rsid w:val="00AE2C4D"/>
    <w:rsid w:val="00AE2F6A"/>
    <w:rsid w:val="00AF050F"/>
    <w:rsid w:val="00AF07BA"/>
    <w:rsid w:val="00AF63AC"/>
    <w:rsid w:val="00B027ED"/>
    <w:rsid w:val="00B04857"/>
    <w:rsid w:val="00B3654B"/>
    <w:rsid w:val="00B37A15"/>
    <w:rsid w:val="00B436DA"/>
    <w:rsid w:val="00B45EFC"/>
    <w:rsid w:val="00B503C2"/>
    <w:rsid w:val="00B52E6C"/>
    <w:rsid w:val="00B574AF"/>
    <w:rsid w:val="00B6173A"/>
    <w:rsid w:val="00B655D9"/>
    <w:rsid w:val="00B66102"/>
    <w:rsid w:val="00B72AB0"/>
    <w:rsid w:val="00B817BE"/>
    <w:rsid w:val="00B818AB"/>
    <w:rsid w:val="00B84003"/>
    <w:rsid w:val="00B868D0"/>
    <w:rsid w:val="00B91207"/>
    <w:rsid w:val="00B960AB"/>
    <w:rsid w:val="00BA0640"/>
    <w:rsid w:val="00BA361B"/>
    <w:rsid w:val="00BB41DF"/>
    <w:rsid w:val="00BB63B6"/>
    <w:rsid w:val="00BC0E1F"/>
    <w:rsid w:val="00BD19DB"/>
    <w:rsid w:val="00BD24AA"/>
    <w:rsid w:val="00BD4316"/>
    <w:rsid w:val="00BD47E4"/>
    <w:rsid w:val="00BD6DDE"/>
    <w:rsid w:val="00BE55CB"/>
    <w:rsid w:val="00C01CBF"/>
    <w:rsid w:val="00C03B3C"/>
    <w:rsid w:val="00C07BFA"/>
    <w:rsid w:val="00C105E7"/>
    <w:rsid w:val="00C137CC"/>
    <w:rsid w:val="00C20154"/>
    <w:rsid w:val="00C2564B"/>
    <w:rsid w:val="00C313B7"/>
    <w:rsid w:val="00C34EF4"/>
    <w:rsid w:val="00C36028"/>
    <w:rsid w:val="00C36E8A"/>
    <w:rsid w:val="00C41F42"/>
    <w:rsid w:val="00C42659"/>
    <w:rsid w:val="00C43C6A"/>
    <w:rsid w:val="00C45BF3"/>
    <w:rsid w:val="00C47364"/>
    <w:rsid w:val="00C561AA"/>
    <w:rsid w:val="00C57919"/>
    <w:rsid w:val="00C62406"/>
    <w:rsid w:val="00C647FA"/>
    <w:rsid w:val="00C753B8"/>
    <w:rsid w:val="00C758B9"/>
    <w:rsid w:val="00C80CDA"/>
    <w:rsid w:val="00C824B5"/>
    <w:rsid w:val="00C84658"/>
    <w:rsid w:val="00C848F1"/>
    <w:rsid w:val="00C92C88"/>
    <w:rsid w:val="00CA6949"/>
    <w:rsid w:val="00CB7FB8"/>
    <w:rsid w:val="00CC3877"/>
    <w:rsid w:val="00CC3E9D"/>
    <w:rsid w:val="00CD70CE"/>
    <w:rsid w:val="00CE1AA2"/>
    <w:rsid w:val="00CE324D"/>
    <w:rsid w:val="00CE6795"/>
    <w:rsid w:val="00CF2B15"/>
    <w:rsid w:val="00CF2ED4"/>
    <w:rsid w:val="00CF33F6"/>
    <w:rsid w:val="00CF34D6"/>
    <w:rsid w:val="00D02383"/>
    <w:rsid w:val="00D13D3A"/>
    <w:rsid w:val="00D17102"/>
    <w:rsid w:val="00D23A3D"/>
    <w:rsid w:val="00D23C61"/>
    <w:rsid w:val="00D26B69"/>
    <w:rsid w:val="00D30FA8"/>
    <w:rsid w:val="00D3670C"/>
    <w:rsid w:val="00D44AC3"/>
    <w:rsid w:val="00D55C96"/>
    <w:rsid w:val="00D630AB"/>
    <w:rsid w:val="00D81596"/>
    <w:rsid w:val="00D86248"/>
    <w:rsid w:val="00DA005C"/>
    <w:rsid w:val="00DB06A2"/>
    <w:rsid w:val="00DB52C2"/>
    <w:rsid w:val="00DB79C6"/>
    <w:rsid w:val="00DC1B6C"/>
    <w:rsid w:val="00DC2B59"/>
    <w:rsid w:val="00DC3BE7"/>
    <w:rsid w:val="00DC5B60"/>
    <w:rsid w:val="00DC791F"/>
    <w:rsid w:val="00DD6840"/>
    <w:rsid w:val="00DD7CE7"/>
    <w:rsid w:val="00DE129D"/>
    <w:rsid w:val="00DE2EF6"/>
    <w:rsid w:val="00DF24D6"/>
    <w:rsid w:val="00E02E5E"/>
    <w:rsid w:val="00E03B00"/>
    <w:rsid w:val="00E06ECA"/>
    <w:rsid w:val="00E07A5D"/>
    <w:rsid w:val="00E23090"/>
    <w:rsid w:val="00E231EB"/>
    <w:rsid w:val="00E3284A"/>
    <w:rsid w:val="00E36F42"/>
    <w:rsid w:val="00E53253"/>
    <w:rsid w:val="00E5390E"/>
    <w:rsid w:val="00E640D1"/>
    <w:rsid w:val="00E660C4"/>
    <w:rsid w:val="00E66F2C"/>
    <w:rsid w:val="00E736EA"/>
    <w:rsid w:val="00E75FB3"/>
    <w:rsid w:val="00E81487"/>
    <w:rsid w:val="00E81EC1"/>
    <w:rsid w:val="00E875EA"/>
    <w:rsid w:val="00E9393A"/>
    <w:rsid w:val="00E96A82"/>
    <w:rsid w:val="00EA23C9"/>
    <w:rsid w:val="00EA47A3"/>
    <w:rsid w:val="00EA6944"/>
    <w:rsid w:val="00EA6B07"/>
    <w:rsid w:val="00EB161B"/>
    <w:rsid w:val="00EB28AD"/>
    <w:rsid w:val="00EB6E73"/>
    <w:rsid w:val="00ED4FA5"/>
    <w:rsid w:val="00ED5A88"/>
    <w:rsid w:val="00EE12B6"/>
    <w:rsid w:val="00EE3779"/>
    <w:rsid w:val="00EE5935"/>
    <w:rsid w:val="00EE6EBB"/>
    <w:rsid w:val="00EF417A"/>
    <w:rsid w:val="00EF4324"/>
    <w:rsid w:val="00EF5B34"/>
    <w:rsid w:val="00F017F7"/>
    <w:rsid w:val="00F0267A"/>
    <w:rsid w:val="00F06B55"/>
    <w:rsid w:val="00F1054B"/>
    <w:rsid w:val="00F11B36"/>
    <w:rsid w:val="00F274F6"/>
    <w:rsid w:val="00F33E76"/>
    <w:rsid w:val="00F34972"/>
    <w:rsid w:val="00F34A5E"/>
    <w:rsid w:val="00F47AFF"/>
    <w:rsid w:val="00F54019"/>
    <w:rsid w:val="00F56E60"/>
    <w:rsid w:val="00F6336E"/>
    <w:rsid w:val="00F666F0"/>
    <w:rsid w:val="00F66B24"/>
    <w:rsid w:val="00F72298"/>
    <w:rsid w:val="00F7542F"/>
    <w:rsid w:val="00F81408"/>
    <w:rsid w:val="00F83935"/>
    <w:rsid w:val="00F95899"/>
    <w:rsid w:val="00F963FF"/>
    <w:rsid w:val="00FB2CF8"/>
    <w:rsid w:val="00FC18A6"/>
    <w:rsid w:val="00FC1F8B"/>
    <w:rsid w:val="00FC5279"/>
    <w:rsid w:val="00FC6E2C"/>
    <w:rsid w:val="00FD7526"/>
    <w:rsid w:val="00FD7A7B"/>
    <w:rsid w:val="00FE0567"/>
    <w:rsid w:val="00FE077A"/>
    <w:rsid w:val="00FE2C3C"/>
    <w:rsid w:val="00FF0F55"/>
    <w:rsid w:val="00FF1CB0"/>
    <w:rsid w:val="00FF47BD"/>
    <w:rsid w:val="00FF6261"/>
    <w:rsid w:val="00FF72C0"/>
    <w:rsid w:val="05C2F041"/>
    <w:rsid w:val="16C88BD5"/>
    <w:rsid w:val="24BAA8CA"/>
    <w:rsid w:val="3050C340"/>
    <w:rsid w:val="5961D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D4BB"/>
  <w15:docId w15:val="{D8536737-0EDA-4594-A269-8A7C6E6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B2"/>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105220"/>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102044"/>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10204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10204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515177"/>
    <w:pPr>
      <w:ind w:left="568" w:hanging="284"/>
    </w:pPr>
    <w:rPr>
      <w:b w:val="0"/>
      <w:noProof/>
    </w:rPr>
  </w:style>
  <w:style w:type="paragraph" w:styleId="TOC1">
    <w:name w:val="toc 1"/>
    <w:basedOn w:val="Normal"/>
    <w:next w:val="Normal"/>
    <w:autoRedefine/>
    <w:uiPriority w:val="39"/>
    <w:semiHidden/>
    <w:rsid w:val="0051517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4626B0"/>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10204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51517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1517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51517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51517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105220"/>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0B23"/>
    <w:rPr>
      <w:color w:val="FF4895" w:themeColor="accent2" w:themeTint="99"/>
    </w:rPr>
  </w:style>
  <w:style w:type="paragraph" w:styleId="TOC7">
    <w:name w:val="toc 7"/>
    <w:basedOn w:val="Normal"/>
    <w:next w:val="Normal"/>
    <w:autoRedefine/>
    <w:uiPriority w:val="39"/>
    <w:semiHidden/>
    <w:unhideWhenUsed/>
    <w:rsid w:val="00515177"/>
    <w:pPr>
      <w:spacing w:before="40" w:after="40" w:line="288" w:lineRule="auto"/>
      <w:ind w:left="1321"/>
    </w:pPr>
  </w:style>
  <w:style w:type="paragraph" w:styleId="TOC8">
    <w:name w:val="toc 8"/>
    <w:basedOn w:val="Normal"/>
    <w:next w:val="Normal"/>
    <w:autoRedefine/>
    <w:uiPriority w:val="39"/>
    <w:semiHidden/>
    <w:unhideWhenUsed/>
    <w:rsid w:val="00515177"/>
    <w:pPr>
      <w:spacing w:before="40" w:after="40" w:line="288" w:lineRule="auto"/>
      <w:ind w:left="1542"/>
    </w:pPr>
  </w:style>
  <w:style w:type="paragraph" w:styleId="TOC9">
    <w:name w:val="toc 9"/>
    <w:basedOn w:val="Normal"/>
    <w:next w:val="Normal"/>
    <w:autoRedefine/>
    <w:uiPriority w:val="39"/>
    <w:semiHidden/>
    <w:unhideWhenUsed/>
    <w:rsid w:val="00515177"/>
    <w:pPr>
      <w:spacing w:before="40" w:after="40" w:line="288" w:lineRule="auto"/>
      <w:ind w:left="1758"/>
    </w:pPr>
  </w:style>
  <w:style w:type="table" w:customStyle="1" w:styleId="TableGrid1">
    <w:name w:val="Table Grid1"/>
    <w:basedOn w:val="TableNormal"/>
    <w:next w:val="TableGrid"/>
    <w:uiPriority w:val="39"/>
    <w:rsid w:val="00075EB2"/>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character" w:styleId="CommentReference">
    <w:name w:val="annotation reference"/>
    <w:basedOn w:val="DefaultParagraphFont"/>
    <w:uiPriority w:val="99"/>
    <w:semiHidden/>
    <w:unhideWhenUsed/>
    <w:rsid w:val="00075EB2"/>
    <w:rPr>
      <w:sz w:val="16"/>
      <w:szCs w:val="16"/>
    </w:rPr>
  </w:style>
  <w:style w:type="paragraph" w:styleId="CommentText">
    <w:name w:val="annotation text"/>
    <w:basedOn w:val="Normal"/>
    <w:link w:val="CommentTextChar1"/>
    <w:uiPriority w:val="99"/>
    <w:unhideWhenUsed/>
    <w:rsid w:val="00075EB2"/>
    <w:pPr>
      <w:spacing w:line="240" w:lineRule="auto"/>
    </w:pPr>
    <w:rPr>
      <w:sz w:val="20"/>
      <w:szCs w:val="20"/>
    </w:rPr>
  </w:style>
  <w:style w:type="character" w:customStyle="1" w:styleId="CommentTextChar">
    <w:name w:val="Comment Text Char"/>
    <w:basedOn w:val="DefaultParagraphFont"/>
    <w:uiPriority w:val="99"/>
    <w:semiHidden/>
    <w:rsid w:val="00075EB2"/>
    <w:rPr>
      <w:sz w:val="20"/>
      <w:szCs w:val="20"/>
      <w:lang w:val="en-AU"/>
    </w:rPr>
  </w:style>
  <w:style w:type="character" w:customStyle="1" w:styleId="CommentTextChar1">
    <w:name w:val="Comment Text Char1"/>
    <w:basedOn w:val="DefaultParagraphFont"/>
    <w:link w:val="CommentText"/>
    <w:uiPriority w:val="99"/>
    <w:rsid w:val="00075EB2"/>
    <w:rPr>
      <w:sz w:val="20"/>
      <w:szCs w:val="20"/>
      <w:lang w:val="en-AU"/>
    </w:rPr>
  </w:style>
  <w:style w:type="character" w:styleId="Mention">
    <w:name w:val="Mention"/>
    <w:basedOn w:val="DefaultParagraphFont"/>
    <w:uiPriority w:val="99"/>
    <w:unhideWhenUsed/>
    <w:rsid w:val="00075EB2"/>
    <w:rPr>
      <w:color w:val="2B579A"/>
      <w:shd w:val="clear" w:color="auto" w:fill="E1DFDD"/>
    </w:rPr>
  </w:style>
  <w:style w:type="paragraph" w:styleId="Revision">
    <w:name w:val="Revision"/>
    <w:hidden/>
    <w:uiPriority w:val="99"/>
    <w:semiHidden/>
    <w:rsid w:val="005B395F"/>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B45EFC"/>
    <w:rPr>
      <w:b/>
      <w:bCs/>
    </w:rPr>
  </w:style>
  <w:style w:type="character" w:customStyle="1" w:styleId="CommentSubjectChar">
    <w:name w:val="Comment Subject Char"/>
    <w:basedOn w:val="CommentTextChar1"/>
    <w:link w:val="CommentSubject"/>
    <w:uiPriority w:val="99"/>
    <w:semiHidden/>
    <w:rsid w:val="00B45EFC"/>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6" ma:contentTypeDescription="Create a new document." ma:contentTypeScope="" ma:versionID="2b787a4eb143c1ec2a484c773fb4452e">
  <xsd:schema xmlns:xsd="http://www.w3.org/2001/XMLSchema" xmlns:xs="http://www.w3.org/2001/XMLSchema" xmlns:p="http://schemas.microsoft.com/office/2006/metadata/properties" xmlns:ns2="78cb739f-ba0b-4c00-b1c7-25b42d6e027d" xmlns:ns3="7880b107-4737-4d98-9ffb-0dfe747dca39" targetNamespace="http://schemas.microsoft.com/office/2006/metadata/properties" ma:root="true" ma:fieldsID="c7af7ae68ddc7eaa6e9ab224446a79f7" ns2:_="" ns3:_="">
    <xsd:import namespace="78cb739f-ba0b-4c00-b1c7-25b42d6e027d"/>
    <xsd:import namespace="7880b107-4737-4d98-9ffb-0dfe747dca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0b107-4737-4d98-9ffb-0dfe747dca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5AA5-DC88-469C-84B7-2F6FED1C24D6}">
  <ds:schemaRefs>
    <ds:schemaRef ds:uri="http://schemas.openxmlformats.org/officeDocument/2006/bibliography"/>
  </ds:schemaRefs>
</ds:datastoreItem>
</file>

<file path=customXml/itemProps2.xml><?xml version="1.0" encoding="utf-8"?>
<ds:datastoreItem xmlns:ds="http://schemas.openxmlformats.org/officeDocument/2006/customXml" ds:itemID="{2181568F-2279-440D-B215-DD2D4B68A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7880b107-4737-4d98-9ffb-0dfe747dc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B4212-6285-4147-9B5C-C14272DC1911}">
  <ds:schemaRefs>
    <ds:schemaRef ds:uri="http://schemas.microsoft.com/sharepoint/v3/contenttype/forms"/>
  </ds:schemaRefs>
</ds:datastoreItem>
</file>

<file path=customXml/itemProps4.xml><?xml version="1.0" encoding="utf-8"?>
<ds:datastoreItem xmlns:ds="http://schemas.openxmlformats.org/officeDocument/2006/customXml" ds:itemID="{7A091BC4-40E0-49F7-B638-BBD80DBA33E9}">
  <ds:schemaRefs>
    <ds:schemaRef ds:uri="http://purl.org/dc/dcmitype/"/>
    <ds:schemaRef ds:uri="http://purl.org/dc/elements/1.1/"/>
    <ds:schemaRef ds:uri="7880b107-4737-4d98-9ffb-0dfe747dca39"/>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78cb739f-ba0b-4c00-b1c7-25b42d6e02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6130</Characters>
  <Application>Microsoft Office Word</Application>
  <DocSecurity>0</DocSecurity>
  <Lines>297</Lines>
  <Paragraphs>148</Paragraphs>
  <ScaleCrop>false</ScaleCrop>
  <HeadingPairs>
    <vt:vector size="2" baseType="variant">
      <vt:variant>
        <vt:lpstr>Title</vt:lpstr>
      </vt:variant>
      <vt:variant>
        <vt:i4>1</vt:i4>
      </vt:variant>
    </vt:vector>
  </HeadingPairs>
  <TitlesOfParts>
    <vt:vector size="1" baseType="lpstr">
      <vt:lpstr>Annex E – Proposed amendments to the Energy Retail Code of Practice</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 Amendments to the Energy Retail Code of Practice and the Compliance and Performance Reporting Guideline</dc:title>
  <dc:subject/>
  <dc:creator>Luis Bogliolo (ESC)</dc:creator>
  <cp:keywords>[SEC=UNOFFICIAL]</cp:keywords>
  <dc:description/>
  <cp:lastModifiedBy>Luis Bogliolo (ESC)</cp:lastModifiedBy>
  <cp:revision>5</cp:revision>
  <cp:lastPrinted>2024-04-23T22:55:00Z</cp:lastPrinted>
  <dcterms:created xsi:type="dcterms:W3CDTF">2024-04-23T22:54:00Z</dcterms:created>
  <dcterms:modified xsi:type="dcterms:W3CDTF">2024-05-01T07:07:00Z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969F5C04F0624B5DBB99A52B6F7E6622</vt:lpwstr>
  </property>
  <property fmtid="{D5CDD505-2E9C-101B-9397-08002B2CF9AE}" pid="9" name="PM_ProtectiveMarkingValue_Footer">
    <vt:lpwstr>UNOFFICIAL</vt:lpwstr>
  </property>
  <property fmtid="{D5CDD505-2E9C-101B-9397-08002B2CF9AE}" pid="10" name="PM_Originator_Hash_SHA1">
    <vt:lpwstr>680CA605E0DEE2123BFD2A419FC5CBC9D2CBE003</vt:lpwstr>
  </property>
  <property fmtid="{D5CDD505-2E9C-101B-9397-08002B2CF9AE}" pid="11" name="PM_OriginationTimeStamp">
    <vt:lpwstr>2024-02-04T22:08:36Z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UserAccountName_SHA256">
    <vt:lpwstr>DAAFB4421AB1265D20F30716DF1E90A95E09E238BE8D4FFD91A01182AF524E96</vt:lpwstr>
  </property>
  <property fmtid="{D5CDD505-2E9C-101B-9397-08002B2CF9AE}" pid="22" name="PM_OriginatorDomainName_SHA256">
    <vt:lpwstr>9E5929A2B0C9364118E50F7972B6A4AA763F815A803675E11226272E392AE99C</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ContentTypeId">
    <vt:lpwstr>0x0101005498D85C82905B4AB3B16EABB2039E40</vt:lpwstr>
  </property>
  <property fmtid="{D5CDD505-2E9C-101B-9397-08002B2CF9AE}" pid="26" name="PM_Hash_Salt_Prev">
    <vt:lpwstr>346097017DF8E828213881AFD3AF5A4A</vt:lpwstr>
  </property>
  <property fmtid="{D5CDD505-2E9C-101B-9397-08002B2CF9AE}" pid="27" name="PM_Hash_Salt">
    <vt:lpwstr>C03660CDCC5E639F5B7A6EADFD4107F8</vt:lpwstr>
  </property>
  <property fmtid="{D5CDD505-2E9C-101B-9397-08002B2CF9AE}" pid="28" name="PM_Hash_SHA1">
    <vt:lpwstr>BAC242DF8A7CAA1A4BCC2B5C524C81A8C2F0DE30</vt:lpwstr>
  </property>
  <property fmtid="{D5CDD505-2E9C-101B-9397-08002B2CF9AE}" pid="29" name="PMHMAC">
    <vt:lpwstr>v=2022.1;a=SHA256;h=7C1AEF1B8E4C11B78DEE7E0B001D5911C8283688F619BF717DD82BF9E7DE1322</vt:lpwstr>
  </property>
</Properties>
</file>