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B07B" w14:textId="3E162587" w:rsidR="00967FBC" w:rsidRPr="00E050F4" w:rsidRDefault="00A456A8" w:rsidP="00E050F4">
      <w:pPr>
        <w:pStyle w:val="Heading1"/>
      </w:pPr>
      <w:bookmarkStart w:id="1" w:name="_Toc125370283"/>
      <w:bookmarkStart w:id="2" w:name="_Hlk142985743"/>
      <w:r>
        <w:t xml:space="preserve">Annex </w:t>
      </w:r>
      <w:r w:rsidR="00D47C55">
        <w:t>C</w:t>
      </w:r>
      <w:r>
        <w:t xml:space="preserve"> – </w:t>
      </w:r>
      <w:r w:rsidR="00967FBC" w:rsidRPr="00E050F4">
        <w:t>Proposed variations</w:t>
      </w:r>
      <w:bookmarkEnd w:id="1"/>
      <w:r w:rsidR="00967FBC" w:rsidRPr="00E050F4">
        <w:t xml:space="preserve"> to gas distribution licences</w:t>
      </w:r>
      <w:r>
        <w:t xml:space="preserve"> (standard licence conditions)</w:t>
      </w:r>
    </w:p>
    <w:p w14:paraId="64BB06FE" w14:textId="260DE5A5" w:rsidR="00967FBC" w:rsidRDefault="00967FBC" w:rsidP="00967FBC">
      <w:bookmarkStart w:id="3" w:name="_Hlk142985773"/>
      <w:bookmarkEnd w:id="2"/>
      <w:r w:rsidRPr="00C938B9">
        <w:t>Table 1 list</w:t>
      </w:r>
      <w:r w:rsidR="00A456A8">
        <w:t>s</w:t>
      </w:r>
      <w:r w:rsidRPr="00C938B9">
        <w:t xml:space="preserve"> current </w:t>
      </w:r>
      <w:r w:rsidR="00E842A8">
        <w:t xml:space="preserve">standard </w:t>
      </w:r>
      <w:r w:rsidRPr="00C938B9">
        <w:t>gas distribution licence conditions and a summary of our initial proposals to update them. Where we indicate our</w:t>
      </w:r>
      <w:r>
        <w:t xml:space="preserve"> </w:t>
      </w:r>
      <w:r w:rsidRPr="00C938B9">
        <w:t>intention to retain licence conditions, we may need to redraft and simplify these provisions without altering the substantive obligation</w:t>
      </w:r>
      <w:r w:rsidR="006C5B9B">
        <w:t>s</w:t>
      </w:r>
      <w:r w:rsidRPr="00C938B9">
        <w:t xml:space="preserve">. The focus of this review is to update licences conditions so they will be consistent with </w:t>
      </w:r>
      <w:r w:rsidR="00E842A8">
        <w:t xml:space="preserve">our new enforcement framework and with </w:t>
      </w:r>
      <w:r w:rsidRPr="00C938B9">
        <w:t xml:space="preserve">the new </w:t>
      </w:r>
      <w:r w:rsidR="00E842A8">
        <w:t xml:space="preserve">proposed Gas Distribution Code of Practice. </w:t>
      </w:r>
      <w:r w:rsidR="00193E6C">
        <w:t>N</w:t>
      </w:r>
      <w:r w:rsidR="00E842A8">
        <w:t>ote</w:t>
      </w:r>
      <w:r w:rsidR="003D1F5B">
        <w:t>:</w:t>
      </w:r>
      <w:r w:rsidR="00E842A8">
        <w:t xml:space="preserve"> we do not intend to address </w:t>
      </w:r>
      <w:r w:rsidR="009C0A6D">
        <w:t>licence conditions which are specific to individual gas distributors as part of this review</w:t>
      </w:r>
      <w:r w:rsidRPr="00C938B9">
        <w:t>.</w:t>
      </w:r>
    </w:p>
    <w:p w14:paraId="32179DF6" w14:textId="77777777" w:rsidR="00967FBC" w:rsidRDefault="00967FBC" w:rsidP="00967FBC"/>
    <w:p w14:paraId="33B97DD2" w14:textId="4C155A3F" w:rsidR="00967FBC" w:rsidRPr="00A65DB4" w:rsidRDefault="00967FBC" w:rsidP="00967FBC">
      <w:pPr>
        <w:pStyle w:val="Figure-Table-BoxHeading"/>
        <w:numPr>
          <w:ilvl w:val="0"/>
          <w:numId w:val="0"/>
        </w:numPr>
        <w:ind w:left="851" w:hanging="851"/>
      </w:pPr>
      <w:r w:rsidRPr="00A65DB4">
        <w:t xml:space="preserve">Table 1. </w:t>
      </w:r>
      <w:bookmarkStart w:id="4" w:name="_Hlk140147738"/>
      <w:r w:rsidRPr="00A65DB4">
        <w:t xml:space="preserve">Proposed variation to </w:t>
      </w:r>
      <w:r w:rsidRPr="00967FBC">
        <w:t>standard</w:t>
      </w:r>
      <w:r w:rsidRPr="00A65DB4">
        <w:t xml:space="preserve"> gas distribution </w:t>
      </w:r>
      <w:proofErr w:type="spellStart"/>
      <w:r w:rsidRPr="00A65DB4">
        <w:t>licence</w:t>
      </w:r>
      <w:proofErr w:type="spellEnd"/>
      <w:r w:rsidRPr="00A65DB4">
        <w:t xml:space="preserve"> conditions</w:t>
      </w:r>
      <w:bookmarkEnd w:id="4"/>
    </w:p>
    <w:tbl>
      <w:tblPr>
        <w:tblStyle w:val="TableGrid1"/>
        <w:tblpPr w:leftFromText="180" w:rightFromText="180" w:vertAnchor="text" w:horzAnchor="margin" w:tblpY="104"/>
        <w:tblW w:w="14459" w:type="dxa"/>
        <w:tblLook w:val="04A0" w:firstRow="1" w:lastRow="0" w:firstColumn="1" w:lastColumn="0" w:noHBand="0" w:noVBand="1"/>
      </w:tblPr>
      <w:tblGrid>
        <w:gridCol w:w="3204"/>
        <w:gridCol w:w="11255"/>
      </w:tblGrid>
      <w:tr w:rsidR="00967FBC" w:rsidRPr="00C22BF0" w14:paraId="041D48D2" w14:textId="77777777" w:rsidTr="00F41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4" w:type="dxa"/>
          </w:tcPr>
          <w:p w14:paraId="6E1CBC79" w14:textId="77777777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C22BF0">
              <w:rPr>
                <w:rFonts w:ascii="Arial" w:eastAsia="Arial" w:hAnsi="Arial" w:cs="Arial"/>
              </w:rPr>
              <w:t>Condition</w:t>
            </w:r>
          </w:p>
        </w:tc>
        <w:tc>
          <w:tcPr>
            <w:tcW w:w="11255" w:type="dxa"/>
          </w:tcPr>
          <w:p w14:paraId="5F777055" w14:textId="77777777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C22BF0">
              <w:rPr>
                <w:rFonts w:ascii="Arial" w:eastAsia="Arial" w:hAnsi="Arial" w:cs="Arial"/>
              </w:rPr>
              <w:t>Proposal</w:t>
            </w:r>
          </w:p>
        </w:tc>
      </w:tr>
      <w:tr w:rsidR="00967FBC" w:rsidRPr="00C22BF0" w14:paraId="100022F3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727F4EE4" w14:textId="127AEC88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C22BF0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. </w:t>
            </w:r>
            <w:r w:rsidRPr="00C22BF0">
              <w:rPr>
                <w:rFonts w:ascii="Arial" w:eastAsia="Arial" w:hAnsi="Arial" w:cs="Arial"/>
              </w:rPr>
              <w:t xml:space="preserve">Grant of </w:t>
            </w:r>
            <w:r>
              <w:rPr>
                <w:rFonts w:ascii="Arial" w:eastAsia="Arial" w:hAnsi="Arial" w:cs="Arial"/>
              </w:rPr>
              <w:t>Licence</w:t>
            </w:r>
          </w:p>
        </w:tc>
        <w:tc>
          <w:tcPr>
            <w:tcW w:w="11255" w:type="dxa"/>
          </w:tcPr>
          <w:p w14:paraId="19028049" w14:textId="3D3C15EF" w:rsidR="00967FBC" w:rsidRPr="00C22BF0" w:rsidRDefault="00403DFF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material </w:t>
            </w:r>
            <w:proofErr w:type="gramStart"/>
            <w:r>
              <w:rPr>
                <w:rFonts w:ascii="Arial" w:eastAsia="Arial" w:hAnsi="Arial" w:cs="Arial"/>
              </w:rPr>
              <w:t>change</w:t>
            </w:r>
            <w:proofErr w:type="gramEnd"/>
            <w:r>
              <w:rPr>
                <w:rFonts w:ascii="Arial" w:eastAsia="Arial" w:hAnsi="Arial" w:cs="Arial"/>
              </w:rPr>
              <w:t xml:space="preserve">. </w:t>
            </w:r>
            <w:r w:rsidR="00967FBC" w:rsidRPr="003C4032">
              <w:rPr>
                <w:rFonts w:ascii="Arial" w:eastAsia="Arial" w:hAnsi="Arial" w:cs="Arial"/>
              </w:rPr>
              <w:t xml:space="preserve">Clause </w:t>
            </w:r>
            <w:r w:rsidR="00967FBC">
              <w:rPr>
                <w:rFonts w:ascii="Arial" w:eastAsia="Arial" w:hAnsi="Arial" w:cs="Arial"/>
              </w:rPr>
              <w:t xml:space="preserve">1 </w:t>
            </w:r>
            <w:r w:rsidR="00967FBC" w:rsidRPr="003C4032">
              <w:rPr>
                <w:rFonts w:ascii="Arial" w:eastAsia="Arial" w:hAnsi="Arial" w:cs="Arial"/>
              </w:rPr>
              <w:t>is now reflected in new clause</w:t>
            </w:r>
            <w:r w:rsidR="00906617">
              <w:rPr>
                <w:rFonts w:ascii="Arial" w:eastAsia="Arial" w:hAnsi="Arial" w:cs="Arial"/>
              </w:rPr>
              <w:t>s</w:t>
            </w:r>
            <w:r w:rsidR="00573C8B">
              <w:rPr>
                <w:rFonts w:ascii="Arial" w:eastAsia="Arial" w:hAnsi="Arial" w:cs="Arial"/>
              </w:rPr>
              <w:t xml:space="preserve"> 3</w:t>
            </w:r>
            <w:r w:rsidR="00906617">
              <w:rPr>
                <w:rFonts w:ascii="Arial" w:eastAsia="Arial" w:hAnsi="Arial" w:cs="Arial"/>
              </w:rPr>
              <w:t>.1 and 3.2</w:t>
            </w:r>
            <w:r w:rsidR="00967FBC">
              <w:rPr>
                <w:rFonts w:ascii="Arial" w:eastAsia="Arial" w:hAnsi="Arial" w:cs="Arial"/>
              </w:rPr>
              <w:t xml:space="preserve"> </w:t>
            </w:r>
            <w:r w:rsidR="00967FBC" w:rsidRPr="003C4032">
              <w:rPr>
                <w:rFonts w:ascii="Arial" w:eastAsia="Arial" w:hAnsi="Arial" w:cs="Arial"/>
              </w:rPr>
              <w:t xml:space="preserve">which </w:t>
            </w:r>
            <w:r w:rsidR="00752020">
              <w:rPr>
                <w:rFonts w:ascii="Arial" w:eastAsia="Arial" w:hAnsi="Arial" w:cs="Arial"/>
              </w:rPr>
              <w:t>state that</w:t>
            </w:r>
            <w:r w:rsidR="00967FBC" w:rsidRPr="003C4032">
              <w:rPr>
                <w:rFonts w:ascii="Arial" w:eastAsia="Arial" w:hAnsi="Arial" w:cs="Arial"/>
              </w:rPr>
              <w:t xml:space="preserve"> the licensee is authorised to distribute </w:t>
            </w:r>
            <w:r w:rsidR="00967FBC">
              <w:rPr>
                <w:rFonts w:ascii="Arial" w:eastAsia="Arial" w:hAnsi="Arial" w:cs="Arial"/>
              </w:rPr>
              <w:t>gas</w:t>
            </w:r>
            <w:r w:rsidR="00967FBC" w:rsidRPr="003C4032">
              <w:rPr>
                <w:rFonts w:ascii="Arial" w:eastAsia="Arial" w:hAnsi="Arial" w:cs="Arial"/>
              </w:rPr>
              <w:t xml:space="preserve"> on the terms and conditions set out in the licence. The distribution area for each licence is proposed to remain unchanged and will be reflected in </w:t>
            </w:r>
            <w:r w:rsidR="00967FBC" w:rsidRPr="001143F3">
              <w:rPr>
                <w:rFonts w:ascii="Arial" w:eastAsia="Arial" w:hAnsi="Arial" w:cs="Arial"/>
              </w:rPr>
              <w:t>Schedule 1.</w:t>
            </w:r>
            <w:r w:rsidR="005E2185" w:rsidRPr="003C4032">
              <w:rPr>
                <w:rFonts w:ascii="Arial" w:eastAsia="Arial" w:hAnsi="Arial" w:cs="Arial"/>
              </w:rPr>
              <w:t xml:space="preserve"> </w:t>
            </w:r>
          </w:p>
        </w:tc>
      </w:tr>
      <w:tr w:rsidR="00967FBC" w:rsidRPr="00C22BF0" w14:paraId="334DC4D1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7049811E" w14:textId="386B42EF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Term</w:t>
            </w:r>
          </w:p>
        </w:tc>
        <w:tc>
          <w:tcPr>
            <w:tcW w:w="11255" w:type="dxa"/>
          </w:tcPr>
          <w:p w14:paraId="4EEB489E" w14:textId="404DAA9B" w:rsidR="00967FBC" w:rsidRPr="00C22BF0" w:rsidRDefault="007B28D6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material </w:t>
            </w:r>
            <w:proofErr w:type="gramStart"/>
            <w:r>
              <w:rPr>
                <w:rFonts w:ascii="Arial" w:eastAsia="Arial" w:hAnsi="Arial" w:cs="Arial"/>
              </w:rPr>
              <w:t>change</w:t>
            </w:r>
            <w:proofErr w:type="gramEnd"/>
            <w:r>
              <w:rPr>
                <w:rFonts w:ascii="Arial" w:eastAsia="Arial" w:hAnsi="Arial" w:cs="Arial"/>
              </w:rPr>
              <w:t xml:space="preserve">. </w:t>
            </w:r>
            <w:r w:rsidRPr="003C4032">
              <w:rPr>
                <w:rFonts w:ascii="Arial" w:eastAsia="Arial" w:hAnsi="Arial" w:cs="Arial"/>
              </w:rPr>
              <w:t>For record keeping purposes proposed new clause 3.</w:t>
            </w:r>
            <w:r>
              <w:rPr>
                <w:rFonts w:ascii="Arial" w:eastAsia="Arial" w:hAnsi="Arial" w:cs="Arial"/>
              </w:rPr>
              <w:t xml:space="preserve">3 </w:t>
            </w:r>
            <w:r w:rsidRPr="003C4032">
              <w:rPr>
                <w:rFonts w:ascii="Arial" w:eastAsia="Arial" w:hAnsi="Arial" w:cs="Arial"/>
              </w:rPr>
              <w:t>identifies the first date the licence was granted.</w:t>
            </w:r>
            <w:r>
              <w:rPr>
                <w:rFonts w:ascii="Arial" w:eastAsia="Arial" w:hAnsi="Arial" w:cs="Arial"/>
              </w:rPr>
              <w:t xml:space="preserve"> </w:t>
            </w:r>
            <w:r w:rsidR="00967FBC" w:rsidRPr="003C4032">
              <w:rPr>
                <w:rFonts w:ascii="Arial" w:eastAsia="Arial" w:hAnsi="Arial" w:cs="Arial"/>
              </w:rPr>
              <w:t xml:space="preserve">The existing description of variations will be retained </w:t>
            </w:r>
            <w:r w:rsidR="00967FBC" w:rsidRPr="001143F3">
              <w:rPr>
                <w:rFonts w:ascii="Arial" w:eastAsia="Arial" w:hAnsi="Arial" w:cs="Arial"/>
              </w:rPr>
              <w:t>in Schedule 2.</w:t>
            </w:r>
          </w:p>
        </w:tc>
      </w:tr>
      <w:tr w:rsidR="00967FBC" w:rsidRPr="00C22BF0" w14:paraId="6AD3E1D5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49846396" w14:textId="6235607D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Variation and revocation</w:t>
            </w:r>
          </w:p>
        </w:tc>
        <w:tc>
          <w:tcPr>
            <w:tcW w:w="11255" w:type="dxa"/>
          </w:tcPr>
          <w:p w14:paraId="76ED4D47" w14:textId="54C1E982" w:rsidR="00967FBC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5D5B40">
              <w:rPr>
                <w:rFonts w:ascii="Arial" w:eastAsia="Arial" w:hAnsi="Arial" w:cs="Arial"/>
              </w:rPr>
              <w:t xml:space="preserve">We propose simplifying </w:t>
            </w:r>
            <w:r>
              <w:rPr>
                <w:rFonts w:ascii="Arial" w:eastAsia="Arial" w:hAnsi="Arial" w:cs="Arial"/>
              </w:rPr>
              <w:t>clauses</w:t>
            </w:r>
            <w:r w:rsidRPr="005D5B40">
              <w:rPr>
                <w:rFonts w:ascii="Arial" w:eastAsia="Arial" w:hAnsi="Arial" w:cs="Arial"/>
              </w:rPr>
              <w:t xml:space="preserve"> 3(a) to 3(c) by referring to the commission’s power to vary the licence in accordance with sections 38 and 38A of the Gas Industry Act</w:t>
            </w:r>
            <w:r>
              <w:rPr>
                <w:rFonts w:ascii="Arial" w:eastAsia="Arial" w:hAnsi="Arial" w:cs="Arial"/>
              </w:rPr>
              <w:t xml:space="preserve">, reflected in new clause 4. </w:t>
            </w:r>
          </w:p>
          <w:p w14:paraId="74794188" w14:textId="1FE19406" w:rsidR="00967FBC" w:rsidRPr="00C22BF0" w:rsidRDefault="00967FBC" w:rsidP="0027622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EC4D9E">
              <w:rPr>
                <w:rFonts w:ascii="Arial" w:eastAsia="Arial" w:hAnsi="Arial" w:cs="Arial"/>
              </w:rPr>
              <w:t xml:space="preserve">We propose </w:t>
            </w:r>
            <w:r w:rsidR="008145C7">
              <w:rPr>
                <w:rFonts w:ascii="Arial" w:eastAsia="Arial" w:hAnsi="Arial" w:cs="Arial"/>
              </w:rPr>
              <w:t>updating</w:t>
            </w:r>
            <w:r w:rsidRPr="00EC4D9E">
              <w:rPr>
                <w:rFonts w:ascii="Arial" w:eastAsia="Arial" w:hAnsi="Arial" w:cs="Arial"/>
              </w:rPr>
              <w:t xml:space="preserve"> the revocation </w:t>
            </w:r>
            <w:r>
              <w:rPr>
                <w:rFonts w:ascii="Arial" w:eastAsia="Arial" w:hAnsi="Arial" w:cs="Arial"/>
              </w:rPr>
              <w:t xml:space="preserve">clauses </w:t>
            </w:r>
            <w:r w:rsidRPr="00EC4D9E">
              <w:rPr>
                <w:rFonts w:ascii="Arial" w:eastAsia="Arial" w:hAnsi="Arial" w:cs="Arial"/>
              </w:rPr>
              <w:t>3(d) and 3(e)</w:t>
            </w:r>
            <w:r>
              <w:rPr>
                <w:rFonts w:ascii="Arial" w:eastAsia="Arial" w:hAnsi="Arial" w:cs="Arial"/>
              </w:rPr>
              <w:t xml:space="preserve">, </w:t>
            </w:r>
            <w:r w:rsidRPr="00EC4D9E">
              <w:rPr>
                <w:rFonts w:ascii="Arial" w:eastAsia="Arial" w:hAnsi="Arial" w:cs="Arial"/>
              </w:rPr>
              <w:t>to remove references to compliance with an enforcement order or an undertaking</w:t>
            </w:r>
            <w:r>
              <w:rPr>
                <w:rFonts w:ascii="Arial" w:eastAsia="Arial" w:hAnsi="Arial" w:cs="Arial"/>
              </w:rPr>
              <w:t>,</w:t>
            </w:r>
            <w:r w:rsidRPr="00EC4D9E">
              <w:rPr>
                <w:rFonts w:ascii="Arial" w:eastAsia="Arial" w:hAnsi="Arial" w:cs="Arial"/>
              </w:rPr>
              <w:t xml:space="preserve"> and to the commission’s policy objectives. In its place, we propose</w:t>
            </w:r>
            <w:r>
              <w:rPr>
                <w:rFonts w:ascii="Arial" w:eastAsia="Arial" w:hAnsi="Arial" w:cs="Arial"/>
              </w:rPr>
              <w:t xml:space="preserve"> adding </w:t>
            </w:r>
            <w:r>
              <w:rPr>
                <w:rFonts w:ascii="Arial" w:eastAsia="Arial" w:hAnsi="Arial" w:cs="Arial"/>
              </w:rPr>
              <w:lastRenderedPageBreak/>
              <w:t>new clause 6</w:t>
            </w:r>
            <w:r w:rsidRPr="00EC4D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 w:rsidRPr="00EC4D9E">
              <w:rPr>
                <w:rFonts w:ascii="Arial" w:eastAsia="Arial" w:hAnsi="Arial" w:cs="Arial"/>
              </w:rPr>
              <w:t xml:space="preserve"> refer</w:t>
            </w:r>
            <w:r>
              <w:rPr>
                <w:rFonts w:ascii="Arial" w:eastAsia="Arial" w:hAnsi="Arial" w:cs="Arial"/>
              </w:rPr>
              <w:t xml:space="preserve">s </w:t>
            </w:r>
            <w:r w:rsidRPr="00EC4D9E">
              <w:rPr>
                <w:rFonts w:ascii="Arial" w:eastAsia="Arial" w:hAnsi="Arial" w:cs="Arial"/>
              </w:rPr>
              <w:t xml:space="preserve">to </w:t>
            </w:r>
            <w:r w:rsidR="005F2CC4">
              <w:rPr>
                <w:rFonts w:ascii="Arial" w:eastAsia="Arial" w:hAnsi="Arial" w:cs="Arial"/>
              </w:rPr>
              <w:t xml:space="preserve">the revocation of a licence </w:t>
            </w:r>
            <w:r w:rsidR="00276227" w:rsidRPr="00276227">
              <w:rPr>
                <w:rFonts w:ascii="Arial" w:eastAsia="Arial" w:hAnsi="Arial" w:cs="Arial"/>
              </w:rPr>
              <w:t>in accordance with</w:t>
            </w:r>
            <w:r w:rsidR="00276227">
              <w:rPr>
                <w:rFonts w:ascii="Arial" w:eastAsia="Arial" w:hAnsi="Arial" w:cs="Arial"/>
              </w:rPr>
              <w:t xml:space="preserve"> section 38(3) of the Gas Industry Act (in accordance with</w:t>
            </w:r>
            <w:r w:rsidR="00276227" w:rsidRPr="00276227">
              <w:rPr>
                <w:rFonts w:ascii="Arial" w:eastAsia="Arial" w:hAnsi="Arial" w:cs="Arial"/>
              </w:rPr>
              <w:t xml:space="preserve"> the procedures specified in licence conditions</w:t>
            </w:r>
            <w:r w:rsidR="00276227">
              <w:rPr>
                <w:rFonts w:ascii="Arial" w:eastAsia="Arial" w:hAnsi="Arial" w:cs="Arial"/>
              </w:rPr>
              <w:t>)</w:t>
            </w:r>
            <w:r w:rsidR="00276227" w:rsidRPr="00276227">
              <w:rPr>
                <w:rFonts w:ascii="Arial" w:eastAsia="Arial" w:hAnsi="Arial" w:cs="Arial"/>
              </w:rPr>
              <w:t>.</w:t>
            </w:r>
            <w:r w:rsidR="00290FCB">
              <w:rPr>
                <w:rFonts w:ascii="Arial" w:eastAsia="Arial" w:hAnsi="Arial" w:cs="Arial"/>
              </w:rPr>
              <w:t xml:space="preserve"> </w:t>
            </w:r>
            <w:r w:rsidRPr="008969F5">
              <w:rPr>
                <w:rFonts w:ascii="Arial" w:eastAsia="Arial" w:hAnsi="Arial" w:cs="Arial"/>
              </w:rPr>
              <w:t>We</w:t>
            </w:r>
            <w:r w:rsidRPr="00E2290C">
              <w:rPr>
                <w:rFonts w:ascii="Arial" w:eastAsia="Arial" w:hAnsi="Arial" w:cs="Arial"/>
              </w:rPr>
              <w:t xml:space="preserve"> note that </w:t>
            </w:r>
            <w:hyperlink r:id="rId11" w:history="1">
              <w:r w:rsidRPr="008969F5">
                <w:rPr>
                  <w:rStyle w:val="Hyperlink"/>
                  <w:rFonts w:ascii="Arial" w:eastAsia="Arial" w:hAnsi="Arial" w:cs="Arial"/>
                </w:rPr>
                <w:t>Guideline 5 (2022): Revocation of electricity or gas licences</w:t>
              </w:r>
            </w:hyperlink>
            <w:r w:rsidRPr="00E2290C">
              <w:rPr>
                <w:rFonts w:ascii="Arial" w:eastAsia="Arial" w:hAnsi="Arial" w:cs="Arial"/>
              </w:rPr>
              <w:t xml:space="preserve"> describes the commission’s approach to exercising its revocation powers.</w:t>
            </w:r>
          </w:p>
        </w:tc>
      </w:tr>
      <w:tr w:rsidR="00967FBC" w:rsidRPr="00C22BF0" w14:paraId="0D2A06EE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5D8BAA14" w14:textId="4E723080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4. Compliance with Codes, </w:t>
            </w:r>
            <w:proofErr w:type="gramStart"/>
            <w:r>
              <w:rPr>
                <w:rFonts w:ascii="Arial" w:eastAsia="Arial" w:hAnsi="Arial" w:cs="Arial"/>
              </w:rPr>
              <w:t>Rules</w:t>
            </w:r>
            <w:proofErr w:type="gramEnd"/>
            <w:r>
              <w:rPr>
                <w:rFonts w:ascii="Arial" w:eastAsia="Arial" w:hAnsi="Arial" w:cs="Arial"/>
              </w:rPr>
              <w:t xml:space="preserve"> and other Requirements</w:t>
            </w:r>
          </w:p>
        </w:tc>
        <w:tc>
          <w:tcPr>
            <w:tcW w:w="11255" w:type="dxa"/>
          </w:tcPr>
          <w:p w14:paraId="5208AB4A" w14:textId="6B232C94" w:rsidR="00967FBC" w:rsidRPr="000D21C4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0D21C4">
              <w:rPr>
                <w:rFonts w:ascii="Arial" w:eastAsia="Arial" w:hAnsi="Arial" w:cs="Arial"/>
              </w:rPr>
              <w:t xml:space="preserve">This condition requires compliance by a licensee with various regulatory instruments. New clause 10 addresses compliance with regulatory instruments but is materially different to current clause 4(a) on account of the following. </w:t>
            </w:r>
            <w:r w:rsidR="007138E7">
              <w:rPr>
                <w:rFonts w:ascii="Arial" w:eastAsia="Arial" w:hAnsi="Arial" w:cs="Arial"/>
              </w:rPr>
              <w:t>As</w:t>
            </w:r>
            <w:r w:rsidRPr="000D21C4">
              <w:rPr>
                <w:rFonts w:ascii="Arial" w:eastAsia="Arial" w:hAnsi="Arial" w:cs="Arial"/>
              </w:rPr>
              <w:t xml:space="preserve"> codes have transitioned to ‘codes of practice’ made under Part 6 of the </w:t>
            </w:r>
            <w:r w:rsidRPr="006D12C6">
              <w:rPr>
                <w:rFonts w:ascii="Arial" w:eastAsia="Arial" w:hAnsi="Arial" w:cs="Arial"/>
                <w:i/>
                <w:iCs/>
              </w:rPr>
              <w:t>Essential Services Commission Act 2001</w:t>
            </w:r>
            <w:r w:rsidRPr="000D21C4">
              <w:rPr>
                <w:rFonts w:ascii="Arial" w:eastAsia="Arial" w:hAnsi="Arial" w:cs="Arial"/>
              </w:rPr>
              <w:t xml:space="preserve">, they are no longer enforced as licence conditions and have therefore been removed from this clause. Therefore, we propose to simplify </w:t>
            </w:r>
            <w:r w:rsidR="000B6895">
              <w:rPr>
                <w:rFonts w:ascii="Arial" w:eastAsia="Arial" w:hAnsi="Arial" w:cs="Arial"/>
              </w:rPr>
              <w:t xml:space="preserve">clause </w:t>
            </w:r>
            <w:r w:rsidRPr="000D21C4">
              <w:rPr>
                <w:rFonts w:ascii="Arial" w:eastAsia="Arial" w:hAnsi="Arial" w:cs="Arial"/>
              </w:rPr>
              <w:t xml:space="preserve">4(a) </w:t>
            </w:r>
            <w:r w:rsidR="00BD4A6C">
              <w:rPr>
                <w:rFonts w:ascii="Arial" w:eastAsia="Arial" w:hAnsi="Arial" w:cs="Arial"/>
              </w:rPr>
              <w:t>in</w:t>
            </w:r>
            <w:r w:rsidRPr="000D21C4">
              <w:rPr>
                <w:rFonts w:ascii="Arial" w:eastAsia="Arial" w:hAnsi="Arial" w:cs="Arial"/>
              </w:rPr>
              <w:t xml:space="preserve"> two </w:t>
            </w:r>
            <w:r w:rsidR="00BD4A6C">
              <w:rPr>
                <w:rFonts w:ascii="Arial" w:eastAsia="Arial" w:hAnsi="Arial" w:cs="Arial"/>
              </w:rPr>
              <w:t xml:space="preserve">new </w:t>
            </w:r>
            <w:r>
              <w:rPr>
                <w:rFonts w:ascii="Arial" w:eastAsia="Arial" w:hAnsi="Arial" w:cs="Arial"/>
              </w:rPr>
              <w:t xml:space="preserve">clauses </w:t>
            </w:r>
            <w:r w:rsidR="007D41D2">
              <w:rPr>
                <w:rFonts w:ascii="Arial" w:eastAsia="Arial" w:hAnsi="Arial" w:cs="Arial"/>
              </w:rPr>
              <w:t>(</w:t>
            </w:r>
            <w:r w:rsidRPr="000D21C4">
              <w:rPr>
                <w:rFonts w:ascii="Arial" w:eastAsia="Arial" w:hAnsi="Arial" w:cs="Arial"/>
              </w:rPr>
              <w:t>10.1 and 10.2</w:t>
            </w:r>
            <w:r w:rsidR="007D41D2">
              <w:rPr>
                <w:rFonts w:ascii="Arial" w:eastAsia="Arial" w:hAnsi="Arial" w:cs="Arial"/>
              </w:rPr>
              <w:t>)</w:t>
            </w:r>
            <w:r w:rsidRPr="005A24A3">
              <w:t xml:space="preserve"> </w:t>
            </w:r>
            <w:r w:rsidRPr="000D21C4">
              <w:rPr>
                <w:rFonts w:ascii="Arial" w:eastAsia="Arial" w:hAnsi="Arial" w:cs="Arial"/>
              </w:rPr>
              <w:t xml:space="preserve">to be consistent with the recently updated </w:t>
            </w:r>
            <w:r w:rsidR="001B461F">
              <w:rPr>
                <w:rFonts w:ascii="Arial" w:eastAsia="Arial" w:hAnsi="Arial" w:cs="Arial"/>
              </w:rPr>
              <w:t>e</w:t>
            </w:r>
            <w:r w:rsidRPr="000D21C4">
              <w:rPr>
                <w:rFonts w:ascii="Arial" w:eastAsia="Arial" w:hAnsi="Arial" w:cs="Arial"/>
              </w:rPr>
              <w:t xml:space="preserve">lectricity </w:t>
            </w:r>
            <w:r w:rsidR="001B461F">
              <w:rPr>
                <w:rFonts w:ascii="Arial" w:eastAsia="Arial" w:hAnsi="Arial" w:cs="Arial"/>
              </w:rPr>
              <w:t>d</w:t>
            </w:r>
            <w:r w:rsidRPr="000D21C4">
              <w:rPr>
                <w:rFonts w:ascii="Arial" w:eastAsia="Arial" w:hAnsi="Arial" w:cs="Arial"/>
              </w:rPr>
              <w:t xml:space="preserve">istribution </w:t>
            </w:r>
            <w:r w:rsidR="001B461F">
              <w:rPr>
                <w:rFonts w:ascii="Arial" w:eastAsia="Arial" w:hAnsi="Arial" w:cs="Arial"/>
              </w:rPr>
              <w:t>l</w:t>
            </w:r>
            <w:r w:rsidRPr="000D21C4">
              <w:rPr>
                <w:rFonts w:ascii="Arial" w:eastAsia="Arial" w:hAnsi="Arial" w:cs="Arial"/>
              </w:rPr>
              <w:t xml:space="preserve">icences, as well </w:t>
            </w:r>
            <w:r>
              <w:rPr>
                <w:rFonts w:ascii="Arial" w:eastAsia="Arial" w:hAnsi="Arial" w:cs="Arial"/>
              </w:rPr>
              <w:t>clauses</w:t>
            </w:r>
            <w:r w:rsidRPr="000D21C4">
              <w:rPr>
                <w:rFonts w:ascii="Arial" w:eastAsia="Arial" w:hAnsi="Arial" w:cs="Arial"/>
              </w:rPr>
              <w:t xml:space="preserve"> 6.1 </w:t>
            </w:r>
            <w:r w:rsidR="00383D4F">
              <w:rPr>
                <w:rFonts w:ascii="Arial" w:eastAsia="Arial" w:hAnsi="Arial" w:cs="Arial"/>
              </w:rPr>
              <w:t xml:space="preserve">of </w:t>
            </w:r>
            <w:r w:rsidRPr="000D21C4">
              <w:rPr>
                <w:rFonts w:ascii="Arial" w:eastAsia="Arial" w:hAnsi="Arial" w:cs="Arial"/>
              </w:rPr>
              <w:t xml:space="preserve">Standard Electricity Retail Licences and 7.1 </w:t>
            </w:r>
            <w:r w:rsidR="00383D4F">
              <w:rPr>
                <w:rFonts w:ascii="Arial" w:eastAsia="Arial" w:hAnsi="Arial" w:cs="Arial"/>
              </w:rPr>
              <w:t xml:space="preserve">of </w:t>
            </w:r>
            <w:r w:rsidRPr="000D21C4">
              <w:rPr>
                <w:rFonts w:ascii="Arial" w:eastAsia="Arial" w:hAnsi="Arial" w:cs="Arial"/>
              </w:rPr>
              <w:t>Standard Gas Retail Licences.</w:t>
            </w:r>
          </w:p>
          <w:p w14:paraId="31A0108C" w14:textId="1649F3EC" w:rsidR="00967FBC" w:rsidRPr="000D21C4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0D21C4">
              <w:rPr>
                <w:rFonts w:ascii="Arial" w:eastAsia="Arial" w:hAnsi="Arial" w:cs="Arial"/>
              </w:rPr>
              <w:t xml:space="preserve">This clause also </w:t>
            </w:r>
            <w:r w:rsidRPr="001E6AF2">
              <w:rPr>
                <w:rFonts w:ascii="Arial" w:eastAsia="Arial" w:hAnsi="Arial" w:cs="Arial"/>
              </w:rPr>
              <w:t>specifies the process</w:t>
            </w:r>
            <w:r w:rsidRPr="000D21C4">
              <w:rPr>
                <w:rFonts w:ascii="Arial" w:eastAsia="Arial" w:hAnsi="Arial" w:cs="Arial"/>
              </w:rPr>
              <w:t xml:space="preserve"> by which the commission may issue customer-related standards and procedures to th</w:t>
            </w:r>
            <w:r w:rsidRPr="001E6AF2">
              <w:rPr>
                <w:rFonts w:ascii="Arial" w:eastAsia="Arial" w:hAnsi="Arial" w:cs="Arial"/>
              </w:rPr>
              <w:t>e licensee.</w:t>
            </w:r>
            <w:r w:rsidRPr="000D21C4">
              <w:rPr>
                <w:rFonts w:ascii="Arial" w:eastAsia="Arial" w:hAnsi="Arial" w:cs="Arial"/>
              </w:rPr>
              <w:t xml:space="preserve">  We propose to retain </w:t>
            </w:r>
            <w:r>
              <w:rPr>
                <w:rFonts w:ascii="Arial" w:eastAsia="Arial" w:hAnsi="Arial" w:cs="Arial"/>
              </w:rPr>
              <w:t>clauses</w:t>
            </w:r>
            <w:r w:rsidRPr="000D21C4">
              <w:rPr>
                <w:rFonts w:ascii="Arial" w:eastAsia="Arial" w:hAnsi="Arial" w:cs="Arial"/>
              </w:rPr>
              <w:t xml:space="preserve"> 4(b) and 4(c)</w:t>
            </w:r>
            <w:r>
              <w:rPr>
                <w:rFonts w:ascii="Arial" w:eastAsia="Arial" w:hAnsi="Arial" w:cs="Arial"/>
              </w:rPr>
              <w:t xml:space="preserve"> as </w:t>
            </w:r>
            <w:r w:rsidR="007E468E">
              <w:rPr>
                <w:rFonts w:ascii="Arial" w:eastAsia="Arial" w:hAnsi="Arial" w:cs="Arial"/>
              </w:rPr>
              <w:t xml:space="preserve">new clauses </w:t>
            </w:r>
            <w:r>
              <w:rPr>
                <w:rFonts w:ascii="Arial" w:eastAsia="Arial" w:hAnsi="Arial" w:cs="Arial"/>
              </w:rPr>
              <w:t>10.3 and 10.4.</w:t>
            </w:r>
          </w:p>
          <w:p w14:paraId="64A79C74" w14:textId="77777777" w:rsidR="00967FBC" w:rsidRPr="000D21C4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  <w:r w:rsidRPr="000D21C4">
              <w:rPr>
                <w:rFonts w:ascii="Arial" w:eastAsia="Arial" w:hAnsi="Arial" w:cs="Arial"/>
              </w:rPr>
              <w:t xml:space="preserve">e propose to remove </w:t>
            </w:r>
            <w:r>
              <w:rPr>
                <w:rFonts w:ascii="Arial" w:eastAsia="Arial" w:hAnsi="Arial" w:cs="Arial"/>
              </w:rPr>
              <w:t>clauses</w:t>
            </w:r>
            <w:r w:rsidRPr="000D21C4">
              <w:rPr>
                <w:rFonts w:ascii="Arial" w:eastAsia="Arial" w:hAnsi="Arial" w:cs="Arial"/>
              </w:rPr>
              <w:t xml:space="preserve"> 4(d) and 4(e) on the basis that distributors’ reporting obligations will be addressed in the new Gas Distribution Code of Practice.</w:t>
            </w:r>
          </w:p>
        </w:tc>
      </w:tr>
      <w:tr w:rsidR="00967FBC" w:rsidRPr="00C22BF0" w14:paraId="1F393F3F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20588472" w14:textId="6DB39FE0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Deemed Distribution Contacts</w:t>
            </w:r>
          </w:p>
        </w:tc>
        <w:tc>
          <w:tcPr>
            <w:tcW w:w="11255" w:type="dxa"/>
          </w:tcPr>
          <w:p w14:paraId="7EDDD4CA" w14:textId="54188ABB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637FB5">
              <w:rPr>
                <w:rFonts w:ascii="Arial" w:eastAsia="Arial" w:hAnsi="Arial" w:cs="Arial"/>
              </w:rPr>
              <w:t xml:space="preserve">This </w:t>
            </w:r>
            <w:r>
              <w:rPr>
                <w:rFonts w:ascii="Arial" w:eastAsia="Arial" w:hAnsi="Arial" w:cs="Arial"/>
              </w:rPr>
              <w:t>clause</w:t>
            </w:r>
            <w:r w:rsidRPr="00637FB5">
              <w:rPr>
                <w:rFonts w:ascii="Arial" w:eastAsia="Arial" w:hAnsi="Arial" w:cs="Arial"/>
              </w:rPr>
              <w:t xml:space="preserve"> is an obligation for distributors to prepare and submit their deemed distribution contract terms and conditions for the commission’s approval, upon the commission’s written request or at any other time. </w:t>
            </w:r>
            <w:r>
              <w:rPr>
                <w:rFonts w:ascii="Arial" w:eastAsia="Arial" w:hAnsi="Arial" w:cs="Arial"/>
              </w:rPr>
              <w:t>We propose to retain this conditio</w:t>
            </w:r>
            <w:r w:rsidRPr="005E5997">
              <w:rPr>
                <w:rFonts w:ascii="Arial" w:eastAsia="Arial" w:hAnsi="Arial" w:cs="Arial"/>
              </w:rPr>
              <w:t xml:space="preserve">n as </w:t>
            </w:r>
            <w:r w:rsidR="00BE7473">
              <w:rPr>
                <w:rFonts w:ascii="Arial" w:eastAsia="Arial" w:hAnsi="Arial" w:cs="Arial"/>
              </w:rPr>
              <w:t xml:space="preserve">new </w:t>
            </w:r>
            <w:r w:rsidRPr="005E5997">
              <w:rPr>
                <w:rFonts w:ascii="Arial" w:eastAsia="Arial" w:hAnsi="Arial" w:cs="Arial"/>
              </w:rPr>
              <w:t xml:space="preserve">clause 11. </w:t>
            </w:r>
          </w:p>
        </w:tc>
      </w:tr>
      <w:tr w:rsidR="00967FBC" w:rsidRPr="00C22BF0" w14:paraId="70E40326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723C2315" w14:textId="0E0FD23A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Provision of Information and Maintenance of Separate Accounts</w:t>
            </w:r>
          </w:p>
        </w:tc>
        <w:tc>
          <w:tcPr>
            <w:tcW w:w="11255" w:type="dxa"/>
          </w:tcPr>
          <w:p w14:paraId="081ADC9C" w14:textId="4E5124DB" w:rsidR="00967FBC" w:rsidRPr="00DC6D67" w:rsidRDefault="00967FBC" w:rsidP="00220D12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DC6D67">
              <w:rPr>
                <w:rFonts w:ascii="Arial" w:eastAsia="Arial" w:hAnsi="Arial" w:cs="Arial"/>
              </w:rPr>
              <w:t xml:space="preserve">This clause requires the </w:t>
            </w:r>
            <w:r w:rsidR="00FA5B85" w:rsidRPr="00DC6D67">
              <w:rPr>
                <w:rFonts w:ascii="Arial" w:eastAsia="Arial" w:hAnsi="Arial" w:cs="Arial"/>
              </w:rPr>
              <w:t>l</w:t>
            </w:r>
            <w:r w:rsidRPr="00DC6D67">
              <w:rPr>
                <w:rFonts w:ascii="Arial" w:eastAsia="Arial" w:hAnsi="Arial" w:cs="Arial"/>
              </w:rPr>
              <w:t xml:space="preserve">icensee to provide information required by the </w:t>
            </w:r>
            <w:r w:rsidR="00FA5B85" w:rsidRPr="00DC6D67">
              <w:rPr>
                <w:rFonts w:ascii="Arial" w:eastAsia="Arial" w:hAnsi="Arial" w:cs="Arial"/>
              </w:rPr>
              <w:t>c</w:t>
            </w:r>
            <w:r w:rsidRPr="00DC6D67">
              <w:rPr>
                <w:rFonts w:ascii="Arial" w:eastAsia="Arial" w:hAnsi="Arial" w:cs="Arial"/>
              </w:rPr>
              <w:t xml:space="preserve">ommission and to prepare separate accounts for its distribution business in accordance with any applicable </w:t>
            </w:r>
            <w:r w:rsidR="00FA5B85" w:rsidRPr="00DC6D67">
              <w:rPr>
                <w:rFonts w:ascii="Arial" w:eastAsia="Arial" w:hAnsi="Arial" w:cs="Arial"/>
              </w:rPr>
              <w:t>c</w:t>
            </w:r>
            <w:r w:rsidRPr="00DC6D67">
              <w:rPr>
                <w:rFonts w:ascii="Arial" w:eastAsia="Arial" w:hAnsi="Arial" w:cs="Arial"/>
              </w:rPr>
              <w:t>ommission guidelines. We propose retaining clauses 6(a) and 6(b) as</w:t>
            </w:r>
            <w:r w:rsidR="00BE7473">
              <w:rPr>
                <w:rFonts w:ascii="Arial" w:eastAsia="Arial" w:hAnsi="Arial" w:cs="Arial"/>
              </w:rPr>
              <w:t xml:space="preserve"> new clauses</w:t>
            </w:r>
            <w:r w:rsidRPr="00DC6D67">
              <w:rPr>
                <w:rFonts w:ascii="Arial" w:eastAsia="Arial" w:hAnsi="Arial" w:cs="Arial"/>
              </w:rPr>
              <w:t xml:space="preserve"> 12.2 and 12.3. </w:t>
            </w:r>
          </w:p>
          <w:p w14:paraId="2A0BB8D8" w14:textId="3E25D750" w:rsidR="00220D12" w:rsidRPr="00DC6D67" w:rsidRDefault="00967FBC" w:rsidP="00220D12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DC6D67">
              <w:rPr>
                <w:rFonts w:ascii="Arial" w:eastAsia="Arial" w:hAnsi="Arial" w:cs="Arial"/>
              </w:rPr>
              <w:lastRenderedPageBreak/>
              <w:t>We propose adding new clause 12.1, which requires a licensee to maintain comprehensive records</w:t>
            </w:r>
            <w:r w:rsidR="00DD153B">
              <w:rPr>
                <w:rFonts w:ascii="Arial" w:eastAsia="Arial" w:hAnsi="Arial" w:cs="Arial"/>
              </w:rPr>
              <w:t xml:space="preserve"> regarding activities undertaken pursuant to the licence</w:t>
            </w:r>
            <w:r w:rsidRPr="00DC6D67">
              <w:rPr>
                <w:rFonts w:ascii="Arial" w:eastAsia="Arial" w:hAnsi="Arial" w:cs="Arial"/>
              </w:rPr>
              <w:t xml:space="preserve"> for at least </w:t>
            </w:r>
            <w:r w:rsidR="0086153C" w:rsidRPr="00DC6D67">
              <w:rPr>
                <w:rFonts w:ascii="Arial" w:eastAsia="Arial" w:hAnsi="Arial" w:cs="Arial"/>
              </w:rPr>
              <w:t>seven</w:t>
            </w:r>
            <w:r w:rsidRPr="00DC6D67">
              <w:rPr>
                <w:rFonts w:ascii="Arial" w:eastAsia="Arial" w:hAnsi="Arial" w:cs="Arial"/>
              </w:rPr>
              <w:t xml:space="preserve"> years, which is consistent with </w:t>
            </w:r>
            <w:r w:rsidR="00651F35" w:rsidRPr="00DC6D67">
              <w:rPr>
                <w:rFonts w:ascii="Arial" w:eastAsia="Arial" w:hAnsi="Arial" w:cs="Arial"/>
              </w:rPr>
              <w:t xml:space="preserve">clause 12.1 of </w:t>
            </w:r>
            <w:r w:rsidRPr="00DC6D67">
              <w:rPr>
                <w:rFonts w:ascii="Arial" w:eastAsia="Arial" w:hAnsi="Arial" w:cs="Arial"/>
              </w:rPr>
              <w:t xml:space="preserve">recently updated electricity </w:t>
            </w:r>
            <w:r w:rsidR="00651F35" w:rsidRPr="00DC6D67">
              <w:rPr>
                <w:rFonts w:ascii="Arial" w:eastAsia="Arial" w:hAnsi="Arial" w:cs="Arial"/>
              </w:rPr>
              <w:t xml:space="preserve">distribution </w:t>
            </w:r>
            <w:r w:rsidRPr="00DC6D67">
              <w:rPr>
                <w:rFonts w:ascii="Arial" w:eastAsia="Arial" w:hAnsi="Arial" w:cs="Arial"/>
              </w:rPr>
              <w:t xml:space="preserve">licences. </w:t>
            </w:r>
          </w:p>
          <w:p w14:paraId="290CF371" w14:textId="76C72D8F" w:rsidR="00967FBC" w:rsidRPr="00220D12" w:rsidRDefault="00967FBC" w:rsidP="00FD120F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220D12">
              <w:rPr>
                <w:rFonts w:ascii="Arial" w:eastAsia="Arial" w:hAnsi="Arial" w:cs="Arial"/>
              </w:rPr>
              <w:t xml:space="preserve">We </w:t>
            </w:r>
            <w:r w:rsidR="00383D4F" w:rsidRPr="00220D12">
              <w:rPr>
                <w:rFonts w:ascii="Arial" w:eastAsia="Arial" w:hAnsi="Arial" w:cs="Arial"/>
              </w:rPr>
              <w:t>propose to introduce</w:t>
            </w:r>
            <w:r w:rsidRPr="00220D12">
              <w:rPr>
                <w:rFonts w:ascii="Arial" w:eastAsia="Arial" w:hAnsi="Arial" w:cs="Arial"/>
              </w:rPr>
              <w:t xml:space="preserve"> </w:t>
            </w:r>
            <w:r w:rsidR="00F17DE1" w:rsidRPr="00220D12">
              <w:rPr>
                <w:rFonts w:ascii="Arial" w:eastAsia="Arial" w:hAnsi="Arial" w:cs="Arial"/>
              </w:rPr>
              <w:t xml:space="preserve">an updated version of </w:t>
            </w:r>
            <w:r w:rsidR="00EE6B5C" w:rsidRPr="00220D12">
              <w:rPr>
                <w:rFonts w:ascii="Arial" w:eastAsia="Arial" w:hAnsi="Arial" w:cs="Arial"/>
              </w:rPr>
              <w:t xml:space="preserve">clause </w:t>
            </w:r>
            <w:r w:rsidRPr="00220D12">
              <w:rPr>
                <w:rFonts w:ascii="Arial" w:eastAsia="Arial" w:hAnsi="Arial" w:cs="Arial"/>
              </w:rPr>
              <w:t>6(c)</w:t>
            </w:r>
            <w:r w:rsidR="00F64FBE" w:rsidRPr="00220D12">
              <w:rPr>
                <w:rFonts w:ascii="Arial" w:eastAsia="Arial" w:hAnsi="Arial" w:cs="Arial"/>
              </w:rPr>
              <w:t xml:space="preserve"> of Australian Gas Networks (Vic) Pty Ltd and of </w:t>
            </w:r>
            <w:r w:rsidR="00F46616" w:rsidRPr="00220D12">
              <w:rPr>
                <w:rFonts w:ascii="Arial" w:eastAsia="Arial" w:hAnsi="Arial" w:cs="Arial"/>
              </w:rPr>
              <w:t xml:space="preserve">AusNet Gas Services Pty Ltd </w:t>
            </w:r>
            <w:bookmarkStart w:id="5" w:name="_Hlk140147304"/>
            <w:r w:rsidR="00383D4F" w:rsidRPr="00220D12">
              <w:rPr>
                <w:rFonts w:ascii="Arial" w:eastAsia="Arial" w:hAnsi="Arial" w:cs="Arial"/>
              </w:rPr>
              <w:t>licences as</w:t>
            </w:r>
            <w:r w:rsidR="00F27CDE">
              <w:rPr>
                <w:rFonts w:ascii="Arial" w:eastAsia="Arial" w:hAnsi="Arial" w:cs="Arial"/>
              </w:rPr>
              <w:t xml:space="preserve"> new</w:t>
            </w:r>
            <w:r w:rsidR="00383D4F" w:rsidRPr="00220D12">
              <w:rPr>
                <w:rFonts w:ascii="Arial" w:eastAsia="Arial" w:hAnsi="Arial" w:cs="Arial"/>
              </w:rPr>
              <w:t xml:space="preserve"> standard licence condition</w:t>
            </w:r>
            <w:r w:rsidR="00220D12">
              <w:rPr>
                <w:rFonts w:ascii="Arial" w:eastAsia="Arial" w:hAnsi="Arial" w:cs="Arial"/>
              </w:rPr>
              <w:t xml:space="preserve"> 12.4</w:t>
            </w:r>
            <w:r w:rsidR="006B54E0">
              <w:rPr>
                <w:rFonts w:ascii="Arial" w:eastAsia="Arial" w:hAnsi="Arial" w:cs="Arial"/>
              </w:rPr>
              <w:t xml:space="preserve">. This clause would </w:t>
            </w:r>
            <w:r w:rsidR="003623B0">
              <w:rPr>
                <w:rFonts w:ascii="Arial" w:eastAsia="Arial" w:hAnsi="Arial" w:cs="Arial"/>
              </w:rPr>
              <w:t>require a</w:t>
            </w:r>
            <w:r w:rsidRPr="00220D12">
              <w:rPr>
                <w:rFonts w:ascii="Arial" w:eastAsia="Arial" w:hAnsi="Arial" w:cs="Arial"/>
              </w:rPr>
              <w:t xml:space="preserve"> licensee</w:t>
            </w:r>
            <w:r w:rsidR="003623B0">
              <w:rPr>
                <w:rFonts w:ascii="Arial" w:eastAsia="Arial" w:hAnsi="Arial" w:cs="Arial"/>
              </w:rPr>
              <w:t>,</w:t>
            </w:r>
            <w:r w:rsidR="003623B0" w:rsidRPr="003623B0">
              <w:rPr>
                <w:rFonts w:ascii="Arial" w:eastAsia="Arial" w:hAnsi="Arial" w:cs="Arial"/>
              </w:rPr>
              <w:t xml:space="preserve"> upon becoming aware of any circumstances that may reasonably result in the </w:t>
            </w:r>
            <w:r w:rsidR="00D5298E">
              <w:rPr>
                <w:rFonts w:ascii="Arial" w:eastAsia="Arial" w:hAnsi="Arial" w:cs="Arial"/>
              </w:rPr>
              <w:t>l</w:t>
            </w:r>
            <w:r w:rsidR="003623B0" w:rsidRPr="003623B0">
              <w:rPr>
                <w:rFonts w:ascii="Arial" w:eastAsia="Arial" w:hAnsi="Arial" w:cs="Arial"/>
              </w:rPr>
              <w:t xml:space="preserve">icensee seeking a variation to change </w:t>
            </w:r>
            <w:r w:rsidR="00D5298E">
              <w:rPr>
                <w:rFonts w:ascii="Arial" w:eastAsia="Arial" w:hAnsi="Arial" w:cs="Arial"/>
              </w:rPr>
              <w:t xml:space="preserve">its </w:t>
            </w:r>
            <w:r w:rsidR="003623B0" w:rsidRPr="003623B0">
              <w:rPr>
                <w:rFonts w:ascii="Arial" w:eastAsia="Arial" w:hAnsi="Arial" w:cs="Arial"/>
              </w:rPr>
              <w:t xml:space="preserve">distribution area, to notify the </w:t>
            </w:r>
            <w:r w:rsidR="009C6D64">
              <w:rPr>
                <w:rFonts w:ascii="Arial" w:eastAsia="Arial" w:hAnsi="Arial" w:cs="Arial"/>
              </w:rPr>
              <w:t>c</w:t>
            </w:r>
            <w:r w:rsidR="003623B0" w:rsidRPr="00220D12">
              <w:rPr>
                <w:rFonts w:ascii="Arial" w:eastAsia="Arial" w:hAnsi="Arial" w:cs="Arial"/>
              </w:rPr>
              <w:t>ommission</w:t>
            </w:r>
            <w:r w:rsidR="00220D12" w:rsidRPr="00220D12">
              <w:rPr>
                <w:rFonts w:ascii="Arial" w:eastAsia="Arial" w:hAnsi="Arial" w:cs="Arial"/>
              </w:rPr>
              <w:t xml:space="preserve"> and provide complete details of such circumstances as soon as practicable and within 30 </w:t>
            </w:r>
            <w:r w:rsidR="00D5298E">
              <w:rPr>
                <w:rFonts w:ascii="Arial" w:eastAsia="Arial" w:hAnsi="Arial" w:cs="Arial"/>
              </w:rPr>
              <w:t>b</w:t>
            </w:r>
            <w:r w:rsidR="00220D12" w:rsidRPr="00220D12">
              <w:rPr>
                <w:rFonts w:ascii="Arial" w:eastAsia="Arial" w:hAnsi="Arial" w:cs="Arial"/>
              </w:rPr>
              <w:t xml:space="preserve">usiness </w:t>
            </w:r>
            <w:r w:rsidR="00D5298E">
              <w:rPr>
                <w:rFonts w:ascii="Arial" w:eastAsia="Arial" w:hAnsi="Arial" w:cs="Arial"/>
              </w:rPr>
              <w:t>d</w:t>
            </w:r>
            <w:r w:rsidR="00220D12" w:rsidRPr="00220D12">
              <w:rPr>
                <w:rFonts w:ascii="Arial" w:eastAsia="Arial" w:hAnsi="Arial" w:cs="Arial"/>
              </w:rPr>
              <w:t>ays of becoming aware of the circumstances.</w:t>
            </w:r>
            <w:r w:rsidR="00220D12">
              <w:rPr>
                <w:rFonts w:ascii="Arial" w:eastAsia="Arial" w:hAnsi="Arial" w:cs="Arial"/>
              </w:rPr>
              <w:t xml:space="preserve"> </w:t>
            </w:r>
            <w:r w:rsidRPr="00220D12">
              <w:rPr>
                <w:rFonts w:ascii="Arial" w:eastAsia="Arial" w:hAnsi="Arial" w:cs="Arial"/>
              </w:rPr>
              <w:t xml:space="preserve">The aim is </w:t>
            </w:r>
            <w:r w:rsidR="00FD120F">
              <w:rPr>
                <w:rFonts w:ascii="Arial" w:eastAsia="Arial" w:hAnsi="Arial" w:cs="Arial"/>
              </w:rPr>
              <w:t xml:space="preserve">to ensure </w:t>
            </w:r>
            <w:r w:rsidRPr="00220D12">
              <w:rPr>
                <w:rFonts w:ascii="Arial" w:eastAsia="Arial" w:hAnsi="Arial" w:cs="Arial"/>
              </w:rPr>
              <w:t>that the commission is provided with timely information on proposed expansions of the gas network which</w:t>
            </w:r>
            <w:r w:rsidR="00E4388E" w:rsidRPr="00220D12">
              <w:rPr>
                <w:rFonts w:ascii="Arial" w:eastAsia="Arial" w:hAnsi="Arial" w:cs="Arial"/>
              </w:rPr>
              <w:t xml:space="preserve"> would</w:t>
            </w:r>
            <w:r w:rsidRPr="00220D12">
              <w:rPr>
                <w:rFonts w:ascii="Arial" w:eastAsia="Arial" w:hAnsi="Arial" w:cs="Arial"/>
              </w:rPr>
              <w:t xml:space="preserve"> require a variation to a </w:t>
            </w:r>
            <w:r w:rsidR="00F603AA">
              <w:rPr>
                <w:rFonts w:ascii="Arial" w:eastAsia="Arial" w:hAnsi="Arial" w:cs="Arial"/>
              </w:rPr>
              <w:t>licensee’s distribution area</w:t>
            </w:r>
            <w:r w:rsidRPr="00220D12">
              <w:rPr>
                <w:rFonts w:ascii="Arial" w:eastAsia="Arial" w:hAnsi="Arial" w:cs="Arial"/>
              </w:rPr>
              <w:t>.</w:t>
            </w:r>
            <w:bookmarkEnd w:id="5"/>
            <w:r w:rsidR="000D5568" w:rsidRPr="00220D12">
              <w:rPr>
                <w:rFonts w:ascii="Arial" w:eastAsia="Arial" w:hAnsi="Arial" w:cs="Arial"/>
              </w:rPr>
              <w:t xml:space="preserve"> </w:t>
            </w:r>
          </w:p>
        </w:tc>
      </w:tr>
      <w:tr w:rsidR="00967FBC" w:rsidRPr="00C22BF0" w14:paraId="749DDF0D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7659C57B" w14:textId="79B82FB0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7. Dispute Resolution</w:t>
            </w:r>
          </w:p>
        </w:tc>
        <w:tc>
          <w:tcPr>
            <w:tcW w:w="11255" w:type="dxa"/>
          </w:tcPr>
          <w:p w14:paraId="4F4A68A8" w14:textId="64F7D6EC" w:rsidR="00967FBC" w:rsidRPr="00C22BF0" w:rsidRDefault="00967FBC" w:rsidP="00BD5F4C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720A46">
              <w:rPr>
                <w:rFonts w:ascii="Arial" w:eastAsia="Arial" w:hAnsi="Arial" w:cs="Arial"/>
              </w:rPr>
              <w:t xml:space="preserve">This </w:t>
            </w:r>
            <w:r>
              <w:rPr>
                <w:rFonts w:ascii="Arial" w:eastAsia="Arial" w:hAnsi="Arial" w:cs="Arial"/>
              </w:rPr>
              <w:t>clause</w:t>
            </w:r>
            <w:r w:rsidRPr="00720A46">
              <w:rPr>
                <w:rFonts w:ascii="Arial" w:eastAsia="Arial" w:hAnsi="Arial" w:cs="Arial"/>
              </w:rPr>
              <w:t xml:space="preserve"> requires distributors to submit to the commission and implement a scheme for the fair, reasonable and effective </w:t>
            </w:r>
            <w:proofErr w:type="gramStart"/>
            <w:r w:rsidRPr="00720A46">
              <w:rPr>
                <w:rFonts w:ascii="Arial" w:eastAsia="Arial" w:hAnsi="Arial" w:cs="Arial"/>
              </w:rPr>
              <w:t>investigation</w:t>
            </w:r>
            <w:proofErr w:type="gramEnd"/>
            <w:r w:rsidRPr="00720A46">
              <w:rPr>
                <w:rFonts w:ascii="Arial" w:eastAsia="Arial" w:hAnsi="Arial" w:cs="Arial"/>
              </w:rPr>
              <w:t xml:space="preserve"> and resolution of disputes</w:t>
            </w:r>
            <w:r>
              <w:rPr>
                <w:rFonts w:ascii="Arial" w:eastAsia="Arial" w:hAnsi="Arial" w:cs="Arial"/>
              </w:rPr>
              <w:t>. We propose to simplify clauses</w:t>
            </w:r>
            <w:r w:rsidRPr="000D21C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7(a) and 7(b) and refer to the provisions of section 36 of the Gas Industry Act. These conditions are addressed in </w:t>
            </w:r>
            <w:r w:rsidR="00452ED5">
              <w:rPr>
                <w:rFonts w:ascii="Arial" w:eastAsia="Arial" w:hAnsi="Arial" w:cs="Arial"/>
              </w:rPr>
              <w:t xml:space="preserve">new </w:t>
            </w:r>
            <w:r>
              <w:rPr>
                <w:rFonts w:ascii="Arial" w:eastAsia="Arial" w:hAnsi="Arial" w:cs="Arial"/>
              </w:rPr>
              <w:t>clause 13.</w:t>
            </w:r>
            <w:r w:rsidR="00BD5F4C">
              <w:rPr>
                <w:rFonts w:ascii="Arial" w:eastAsia="Arial" w:hAnsi="Arial" w:cs="Arial"/>
              </w:rPr>
              <w:t xml:space="preserve"> </w:t>
            </w:r>
            <w:r w:rsidRPr="002B612A">
              <w:rPr>
                <w:rFonts w:ascii="Arial" w:eastAsia="Arial" w:hAnsi="Arial" w:cs="Arial"/>
              </w:rPr>
              <w:t xml:space="preserve">We also propose to </w:t>
            </w:r>
            <w:r w:rsidR="007A74DE">
              <w:rPr>
                <w:rFonts w:ascii="Arial" w:eastAsia="Arial" w:hAnsi="Arial" w:cs="Arial"/>
              </w:rPr>
              <w:t>remove</w:t>
            </w:r>
            <w:r w:rsidR="00F603AA">
              <w:rPr>
                <w:rFonts w:ascii="Arial" w:eastAsia="Arial" w:hAnsi="Arial" w:cs="Arial"/>
              </w:rPr>
              <w:t xml:space="preserve"> clause</w:t>
            </w:r>
            <w:r w:rsidRPr="002B612A">
              <w:rPr>
                <w:rFonts w:ascii="Arial" w:eastAsia="Arial" w:hAnsi="Arial" w:cs="Arial"/>
              </w:rPr>
              <w:t xml:space="preserve"> 7(c), which contains specific </w:t>
            </w:r>
            <w:r w:rsidR="008C1CF5">
              <w:rPr>
                <w:rFonts w:ascii="Arial" w:eastAsia="Arial" w:hAnsi="Arial" w:cs="Arial"/>
              </w:rPr>
              <w:t xml:space="preserve">terms and </w:t>
            </w:r>
            <w:r w:rsidRPr="002B612A">
              <w:rPr>
                <w:rFonts w:ascii="Arial" w:eastAsia="Arial" w:hAnsi="Arial" w:cs="Arial"/>
              </w:rPr>
              <w:t>conditions</w:t>
            </w:r>
            <w:r w:rsidR="00BD5F4C">
              <w:rPr>
                <w:rFonts w:ascii="Arial" w:eastAsia="Arial" w:hAnsi="Arial" w:cs="Arial"/>
              </w:rPr>
              <w:t xml:space="preserve"> that an ombudsman scheme implemented by the distributor must contain.</w:t>
            </w:r>
          </w:p>
        </w:tc>
      </w:tr>
      <w:tr w:rsidR="00967FBC" w:rsidRPr="00C22BF0" w14:paraId="2516E97F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6782F6BF" w14:textId="3D7B78E8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Payment of License Fees</w:t>
            </w:r>
          </w:p>
        </w:tc>
        <w:tc>
          <w:tcPr>
            <w:tcW w:w="11255" w:type="dxa"/>
          </w:tcPr>
          <w:p w14:paraId="2640F580" w14:textId="70B2EFEA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propose to retain a simplified version of this</w:t>
            </w:r>
            <w:r w:rsidRPr="00F50841">
              <w:rPr>
                <w:rFonts w:ascii="Arial" w:eastAsia="Arial" w:hAnsi="Arial" w:cs="Arial"/>
              </w:rPr>
              <w:t xml:space="preserve"> clause</w:t>
            </w:r>
            <w:r>
              <w:rPr>
                <w:rFonts w:ascii="Arial" w:eastAsia="Arial" w:hAnsi="Arial" w:cs="Arial"/>
              </w:rPr>
              <w:t xml:space="preserve"> as</w:t>
            </w:r>
            <w:r w:rsidR="00AA7FE7">
              <w:rPr>
                <w:rFonts w:ascii="Arial" w:eastAsia="Arial" w:hAnsi="Arial" w:cs="Arial"/>
              </w:rPr>
              <w:t xml:space="preserve"> new</w:t>
            </w:r>
            <w:r>
              <w:rPr>
                <w:rFonts w:ascii="Arial" w:eastAsia="Arial" w:hAnsi="Arial" w:cs="Arial"/>
              </w:rPr>
              <w:t xml:space="preserve"> clause 8, which states</w:t>
            </w:r>
            <w:r w:rsidR="00F603AA">
              <w:rPr>
                <w:rFonts w:ascii="Arial" w:eastAsia="Arial" w:hAnsi="Arial" w:cs="Arial"/>
              </w:rPr>
              <w:t xml:space="preserve"> that</w:t>
            </w:r>
            <w:r>
              <w:rPr>
                <w:rFonts w:ascii="Arial" w:eastAsia="Arial" w:hAnsi="Arial" w:cs="Arial"/>
              </w:rPr>
              <w:t xml:space="preserve"> </w:t>
            </w:r>
            <w:r w:rsidRPr="001B4208">
              <w:rPr>
                <w:rFonts w:ascii="Arial" w:eastAsia="Arial" w:hAnsi="Arial" w:cs="Arial"/>
              </w:rPr>
              <w:t>the licensee must pay a licence fee and charges as determined by the Minister in accordance with the provisions of section 30 of the Gas Industry Act.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67FBC" w:rsidRPr="00C22BF0" w14:paraId="5BF03C1F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7B08773D" w14:textId="468C6709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 Compliance with Laws</w:t>
            </w:r>
          </w:p>
        </w:tc>
        <w:tc>
          <w:tcPr>
            <w:tcW w:w="11255" w:type="dxa"/>
          </w:tcPr>
          <w:p w14:paraId="0ED351A7" w14:textId="51EBF6DB" w:rsidR="00967FBC" w:rsidRPr="00C22BF0" w:rsidRDefault="00452ED5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</w:t>
            </w:r>
            <w:r w:rsidR="00967FBC" w:rsidRPr="00F44819">
              <w:rPr>
                <w:rFonts w:ascii="Arial" w:eastAsia="Arial" w:hAnsi="Arial" w:cs="Arial"/>
              </w:rPr>
              <w:t xml:space="preserve"> propose to remove this clause, noting the retention of the obligation to comply with</w:t>
            </w:r>
            <w:r w:rsidR="00967FBC">
              <w:rPr>
                <w:rFonts w:ascii="Arial" w:eastAsia="Arial" w:hAnsi="Arial" w:cs="Arial"/>
              </w:rPr>
              <w:t xml:space="preserve"> relevant</w:t>
            </w:r>
            <w:r w:rsidR="00967FBC" w:rsidRPr="00F44819">
              <w:rPr>
                <w:rFonts w:ascii="Arial" w:eastAsia="Arial" w:hAnsi="Arial" w:cs="Arial"/>
              </w:rPr>
              <w:t xml:space="preserve"> instruments</w:t>
            </w:r>
            <w:r>
              <w:rPr>
                <w:rFonts w:ascii="Arial" w:eastAsia="Arial" w:hAnsi="Arial" w:cs="Arial"/>
              </w:rPr>
              <w:t xml:space="preserve"> </w:t>
            </w:r>
            <w:r w:rsidR="00967FBC">
              <w:rPr>
                <w:rFonts w:ascii="Arial" w:eastAsia="Arial" w:hAnsi="Arial" w:cs="Arial"/>
              </w:rPr>
              <w:t xml:space="preserve">in new </w:t>
            </w:r>
            <w:r w:rsidR="00967FBC" w:rsidRPr="00F44819">
              <w:rPr>
                <w:rFonts w:ascii="Arial" w:eastAsia="Arial" w:hAnsi="Arial" w:cs="Arial"/>
              </w:rPr>
              <w:t>clause 10</w:t>
            </w:r>
            <w:r w:rsidR="00967FBC" w:rsidRPr="00D90770">
              <w:rPr>
                <w:rFonts w:ascii="Arial" w:eastAsia="Arial" w:hAnsi="Arial" w:cs="Arial"/>
              </w:rPr>
              <w:t>.</w:t>
            </w:r>
          </w:p>
        </w:tc>
      </w:tr>
      <w:tr w:rsidR="00967FBC" w:rsidRPr="00C22BF0" w14:paraId="5B69A019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2A3F63E7" w14:textId="6D50DE00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10. Operational and Compliance Audits</w:t>
            </w:r>
          </w:p>
        </w:tc>
        <w:tc>
          <w:tcPr>
            <w:tcW w:w="11255" w:type="dxa"/>
          </w:tcPr>
          <w:p w14:paraId="5CE86B4F" w14:textId="2D3BE53F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This clause requires </w:t>
            </w:r>
            <w:r w:rsidR="00AA7FE7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icensees to</w:t>
            </w:r>
            <w:r w:rsidRPr="00B26971">
              <w:rPr>
                <w:rFonts w:ascii="Arial" w:eastAsia="Arial" w:hAnsi="Arial" w:cs="Arial"/>
              </w:rPr>
              <w:t xml:space="preserve"> undertake independent compliance audits as requested by the </w:t>
            </w:r>
            <w:r w:rsidR="00FA5B85">
              <w:rPr>
                <w:rFonts w:ascii="Arial" w:eastAsia="Arial" w:hAnsi="Arial" w:cs="Arial"/>
              </w:rPr>
              <w:t>c</w:t>
            </w:r>
            <w:r w:rsidRPr="00B26971">
              <w:rPr>
                <w:rFonts w:ascii="Arial" w:eastAsia="Arial" w:hAnsi="Arial" w:cs="Arial"/>
              </w:rPr>
              <w:t xml:space="preserve">ommission. </w:t>
            </w:r>
            <w:r w:rsidR="00AA7FE7">
              <w:rPr>
                <w:rFonts w:ascii="Arial" w:eastAsia="Arial" w:hAnsi="Arial" w:cs="Arial"/>
              </w:rPr>
              <w:t>We propose to remove this clause</w:t>
            </w:r>
            <w:r w:rsidRPr="00B26971">
              <w:rPr>
                <w:rFonts w:ascii="Arial" w:eastAsia="Arial" w:hAnsi="Arial" w:cs="Arial"/>
              </w:rPr>
              <w:t xml:space="preserve"> on the basis that independent reviews (including operational and compliance audits)</w:t>
            </w:r>
            <w:r>
              <w:rPr>
                <w:rFonts w:ascii="Arial" w:eastAsia="Arial" w:hAnsi="Arial" w:cs="Arial"/>
              </w:rPr>
              <w:t xml:space="preserve"> </w:t>
            </w:r>
            <w:r w:rsidR="00153355">
              <w:rPr>
                <w:rFonts w:ascii="Arial" w:eastAsia="Arial" w:hAnsi="Arial" w:cs="Arial"/>
              </w:rPr>
              <w:t>are proposed to</w:t>
            </w:r>
            <w:r w:rsidRPr="00B26971">
              <w:rPr>
                <w:rFonts w:ascii="Arial" w:eastAsia="Arial" w:hAnsi="Arial" w:cs="Arial"/>
              </w:rPr>
              <w:t xml:space="preserve"> be addressed in the</w:t>
            </w:r>
            <w:r>
              <w:rPr>
                <w:rFonts w:ascii="Arial" w:eastAsia="Arial" w:hAnsi="Arial" w:cs="Arial"/>
              </w:rPr>
              <w:t xml:space="preserve"> new</w:t>
            </w:r>
            <w:r w:rsidRPr="00B2697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Gas</w:t>
            </w:r>
            <w:r w:rsidRPr="00B26971">
              <w:rPr>
                <w:rFonts w:ascii="Arial" w:eastAsia="Arial" w:hAnsi="Arial" w:cs="Arial"/>
              </w:rPr>
              <w:t xml:space="preserve"> Distribution Code of Practice.</w:t>
            </w:r>
          </w:p>
        </w:tc>
      </w:tr>
      <w:tr w:rsidR="00967FBC" w:rsidRPr="00C22BF0" w14:paraId="37001642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7E2FB638" w14:textId="18E77122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11.1 Definitions</w:t>
            </w:r>
          </w:p>
        </w:tc>
        <w:tc>
          <w:tcPr>
            <w:tcW w:w="11255" w:type="dxa"/>
          </w:tcPr>
          <w:p w14:paraId="076E8C11" w14:textId="6A3171D8" w:rsidR="00967FBC" w:rsidRPr="00C22BF0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B26971">
              <w:rPr>
                <w:rFonts w:ascii="Arial" w:eastAsia="Arial" w:hAnsi="Arial" w:cs="Arial"/>
              </w:rPr>
              <w:t>We propose to make consequential changes to defined terms.</w:t>
            </w:r>
            <w:r>
              <w:t xml:space="preserve"> </w:t>
            </w:r>
            <w:r w:rsidRPr="00F17F3C">
              <w:rPr>
                <w:rFonts w:ascii="Arial" w:eastAsia="Arial" w:hAnsi="Arial" w:cs="Arial"/>
              </w:rPr>
              <w:t xml:space="preserve">Defined terms </w:t>
            </w:r>
            <w:r>
              <w:rPr>
                <w:rFonts w:ascii="Arial" w:eastAsia="Arial" w:hAnsi="Arial" w:cs="Arial"/>
              </w:rPr>
              <w:t xml:space="preserve">are </w:t>
            </w:r>
            <w:r w:rsidRPr="00F17F3C">
              <w:rPr>
                <w:rFonts w:ascii="Arial" w:eastAsia="Arial" w:hAnsi="Arial" w:cs="Arial"/>
              </w:rPr>
              <w:t xml:space="preserve">found in </w:t>
            </w:r>
            <w:r w:rsidR="000B3B94">
              <w:rPr>
                <w:rFonts w:ascii="Arial" w:eastAsia="Arial" w:hAnsi="Arial" w:cs="Arial"/>
              </w:rPr>
              <w:t xml:space="preserve">new </w:t>
            </w:r>
            <w:r>
              <w:rPr>
                <w:rFonts w:ascii="Arial" w:eastAsia="Arial" w:hAnsi="Arial" w:cs="Arial"/>
              </w:rPr>
              <w:t>clause</w:t>
            </w:r>
            <w:r w:rsidRPr="00F17F3C">
              <w:rPr>
                <w:rFonts w:ascii="Arial" w:eastAsia="Arial" w:hAnsi="Arial" w:cs="Arial"/>
              </w:rPr>
              <w:t xml:space="preserve"> </w:t>
            </w:r>
            <w:r w:rsidR="00153355">
              <w:rPr>
                <w:rFonts w:ascii="Arial" w:eastAsia="Arial" w:hAnsi="Arial" w:cs="Arial"/>
              </w:rPr>
              <w:t xml:space="preserve">1.1 </w:t>
            </w:r>
            <w:r w:rsidR="00153355" w:rsidRPr="00F17F3C">
              <w:rPr>
                <w:rFonts w:ascii="Arial" w:eastAsia="Arial" w:hAnsi="Arial" w:cs="Arial"/>
              </w:rPr>
              <w:t>of</w:t>
            </w:r>
            <w:r w:rsidR="00AE6E87" w:rsidRPr="00F17F3C">
              <w:rPr>
                <w:rFonts w:ascii="Arial" w:eastAsia="Arial" w:hAnsi="Arial" w:cs="Arial"/>
              </w:rPr>
              <w:t xml:space="preserve"> the</w:t>
            </w:r>
            <w:r w:rsidR="00AE6E87">
              <w:rPr>
                <w:rFonts w:ascii="Arial" w:eastAsia="Arial" w:hAnsi="Arial" w:cs="Arial"/>
              </w:rPr>
              <w:t xml:space="preserve"> proposed template</w:t>
            </w:r>
            <w:r w:rsidR="00AE6E87" w:rsidRPr="00F17F3C">
              <w:rPr>
                <w:rFonts w:ascii="Arial" w:eastAsia="Arial" w:hAnsi="Arial" w:cs="Arial"/>
              </w:rPr>
              <w:t xml:space="preserve"> licence</w:t>
            </w:r>
            <w:r w:rsidRPr="00F17F3C">
              <w:rPr>
                <w:rFonts w:ascii="Arial" w:eastAsia="Arial" w:hAnsi="Arial" w:cs="Arial"/>
              </w:rPr>
              <w:t>.</w:t>
            </w:r>
          </w:p>
        </w:tc>
      </w:tr>
      <w:tr w:rsidR="00967FBC" w:rsidRPr="00C22BF0" w14:paraId="2FF6AF44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1962B0A7" w14:textId="3AE87DF6" w:rsidR="00967FBC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11.2 Interpretations</w:t>
            </w:r>
          </w:p>
        </w:tc>
        <w:tc>
          <w:tcPr>
            <w:tcW w:w="11255" w:type="dxa"/>
          </w:tcPr>
          <w:p w14:paraId="7A1FC5DD" w14:textId="03A2AD95" w:rsidR="00967FBC" w:rsidRPr="00B26971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B26971">
              <w:rPr>
                <w:rFonts w:ascii="Arial" w:eastAsia="Arial" w:hAnsi="Arial" w:cs="Arial"/>
              </w:rPr>
              <w:t xml:space="preserve">We propose to make consequential changes to </w:t>
            </w:r>
            <w:r>
              <w:rPr>
                <w:rFonts w:ascii="Arial" w:eastAsia="Arial" w:hAnsi="Arial" w:cs="Arial"/>
              </w:rPr>
              <w:t>the interpretation of</w:t>
            </w:r>
            <w:r w:rsidRPr="00B26971">
              <w:rPr>
                <w:rFonts w:ascii="Arial" w:eastAsia="Arial" w:hAnsi="Arial" w:cs="Arial"/>
              </w:rPr>
              <w:t xml:space="preserve"> </w:t>
            </w:r>
            <w:r w:rsidR="00D2144E">
              <w:rPr>
                <w:rFonts w:ascii="Arial" w:eastAsia="Arial" w:hAnsi="Arial" w:cs="Arial"/>
              </w:rPr>
              <w:t>terms</w:t>
            </w:r>
            <w:r w:rsidR="00AE6E87">
              <w:rPr>
                <w:rFonts w:ascii="Arial" w:eastAsia="Arial" w:hAnsi="Arial" w:cs="Arial"/>
              </w:rPr>
              <w:t>.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Interpretation is</w:t>
            </w:r>
            <w:r w:rsidRPr="00F17F3C">
              <w:rPr>
                <w:rFonts w:ascii="Arial" w:eastAsia="Arial" w:hAnsi="Arial" w:cs="Arial"/>
              </w:rPr>
              <w:t xml:space="preserve"> found in </w:t>
            </w:r>
            <w:r w:rsidR="000B3B94">
              <w:rPr>
                <w:rFonts w:ascii="Arial" w:eastAsia="Arial" w:hAnsi="Arial" w:cs="Arial"/>
              </w:rPr>
              <w:t xml:space="preserve">new </w:t>
            </w:r>
            <w:r>
              <w:rPr>
                <w:rFonts w:ascii="Arial" w:eastAsia="Arial" w:hAnsi="Arial" w:cs="Arial"/>
              </w:rPr>
              <w:t>clause 1.2</w:t>
            </w:r>
            <w:r w:rsidRPr="00F17F3C">
              <w:rPr>
                <w:rFonts w:ascii="Arial" w:eastAsia="Arial" w:hAnsi="Arial" w:cs="Arial"/>
              </w:rPr>
              <w:t xml:space="preserve"> of the</w:t>
            </w:r>
            <w:r w:rsidR="00D2144E">
              <w:rPr>
                <w:rFonts w:ascii="Arial" w:eastAsia="Arial" w:hAnsi="Arial" w:cs="Arial"/>
              </w:rPr>
              <w:t xml:space="preserve"> proposed template</w:t>
            </w:r>
            <w:r w:rsidRPr="00F17F3C">
              <w:rPr>
                <w:rFonts w:ascii="Arial" w:eastAsia="Arial" w:hAnsi="Arial" w:cs="Arial"/>
              </w:rPr>
              <w:t xml:space="preserve"> licence.</w:t>
            </w:r>
          </w:p>
        </w:tc>
      </w:tr>
      <w:tr w:rsidR="00967FBC" w:rsidRPr="00C22BF0" w14:paraId="753A606E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25AE8079" w14:textId="77777777" w:rsidR="00967FBC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Notices</w:t>
            </w:r>
          </w:p>
        </w:tc>
        <w:tc>
          <w:tcPr>
            <w:tcW w:w="11255" w:type="dxa"/>
          </w:tcPr>
          <w:p w14:paraId="32836159" w14:textId="356E880D" w:rsidR="005E207C" w:rsidRDefault="00967FBC" w:rsidP="003650CD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ED127C">
              <w:rPr>
                <w:rFonts w:ascii="Arial" w:eastAsia="Arial" w:hAnsi="Arial" w:cs="Arial"/>
              </w:rPr>
              <w:t>We propose to introduce a</w:t>
            </w:r>
            <w:r>
              <w:rPr>
                <w:rFonts w:ascii="Arial" w:eastAsia="Arial" w:hAnsi="Arial" w:cs="Arial"/>
              </w:rPr>
              <w:t xml:space="preserve"> new</w:t>
            </w:r>
            <w:r w:rsidRPr="00ED127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clause</w:t>
            </w:r>
            <w:r w:rsidRPr="00ED127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2 </w:t>
            </w:r>
            <w:r w:rsidRPr="00ED127C">
              <w:rPr>
                <w:rFonts w:ascii="Arial" w:eastAsia="Arial" w:hAnsi="Arial" w:cs="Arial"/>
              </w:rPr>
              <w:t>on notices</w:t>
            </w:r>
            <w:r>
              <w:rPr>
                <w:rFonts w:ascii="Arial" w:eastAsia="Arial" w:hAnsi="Arial" w:cs="Arial"/>
              </w:rPr>
              <w:t xml:space="preserve">, </w:t>
            </w:r>
            <w:proofErr w:type="gramStart"/>
            <w:r w:rsidR="00AE6E87">
              <w:rPr>
                <w:rFonts w:ascii="Arial" w:eastAsia="Arial" w:hAnsi="Arial" w:cs="Arial"/>
              </w:rPr>
              <w:t>similar to</w:t>
            </w:r>
            <w:proofErr w:type="gramEnd"/>
            <w:r w:rsidRPr="00ED127C">
              <w:rPr>
                <w:rFonts w:ascii="Arial" w:eastAsia="Arial" w:hAnsi="Arial" w:cs="Arial"/>
              </w:rPr>
              <w:t xml:space="preserve"> clause 2 in electricity distribution licences</w:t>
            </w:r>
            <w:r w:rsidR="003650CD">
              <w:rPr>
                <w:rFonts w:ascii="Arial" w:eastAsia="Arial" w:hAnsi="Arial" w:cs="Arial"/>
              </w:rPr>
              <w:t xml:space="preserve"> and to clauses on notices in </w:t>
            </w:r>
            <w:r w:rsidR="005E207C">
              <w:rPr>
                <w:rFonts w:ascii="Arial" w:eastAsia="Arial" w:hAnsi="Arial" w:cs="Arial"/>
              </w:rPr>
              <w:t xml:space="preserve">energy retail licences. We propose </w:t>
            </w:r>
            <w:r w:rsidR="00A16C59">
              <w:rPr>
                <w:rFonts w:ascii="Arial" w:eastAsia="Arial" w:hAnsi="Arial" w:cs="Arial"/>
              </w:rPr>
              <w:t xml:space="preserve">minor updates to this clause, as drafted in other commission licences, </w:t>
            </w:r>
            <w:r w:rsidR="005E207C">
              <w:rPr>
                <w:rFonts w:ascii="Arial" w:eastAsia="Arial" w:hAnsi="Arial" w:cs="Arial"/>
              </w:rPr>
              <w:t xml:space="preserve">to add a notification requirement for when the licensee’s </w:t>
            </w:r>
            <w:r w:rsidR="00546B93">
              <w:rPr>
                <w:rFonts w:ascii="Arial" w:eastAsia="Arial" w:hAnsi="Arial" w:cs="Arial"/>
              </w:rPr>
              <w:t xml:space="preserve">physical or email address </w:t>
            </w:r>
            <w:r w:rsidR="005E207C">
              <w:rPr>
                <w:rFonts w:ascii="Arial" w:eastAsia="Arial" w:hAnsi="Arial" w:cs="Arial"/>
              </w:rPr>
              <w:t>changes.</w:t>
            </w:r>
          </w:p>
        </w:tc>
      </w:tr>
      <w:tr w:rsidR="00AF2DF4" w:rsidRPr="00C22BF0" w14:paraId="7DD4D1DB" w14:textId="77777777" w:rsidTr="00F4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04" w:type="dxa"/>
          </w:tcPr>
          <w:p w14:paraId="776C6E21" w14:textId="23FB34CD" w:rsidR="00AF2DF4" w:rsidRDefault="00AF2DF4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Transfer</w:t>
            </w:r>
          </w:p>
        </w:tc>
        <w:tc>
          <w:tcPr>
            <w:tcW w:w="11255" w:type="dxa"/>
          </w:tcPr>
          <w:p w14:paraId="15C9E7F8" w14:textId="586D736A" w:rsidR="00AF2DF4" w:rsidRPr="00ED127C" w:rsidRDefault="00AF2DF4" w:rsidP="00AF2DF4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propose adding new clause </w:t>
            </w:r>
            <w:r w:rsidRPr="00EC4D9E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to </w:t>
            </w:r>
            <w:r w:rsidRPr="00EC4D9E">
              <w:rPr>
                <w:rFonts w:ascii="Arial" w:eastAsia="Arial" w:hAnsi="Arial" w:cs="Arial"/>
              </w:rPr>
              <w:t>address transfer</w:t>
            </w:r>
            <w:r>
              <w:rPr>
                <w:rFonts w:ascii="Arial" w:eastAsia="Arial" w:hAnsi="Arial" w:cs="Arial"/>
              </w:rPr>
              <w:t xml:space="preserve"> of licenses in accordance with section 40 of the </w:t>
            </w:r>
            <w:r w:rsidR="003E2897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as Industry Act.</w:t>
            </w:r>
          </w:p>
        </w:tc>
      </w:tr>
      <w:tr w:rsidR="00967FBC" w:rsidRPr="00C22BF0" w14:paraId="20327AFE" w14:textId="77777777" w:rsidTr="00F4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04" w:type="dxa"/>
          </w:tcPr>
          <w:p w14:paraId="5B9258A4" w14:textId="77777777" w:rsidR="00967FBC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 of control</w:t>
            </w:r>
          </w:p>
        </w:tc>
        <w:tc>
          <w:tcPr>
            <w:tcW w:w="11255" w:type="dxa"/>
          </w:tcPr>
          <w:p w14:paraId="185F6F03" w14:textId="6DFA3646" w:rsidR="00967FBC" w:rsidRDefault="00967FBC" w:rsidP="00F41AB7">
            <w:pPr>
              <w:spacing w:before="160" w:line="336" w:lineRule="auto"/>
              <w:rPr>
                <w:rFonts w:ascii="Arial" w:eastAsia="Arial" w:hAnsi="Arial" w:cs="Arial"/>
              </w:rPr>
            </w:pPr>
            <w:r w:rsidRPr="00A65DB4">
              <w:rPr>
                <w:rFonts w:ascii="Arial" w:eastAsia="Arial" w:hAnsi="Arial" w:cs="Arial"/>
              </w:rPr>
              <w:t xml:space="preserve">We propose to introduce a </w:t>
            </w:r>
            <w:r>
              <w:rPr>
                <w:rFonts w:ascii="Arial" w:eastAsia="Arial" w:hAnsi="Arial" w:cs="Arial"/>
              </w:rPr>
              <w:t>new clause</w:t>
            </w:r>
            <w:r w:rsidRPr="00A65DB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9 </w:t>
            </w:r>
            <w:r w:rsidRPr="00A65DB4">
              <w:rPr>
                <w:rFonts w:ascii="Arial" w:eastAsia="Arial" w:hAnsi="Arial" w:cs="Arial"/>
              </w:rPr>
              <w:t>on ‘change of control’</w:t>
            </w:r>
            <w:r>
              <w:rPr>
                <w:rFonts w:ascii="Arial" w:eastAsia="Arial" w:hAnsi="Arial" w:cs="Arial"/>
              </w:rPr>
              <w:t xml:space="preserve">, </w:t>
            </w:r>
            <w:proofErr w:type="gramStart"/>
            <w:r w:rsidR="00434E73">
              <w:rPr>
                <w:rFonts w:ascii="Arial" w:eastAsia="Arial" w:hAnsi="Arial" w:cs="Arial"/>
              </w:rPr>
              <w:t>similar to</w:t>
            </w:r>
            <w:proofErr w:type="gramEnd"/>
            <w:r w:rsidRPr="00A65DB4">
              <w:rPr>
                <w:rFonts w:ascii="Arial" w:eastAsia="Arial" w:hAnsi="Arial" w:cs="Arial"/>
              </w:rPr>
              <w:t xml:space="preserve"> clause 9 in electricity distribution licences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</w:tr>
    </w:tbl>
    <w:p w14:paraId="4BA51EE4" w14:textId="77777777" w:rsidR="00967FBC" w:rsidRDefault="00967FBC" w:rsidP="00967FBC"/>
    <w:p w14:paraId="189EE8A6" w14:textId="77777777" w:rsidR="00967FBC" w:rsidRDefault="00967FBC" w:rsidP="00967FBC"/>
    <w:bookmarkEnd w:id="3"/>
    <w:p w14:paraId="0B60216F" w14:textId="2F4F85A1" w:rsidR="00F30797" w:rsidRPr="00DE129D" w:rsidRDefault="00F30797" w:rsidP="00CD7B09"/>
    <w:sectPr w:rsidR="00F30797" w:rsidRPr="00DE129D" w:rsidSect="00967F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24C0" w14:textId="77777777" w:rsidR="005A2B0D" w:rsidRDefault="005A2B0D" w:rsidP="00AE03FA">
      <w:pPr>
        <w:spacing w:after="0"/>
      </w:pPr>
      <w:r>
        <w:separator/>
      </w:r>
    </w:p>
    <w:p w14:paraId="251BA222" w14:textId="77777777" w:rsidR="005A2B0D" w:rsidRDefault="005A2B0D"/>
  </w:endnote>
  <w:endnote w:type="continuationSeparator" w:id="0">
    <w:p w14:paraId="7EBDA8E8" w14:textId="77777777" w:rsidR="005A2B0D" w:rsidRDefault="005A2B0D" w:rsidP="00AE03FA">
      <w:pPr>
        <w:spacing w:after="0"/>
      </w:pPr>
      <w:r>
        <w:continuationSeparator/>
      </w:r>
    </w:p>
    <w:p w14:paraId="4D05B64E" w14:textId="77777777" w:rsidR="005A2B0D" w:rsidRDefault="005A2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718B" w14:textId="77777777" w:rsidR="00D47C55" w:rsidRDefault="00D47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DE129D" w14:paraId="47100F2B" w14:textId="77777777" w:rsidTr="0004541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B235F68" w14:textId="77777777" w:rsidR="00DE129D" w:rsidRPr="009E15D6" w:rsidRDefault="00DE129D" w:rsidP="0004541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E22BE29" w14:textId="595CD032" w:rsidR="00F06B55" w:rsidRPr="00DE129D" w:rsidRDefault="00DE129D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D0ADC">
          <w:rPr>
            <w:b/>
          </w:rPr>
          <w:t xml:space="preserve">Annex </w:t>
        </w:r>
        <w:r w:rsidR="00D47C55">
          <w:rPr>
            <w:b/>
          </w:rPr>
          <w:t>C</w:t>
        </w:r>
        <w:r w:rsidR="00ED0ADC">
          <w:rPr>
            <w:b/>
          </w:rPr>
          <w:t xml:space="preserve"> – Proposed variations to gas distribution licences (standard licence conditions)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B7573" w14:paraId="7FFFE4B1" w14:textId="77777777" w:rsidTr="00A76C8D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48FE98E" w14:textId="77777777" w:rsidR="006B7573" w:rsidRPr="009E15D6" w:rsidRDefault="006B7573" w:rsidP="00A76C8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6F56106" w14:textId="2796F781" w:rsidR="000E4F95" w:rsidRPr="006B7573" w:rsidRDefault="006B7573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74522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47C55">
          <w:rPr>
            <w:b/>
          </w:rPr>
          <w:t>Annex C – Proposed variations to gas distribution licences (standard licence conditions)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DCCF" w14:textId="77777777" w:rsidR="005A2B0D" w:rsidRPr="00CF33F6" w:rsidRDefault="005A2B0D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1FFC6FF" w14:textId="77777777" w:rsidR="005A2B0D" w:rsidRDefault="005A2B0D" w:rsidP="00CF33F6">
      <w:pPr>
        <w:pStyle w:val="NoSpacing"/>
      </w:pPr>
    </w:p>
  </w:footnote>
  <w:footnote w:type="continuationSeparator" w:id="0">
    <w:p w14:paraId="2C2D03A2" w14:textId="77777777" w:rsidR="005A2B0D" w:rsidRDefault="005A2B0D" w:rsidP="00AE03FA">
      <w:pPr>
        <w:spacing w:after="0"/>
      </w:pPr>
      <w:r>
        <w:continuationSeparator/>
      </w:r>
    </w:p>
    <w:p w14:paraId="55F12ED9" w14:textId="77777777" w:rsidR="005A2B0D" w:rsidRDefault="005A2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D434" w14:textId="77777777" w:rsidR="00D47C55" w:rsidRDefault="00D47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3176" w14:textId="2228633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8DF7" w14:textId="1DCF54BC" w:rsidR="000E4F95" w:rsidRDefault="000E4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BE5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04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FE7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6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9C8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841FDB"/>
    <w:multiLevelType w:val="hybridMultilevel"/>
    <w:tmpl w:val="A6E4F854"/>
    <w:lvl w:ilvl="0" w:tplc="78B8CE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8822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D04E0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0C2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962F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278B2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7FED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38EAB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0C2C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3AA454D7"/>
    <w:multiLevelType w:val="multilevel"/>
    <w:tmpl w:val="6D9A2BC2"/>
    <w:numStyleLink w:val="NumberedHeadings"/>
  </w:abstractNum>
  <w:abstractNum w:abstractNumId="22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8B0109"/>
    <w:multiLevelType w:val="multilevel"/>
    <w:tmpl w:val="3D66CBA2"/>
    <w:numStyleLink w:val="CustomNumberlist"/>
  </w:abstractNum>
  <w:abstractNum w:abstractNumId="25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05317"/>
    <w:multiLevelType w:val="multilevel"/>
    <w:tmpl w:val="3D66CBA2"/>
    <w:numStyleLink w:val="CustomNumberlist"/>
  </w:abstractNum>
  <w:abstractNum w:abstractNumId="28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7036">
    <w:abstractNumId w:val="9"/>
  </w:num>
  <w:num w:numId="2" w16cid:durableId="185098894">
    <w:abstractNumId w:val="7"/>
  </w:num>
  <w:num w:numId="3" w16cid:durableId="916400596">
    <w:abstractNumId w:val="6"/>
  </w:num>
  <w:num w:numId="4" w16cid:durableId="96028184">
    <w:abstractNumId w:val="5"/>
  </w:num>
  <w:num w:numId="5" w16cid:durableId="866141149">
    <w:abstractNumId w:val="4"/>
  </w:num>
  <w:num w:numId="6" w16cid:durableId="334383286">
    <w:abstractNumId w:val="8"/>
  </w:num>
  <w:num w:numId="7" w16cid:durableId="1807896090">
    <w:abstractNumId w:val="3"/>
  </w:num>
  <w:num w:numId="8" w16cid:durableId="344862113">
    <w:abstractNumId w:val="2"/>
  </w:num>
  <w:num w:numId="9" w16cid:durableId="1508599985">
    <w:abstractNumId w:val="1"/>
  </w:num>
  <w:num w:numId="10" w16cid:durableId="473254279">
    <w:abstractNumId w:val="22"/>
  </w:num>
  <w:num w:numId="11" w16cid:durableId="440537714">
    <w:abstractNumId w:val="16"/>
  </w:num>
  <w:num w:numId="12" w16cid:durableId="396242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1607389">
    <w:abstractNumId w:val="0"/>
  </w:num>
  <w:num w:numId="14" w16cid:durableId="116218319">
    <w:abstractNumId w:val="16"/>
  </w:num>
  <w:num w:numId="15" w16cid:durableId="267205187">
    <w:abstractNumId w:val="17"/>
  </w:num>
  <w:num w:numId="16" w16cid:durableId="1387559346">
    <w:abstractNumId w:val="11"/>
  </w:num>
  <w:num w:numId="17" w16cid:durableId="1600596959">
    <w:abstractNumId w:val="23"/>
  </w:num>
  <w:num w:numId="18" w16cid:durableId="1230727044">
    <w:abstractNumId w:val="23"/>
  </w:num>
  <w:num w:numId="19" w16cid:durableId="782502817">
    <w:abstractNumId w:val="18"/>
  </w:num>
  <w:num w:numId="20" w16cid:durableId="604388645">
    <w:abstractNumId w:val="13"/>
  </w:num>
  <w:num w:numId="21" w16cid:durableId="218251896">
    <w:abstractNumId w:val="25"/>
  </w:num>
  <w:num w:numId="22" w16cid:durableId="1815557545">
    <w:abstractNumId w:val="27"/>
  </w:num>
  <w:num w:numId="23" w16cid:durableId="426733541">
    <w:abstractNumId w:val="12"/>
  </w:num>
  <w:num w:numId="24" w16cid:durableId="2013868488">
    <w:abstractNumId w:val="30"/>
  </w:num>
  <w:num w:numId="25" w16cid:durableId="1935242620">
    <w:abstractNumId w:val="26"/>
  </w:num>
  <w:num w:numId="26" w16cid:durableId="2129857643">
    <w:abstractNumId w:val="28"/>
  </w:num>
  <w:num w:numId="27" w16cid:durableId="2020810337">
    <w:abstractNumId w:val="15"/>
  </w:num>
  <w:num w:numId="28" w16cid:durableId="1464689656">
    <w:abstractNumId w:val="21"/>
  </w:num>
  <w:num w:numId="29" w16cid:durableId="1773429934">
    <w:abstractNumId w:val="19"/>
  </w:num>
  <w:num w:numId="30" w16cid:durableId="1496996772">
    <w:abstractNumId w:val="14"/>
  </w:num>
  <w:num w:numId="31" w16cid:durableId="900485906">
    <w:abstractNumId w:val="24"/>
  </w:num>
  <w:num w:numId="32" w16cid:durableId="1789471662">
    <w:abstractNumId w:val="10"/>
  </w:num>
  <w:num w:numId="33" w16cid:durableId="405956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0629272">
    <w:abstractNumId w:val="29"/>
  </w:num>
  <w:num w:numId="35" w16cid:durableId="1697463009">
    <w:abstractNumId w:val="20"/>
  </w:num>
  <w:num w:numId="36" w16cid:durableId="945045247">
    <w:abstractNumId w:val="9"/>
  </w:num>
  <w:num w:numId="37" w16cid:durableId="11537930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C"/>
    <w:rsid w:val="000046BD"/>
    <w:rsid w:val="00015588"/>
    <w:rsid w:val="00015968"/>
    <w:rsid w:val="00021EAE"/>
    <w:rsid w:val="000337A0"/>
    <w:rsid w:val="00041442"/>
    <w:rsid w:val="000518F3"/>
    <w:rsid w:val="000522BB"/>
    <w:rsid w:val="00052A65"/>
    <w:rsid w:val="00053C0A"/>
    <w:rsid w:val="000566E0"/>
    <w:rsid w:val="00062AE4"/>
    <w:rsid w:val="00067DD9"/>
    <w:rsid w:val="0007561D"/>
    <w:rsid w:val="000856CE"/>
    <w:rsid w:val="000A1292"/>
    <w:rsid w:val="000A5240"/>
    <w:rsid w:val="000A759D"/>
    <w:rsid w:val="000A7FD9"/>
    <w:rsid w:val="000B08F7"/>
    <w:rsid w:val="000B1A62"/>
    <w:rsid w:val="000B3735"/>
    <w:rsid w:val="000B3B94"/>
    <w:rsid w:val="000B6895"/>
    <w:rsid w:val="000C30CA"/>
    <w:rsid w:val="000D4547"/>
    <w:rsid w:val="000D5568"/>
    <w:rsid w:val="000E4F95"/>
    <w:rsid w:val="000F6F0D"/>
    <w:rsid w:val="000F7015"/>
    <w:rsid w:val="00102044"/>
    <w:rsid w:val="00105220"/>
    <w:rsid w:val="00106608"/>
    <w:rsid w:val="0011176C"/>
    <w:rsid w:val="0012459D"/>
    <w:rsid w:val="001310A5"/>
    <w:rsid w:val="00151443"/>
    <w:rsid w:val="00153046"/>
    <w:rsid w:val="00153081"/>
    <w:rsid w:val="00153355"/>
    <w:rsid w:val="00156DC6"/>
    <w:rsid w:val="00160F48"/>
    <w:rsid w:val="00172A7F"/>
    <w:rsid w:val="00184CEF"/>
    <w:rsid w:val="001869B0"/>
    <w:rsid w:val="00187ACF"/>
    <w:rsid w:val="001904F9"/>
    <w:rsid w:val="00190C50"/>
    <w:rsid w:val="00193E6C"/>
    <w:rsid w:val="001A4ACF"/>
    <w:rsid w:val="001B461F"/>
    <w:rsid w:val="001C750A"/>
    <w:rsid w:val="001D07CD"/>
    <w:rsid w:val="001D1648"/>
    <w:rsid w:val="001D4249"/>
    <w:rsid w:val="001D5257"/>
    <w:rsid w:val="001E3CE3"/>
    <w:rsid w:val="001F3724"/>
    <w:rsid w:val="001F3997"/>
    <w:rsid w:val="001F64A3"/>
    <w:rsid w:val="00204C88"/>
    <w:rsid w:val="002056BA"/>
    <w:rsid w:val="00220D12"/>
    <w:rsid w:val="00221CC9"/>
    <w:rsid w:val="0022708E"/>
    <w:rsid w:val="00232581"/>
    <w:rsid w:val="00251145"/>
    <w:rsid w:val="00264072"/>
    <w:rsid w:val="002672B6"/>
    <w:rsid w:val="00271979"/>
    <w:rsid w:val="002750C4"/>
    <w:rsid w:val="00276227"/>
    <w:rsid w:val="00290FCB"/>
    <w:rsid w:val="002966CE"/>
    <w:rsid w:val="002A059D"/>
    <w:rsid w:val="002B612A"/>
    <w:rsid w:val="002C2ADF"/>
    <w:rsid w:val="002C4FB9"/>
    <w:rsid w:val="002C6F9E"/>
    <w:rsid w:val="002D3B02"/>
    <w:rsid w:val="002D4634"/>
    <w:rsid w:val="002D682B"/>
    <w:rsid w:val="002E2733"/>
    <w:rsid w:val="002E48AC"/>
    <w:rsid w:val="002F393A"/>
    <w:rsid w:val="00317C67"/>
    <w:rsid w:val="00324719"/>
    <w:rsid w:val="00344D56"/>
    <w:rsid w:val="003460F3"/>
    <w:rsid w:val="00353663"/>
    <w:rsid w:val="00360763"/>
    <w:rsid w:val="0036234C"/>
    <w:rsid w:val="003623B0"/>
    <w:rsid w:val="003650CD"/>
    <w:rsid w:val="00375CBF"/>
    <w:rsid w:val="00375EFC"/>
    <w:rsid w:val="00376132"/>
    <w:rsid w:val="003771D4"/>
    <w:rsid w:val="003837CC"/>
    <w:rsid w:val="00383D4F"/>
    <w:rsid w:val="003904B9"/>
    <w:rsid w:val="00394187"/>
    <w:rsid w:val="00395CFE"/>
    <w:rsid w:val="003A16E1"/>
    <w:rsid w:val="003A2748"/>
    <w:rsid w:val="003A30F3"/>
    <w:rsid w:val="003A5786"/>
    <w:rsid w:val="003B1227"/>
    <w:rsid w:val="003B5AB1"/>
    <w:rsid w:val="003C39F4"/>
    <w:rsid w:val="003D1F5B"/>
    <w:rsid w:val="003D2CE6"/>
    <w:rsid w:val="003E2897"/>
    <w:rsid w:val="003F0738"/>
    <w:rsid w:val="003F1961"/>
    <w:rsid w:val="003F49A1"/>
    <w:rsid w:val="00403DFF"/>
    <w:rsid w:val="004064CD"/>
    <w:rsid w:val="00414AB9"/>
    <w:rsid w:val="00425E18"/>
    <w:rsid w:val="0043066B"/>
    <w:rsid w:val="004309BF"/>
    <w:rsid w:val="00434B78"/>
    <w:rsid w:val="00434E73"/>
    <w:rsid w:val="004363AF"/>
    <w:rsid w:val="0044062D"/>
    <w:rsid w:val="0045119D"/>
    <w:rsid w:val="00452ED5"/>
    <w:rsid w:val="004558CC"/>
    <w:rsid w:val="004626B0"/>
    <w:rsid w:val="0046312A"/>
    <w:rsid w:val="00474670"/>
    <w:rsid w:val="00475FA1"/>
    <w:rsid w:val="004812DB"/>
    <w:rsid w:val="004844EB"/>
    <w:rsid w:val="00484F2D"/>
    <w:rsid w:val="004855CE"/>
    <w:rsid w:val="00495E2E"/>
    <w:rsid w:val="00496CF9"/>
    <w:rsid w:val="00497127"/>
    <w:rsid w:val="004A3CCB"/>
    <w:rsid w:val="004A5D8E"/>
    <w:rsid w:val="004B0C46"/>
    <w:rsid w:val="004C3271"/>
    <w:rsid w:val="004E0FF2"/>
    <w:rsid w:val="004F553D"/>
    <w:rsid w:val="0050064B"/>
    <w:rsid w:val="005014C6"/>
    <w:rsid w:val="00506D78"/>
    <w:rsid w:val="00510B23"/>
    <w:rsid w:val="00515177"/>
    <w:rsid w:val="0051680A"/>
    <w:rsid w:val="00541F9A"/>
    <w:rsid w:val="00543DCD"/>
    <w:rsid w:val="00545E3C"/>
    <w:rsid w:val="00546B93"/>
    <w:rsid w:val="00551353"/>
    <w:rsid w:val="00557B7A"/>
    <w:rsid w:val="00563AD8"/>
    <w:rsid w:val="00563AE6"/>
    <w:rsid w:val="00564BE8"/>
    <w:rsid w:val="00570E5B"/>
    <w:rsid w:val="00573C8B"/>
    <w:rsid w:val="00581657"/>
    <w:rsid w:val="005833C7"/>
    <w:rsid w:val="005917F8"/>
    <w:rsid w:val="005A1443"/>
    <w:rsid w:val="005A1B22"/>
    <w:rsid w:val="005A1E24"/>
    <w:rsid w:val="005A2B0D"/>
    <w:rsid w:val="005A4687"/>
    <w:rsid w:val="005A59F0"/>
    <w:rsid w:val="005C18D2"/>
    <w:rsid w:val="005C6E04"/>
    <w:rsid w:val="005D7BC5"/>
    <w:rsid w:val="005E207C"/>
    <w:rsid w:val="005E2185"/>
    <w:rsid w:val="005E2A78"/>
    <w:rsid w:val="005E2E03"/>
    <w:rsid w:val="005E5FCE"/>
    <w:rsid w:val="005F2CC4"/>
    <w:rsid w:val="005F3D90"/>
    <w:rsid w:val="005F5578"/>
    <w:rsid w:val="00604A04"/>
    <w:rsid w:val="00615C49"/>
    <w:rsid w:val="0061605C"/>
    <w:rsid w:val="0062619D"/>
    <w:rsid w:val="00631EE5"/>
    <w:rsid w:val="00633068"/>
    <w:rsid w:val="0063494B"/>
    <w:rsid w:val="00651F35"/>
    <w:rsid w:val="00666190"/>
    <w:rsid w:val="006779EC"/>
    <w:rsid w:val="006817B0"/>
    <w:rsid w:val="006823CC"/>
    <w:rsid w:val="006A1708"/>
    <w:rsid w:val="006B54E0"/>
    <w:rsid w:val="006B7160"/>
    <w:rsid w:val="006B7573"/>
    <w:rsid w:val="006C21F1"/>
    <w:rsid w:val="006C4904"/>
    <w:rsid w:val="006C5B9B"/>
    <w:rsid w:val="006D0A5E"/>
    <w:rsid w:val="006D0EBF"/>
    <w:rsid w:val="006D12C6"/>
    <w:rsid w:val="006D4CD9"/>
    <w:rsid w:val="006E6549"/>
    <w:rsid w:val="006E6B2B"/>
    <w:rsid w:val="006F29EA"/>
    <w:rsid w:val="006F2B3A"/>
    <w:rsid w:val="0070101C"/>
    <w:rsid w:val="00703C67"/>
    <w:rsid w:val="00707B2F"/>
    <w:rsid w:val="00707B4C"/>
    <w:rsid w:val="00710792"/>
    <w:rsid w:val="00711BA5"/>
    <w:rsid w:val="007138E7"/>
    <w:rsid w:val="0071799F"/>
    <w:rsid w:val="00717CCA"/>
    <w:rsid w:val="007202C6"/>
    <w:rsid w:val="00723853"/>
    <w:rsid w:val="00724A37"/>
    <w:rsid w:val="00740720"/>
    <w:rsid w:val="00743795"/>
    <w:rsid w:val="00744456"/>
    <w:rsid w:val="00745074"/>
    <w:rsid w:val="00747563"/>
    <w:rsid w:val="00752020"/>
    <w:rsid w:val="00757301"/>
    <w:rsid w:val="007624C4"/>
    <w:rsid w:val="00764333"/>
    <w:rsid w:val="00772EB1"/>
    <w:rsid w:val="00776474"/>
    <w:rsid w:val="00781227"/>
    <w:rsid w:val="007813CE"/>
    <w:rsid w:val="00782E55"/>
    <w:rsid w:val="00784DEB"/>
    <w:rsid w:val="0079055F"/>
    <w:rsid w:val="00792B10"/>
    <w:rsid w:val="00796928"/>
    <w:rsid w:val="007A5734"/>
    <w:rsid w:val="007A66DA"/>
    <w:rsid w:val="007A74DE"/>
    <w:rsid w:val="007B16D5"/>
    <w:rsid w:val="007B28D6"/>
    <w:rsid w:val="007B565F"/>
    <w:rsid w:val="007B6C8C"/>
    <w:rsid w:val="007C7E2D"/>
    <w:rsid w:val="007D41D2"/>
    <w:rsid w:val="007D495A"/>
    <w:rsid w:val="007D4E15"/>
    <w:rsid w:val="007E468E"/>
    <w:rsid w:val="007F22B9"/>
    <w:rsid w:val="008145C7"/>
    <w:rsid w:val="008247FC"/>
    <w:rsid w:val="00846FDD"/>
    <w:rsid w:val="0085490B"/>
    <w:rsid w:val="00856B4B"/>
    <w:rsid w:val="0086153C"/>
    <w:rsid w:val="00864E37"/>
    <w:rsid w:val="00865ECE"/>
    <w:rsid w:val="008774DC"/>
    <w:rsid w:val="00881E07"/>
    <w:rsid w:val="00882783"/>
    <w:rsid w:val="0088727B"/>
    <w:rsid w:val="008A0BAC"/>
    <w:rsid w:val="008A7A8E"/>
    <w:rsid w:val="008B111F"/>
    <w:rsid w:val="008B6874"/>
    <w:rsid w:val="008C0472"/>
    <w:rsid w:val="008C1818"/>
    <w:rsid w:val="008C1CF5"/>
    <w:rsid w:val="008C34A5"/>
    <w:rsid w:val="008D2C44"/>
    <w:rsid w:val="008D5E13"/>
    <w:rsid w:val="008E07E5"/>
    <w:rsid w:val="008E5CAD"/>
    <w:rsid w:val="008E7B02"/>
    <w:rsid w:val="008F7087"/>
    <w:rsid w:val="009058B1"/>
    <w:rsid w:val="00906617"/>
    <w:rsid w:val="00916721"/>
    <w:rsid w:val="009230CE"/>
    <w:rsid w:val="0092673C"/>
    <w:rsid w:val="0093061C"/>
    <w:rsid w:val="00935814"/>
    <w:rsid w:val="00935EDD"/>
    <w:rsid w:val="00943BDE"/>
    <w:rsid w:val="00944D6E"/>
    <w:rsid w:val="00956C69"/>
    <w:rsid w:val="009606E0"/>
    <w:rsid w:val="00967FBC"/>
    <w:rsid w:val="009701CB"/>
    <w:rsid w:val="009726B9"/>
    <w:rsid w:val="00986CF3"/>
    <w:rsid w:val="00987073"/>
    <w:rsid w:val="00994F89"/>
    <w:rsid w:val="009A4DB9"/>
    <w:rsid w:val="009B3ECA"/>
    <w:rsid w:val="009B457D"/>
    <w:rsid w:val="009B583F"/>
    <w:rsid w:val="009C0A6D"/>
    <w:rsid w:val="009C3565"/>
    <w:rsid w:val="009C6D64"/>
    <w:rsid w:val="009D48BB"/>
    <w:rsid w:val="009E15D6"/>
    <w:rsid w:val="009E2C7E"/>
    <w:rsid w:val="009E7714"/>
    <w:rsid w:val="00A0673B"/>
    <w:rsid w:val="00A161F5"/>
    <w:rsid w:val="00A16C59"/>
    <w:rsid w:val="00A27C06"/>
    <w:rsid w:val="00A27D94"/>
    <w:rsid w:val="00A36E4A"/>
    <w:rsid w:val="00A41DD8"/>
    <w:rsid w:val="00A456A8"/>
    <w:rsid w:val="00A565DD"/>
    <w:rsid w:val="00A56793"/>
    <w:rsid w:val="00A56D74"/>
    <w:rsid w:val="00A672AE"/>
    <w:rsid w:val="00A67A25"/>
    <w:rsid w:val="00A72EF5"/>
    <w:rsid w:val="00A93CAF"/>
    <w:rsid w:val="00A95F79"/>
    <w:rsid w:val="00AA5609"/>
    <w:rsid w:val="00AA7FE7"/>
    <w:rsid w:val="00AB2832"/>
    <w:rsid w:val="00AB434F"/>
    <w:rsid w:val="00AC4714"/>
    <w:rsid w:val="00AD0E43"/>
    <w:rsid w:val="00AD29CB"/>
    <w:rsid w:val="00AD2E14"/>
    <w:rsid w:val="00AD35D1"/>
    <w:rsid w:val="00AE03FA"/>
    <w:rsid w:val="00AE0C8F"/>
    <w:rsid w:val="00AE2C4D"/>
    <w:rsid w:val="00AE6789"/>
    <w:rsid w:val="00AE6E87"/>
    <w:rsid w:val="00AF2DF4"/>
    <w:rsid w:val="00AF63AC"/>
    <w:rsid w:val="00B027ED"/>
    <w:rsid w:val="00B04857"/>
    <w:rsid w:val="00B162F9"/>
    <w:rsid w:val="00B35D4E"/>
    <w:rsid w:val="00B37A15"/>
    <w:rsid w:val="00B503C2"/>
    <w:rsid w:val="00B52E6C"/>
    <w:rsid w:val="00B60F39"/>
    <w:rsid w:val="00B6173A"/>
    <w:rsid w:val="00B655D9"/>
    <w:rsid w:val="00B72AB0"/>
    <w:rsid w:val="00BA32F3"/>
    <w:rsid w:val="00BA7C67"/>
    <w:rsid w:val="00BB71E3"/>
    <w:rsid w:val="00BC0E1F"/>
    <w:rsid w:val="00BC1515"/>
    <w:rsid w:val="00BD16AB"/>
    <w:rsid w:val="00BD19DB"/>
    <w:rsid w:val="00BD2444"/>
    <w:rsid w:val="00BD24AA"/>
    <w:rsid w:val="00BD46C0"/>
    <w:rsid w:val="00BD4A6C"/>
    <w:rsid w:val="00BD5F4C"/>
    <w:rsid w:val="00BD6DDE"/>
    <w:rsid w:val="00BD7132"/>
    <w:rsid w:val="00BE7473"/>
    <w:rsid w:val="00BF0EE4"/>
    <w:rsid w:val="00BF62F8"/>
    <w:rsid w:val="00C03B3C"/>
    <w:rsid w:val="00C26ADC"/>
    <w:rsid w:val="00C313B7"/>
    <w:rsid w:val="00C34EF4"/>
    <w:rsid w:val="00C36028"/>
    <w:rsid w:val="00C36E8A"/>
    <w:rsid w:val="00C41F42"/>
    <w:rsid w:val="00C43C6A"/>
    <w:rsid w:val="00C45BF3"/>
    <w:rsid w:val="00C47364"/>
    <w:rsid w:val="00C7251C"/>
    <w:rsid w:val="00C753B8"/>
    <w:rsid w:val="00C80CDA"/>
    <w:rsid w:val="00C845E5"/>
    <w:rsid w:val="00C848F1"/>
    <w:rsid w:val="00C905CA"/>
    <w:rsid w:val="00C9134A"/>
    <w:rsid w:val="00C93747"/>
    <w:rsid w:val="00C977B0"/>
    <w:rsid w:val="00CA6677"/>
    <w:rsid w:val="00CB7FB8"/>
    <w:rsid w:val="00CD7B09"/>
    <w:rsid w:val="00CE1247"/>
    <w:rsid w:val="00CE324D"/>
    <w:rsid w:val="00CF2B15"/>
    <w:rsid w:val="00CF33F6"/>
    <w:rsid w:val="00CF34D6"/>
    <w:rsid w:val="00D02383"/>
    <w:rsid w:val="00D07EE1"/>
    <w:rsid w:val="00D2144E"/>
    <w:rsid w:val="00D23A3D"/>
    <w:rsid w:val="00D30FA8"/>
    <w:rsid w:val="00D3670C"/>
    <w:rsid w:val="00D47C55"/>
    <w:rsid w:val="00D5298E"/>
    <w:rsid w:val="00D5409C"/>
    <w:rsid w:val="00D547A5"/>
    <w:rsid w:val="00DA005C"/>
    <w:rsid w:val="00DB4292"/>
    <w:rsid w:val="00DB79C6"/>
    <w:rsid w:val="00DB7C0D"/>
    <w:rsid w:val="00DC2B59"/>
    <w:rsid w:val="00DC3BE7"/>
    <w:rsid w:val="00DC6404"/>
    <w:rsid w:val="00DC6D67"/>
    <w:rsid w:val="00DD153B"/>
    <w:rsid w:val="00DE129D"/>
    <w:rsid w:val="00E01222"/>
    <w:rsid w:val="00E03B00"/>
    <w:rsid w:val="00E050F4"/>
    <w:rsid w:val="00E34065"/>
    <w:rsid w:val="00E4388E"/>
    <w:rsid w:val="00E5390E"/>
    <w:rsid w:val="00E63E56"/>
    <w:rsid w:val="00E640D1"/>
    <w:rsid w:val="00E65CFD"/>
    <w:rsid w:val="00E736EA"/>
    <w:rsid w:val="00E842A8"/>
    <w:rsid w:val="00E9393A"/>
    <w:rsid w:val="00E96A82"/>
    <w:rsid w:val="00EA23C9"/>
    <w:rsid w:val="00EA47A3"/>
    <w:rsid w:val="00EB6E73"/>
    <w:rsid w:val="00ED0ADC"/>
    <w:rsid w:val="00ED1651"/>
    <w:rsid w:val="00ED43BA"/>
    <w:rsid w:val="00EE3779"/>
    <w:rsid w:val="00EE5935"/>
    <w:rsid w:val="00EE6B5C"/>
    <w:rsid w:val="00EE6EBB"/>
    <w:rsid w:val="00EF274D"/>
    <w:rsid w:val="00F06B55"/>
    <w:rsid w:val="00F17DE1"/>
    <w:rsid w:val="00F274F6"/>
    <w:rsid w:val="00F27CDE"/>
    <w:rsid w:val="00F30797"/>
    <w:rsid w:val="00F35430"/>
    <w:rsid w:val="00F46616"/>
    <w:rsid w:val="00F47094"/>
    <w:rsid w:val="00F4793F"/>
    <w:rsid w:val="00F603AA"/>
    <w:rsid w:val="00F60FF2"/>
    <w:rsid w:val="00F64FBE"/>
    <w:rsid w:val="00F666F0"/>
    <w:rsid w:val="00F7398F"/>
    <w:rsid w:val="00F73E94"/>
    <w:rsid w:val="00F81408"/>
    <w:rsid w:val="00F83935"/>
    <w:rsid w:val="00F90B10"/>
    <w:rsid w:val="00F963FF"/>
    <w:rsid w:val="00FA5B85"/>
    <w:rsid w:val="00FA7F32"/>
    <w:rsid w:val="00FB2CF8"/>
    <w:rsid w:val="00FC5279"/>
    <w:rsid w:val="00FC6E2C"/>
    <w:rsid w:val="00FD120F"/>
    <w:rsid w:val="00FD7A7B"/>
    <w:rsid w:val="00FE077A"/>
    <w:rsid w:val="00FE1915"/>
    <w:rsid w:val="00FF1B66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8217"/>
  <w15:docId w15:val="{8549766B-3F6E-447A-99D9-2EC21B6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BC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52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04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51517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4626B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CF34D6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10204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51517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numPr>
        <w:ilvl w:val="3"/>
        <w:numId w:val="30"/>
      </w:numPr>
      <w:spacing w:before="120" w:after="120" w:line="432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51517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20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510B23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758"/>
    </w:pPr>
  </w:style>
  <w:style w:type="table" w:customStyle="1" w:styleId="TableGrid1">
    <w:name w:val="Table Grid1"/>
    <w:basedOn w:val="TableNormal"/>
    <w:next w:val="TableGrid"/>
    <w:uiPriority w:val="39"/>
    <w:rsid w:val="00967FBC"/>
    <w:pPr>
      <w:spacing w:after="0" w:line="240" w:lineRule="auto"/>
    </w:pPr>
    <w:tblPr>
      <w:tblStyleRowBandSize w:val="1"/>
      <w:tblBorders>
        <w:insideH w:val="single" w:sz="8" w:space="0" w:color="FFFFFF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986A0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E3E3E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7FB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6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967FBC"/>
    <w:rPr>
      <w:sz w:val="20"/>
      <w:szCs w:val="20"/>
      <w:lang w:val="en-AU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67FBC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DF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F2DF4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DB4292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A74DE"/>
    <w:rPr>
      <w:color w:val="605E5C"/>
      <w:shd w:val="clear" w:color="auto" w:fill="E1DFDD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0B3735"/>
    <w:pPr>
      <w:spacing w:before="160" w:line="240" w:lineRule="auto"/>
    </w:pPr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E20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electricity-and-gas/codes-guidelines-and-policies/guideline-5-2022-revocation-electricity-or-gas-licen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8D85C82905B4AB3B16EABB2039E40" ma:contentTypeVersion="3" ma:contentTypeDescription="Create a new document." ma:contentTypeScope="" ma:versionID="364b60021530020618ec4855cb14ba43">
  <xsd:schema xmlns:xsd="http://www.w3.org/2001/XMLSchema" xmlns:xs="http://www.w3.org/2001/XMLSchema" xmlns:p="http://schemas.microsoft.com/office/2006/metadata/properties" xmlns:ns2="78cb739f-ba0b-4c00-b1c7-25b42d6e027d" targetNamespace="http://schemas.microsoft.com/office/2006/metadata/properties" ma:root="true" ma:fieldsID="7510dbad28bc07317f0f4e7e87d0c9cb" ns2:_="">
    <xsd:import namespace="78cb739f-ba0b-4c00-b1c7-25b42d6e0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739f-ba0b-4c00-b1c7-25b42d6e0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8CFE8-0546-4CC7-95E8-E9A920663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b739f-ba0b-4c00-b1c7-25b42d6e0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45AA5-DC88-469C-84B7-2F6FED1C2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D2D273-DC10-4812-942E-8B8991894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3ECCD-6C15-4DA2-8C5D-1E5341581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1099</Words>
  <Characters>5898</Characters>
  <Application>Microsoft Office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variations to gas distribution licences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C – Proposed variations to gas distribution licences (standard licence conditions)</dc:title>
  <dc:subject/>
  <dc:creator>Luis Bogliolo (ESC)</dc:creator>
  <cp:keywords>[SEC=UNOFFICIAL]</cp:keywords>
  <dc:description/>
  <cp:lastModifiedBy>Samraansh Sharma (ESC)</cp:lastModifiedBy>
  <cp:revision>45</cp:revision>
  <cp:lastPrinted>2023-10-29T19:13:00Z</cp:lastPrinted>
  <dcterms:created xsi:type="dcterms:W3CDTF">2023-09-18T22:47:00Z</dcterms:created>
  <dcterms:modified xsi:type="dcterms:W3CDTF">2023-11-14T00:52:00Z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B54CA19B9BB043CCB6B1F2CA80C51D15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4EDBE76A9C21EA6B7387BD6D462FF34BCF7CC711</vt:lpwstr>
  </property>
  <property fmtid="{D5CDD505-2E9C-101B-9397-08002B2CF9AE}" pid="11" name="PM_OriginationTimeStamp">
    <vt:lpwstr>2023-11-14T00:52:51Z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Uuid">
    <vt:lpwstr>888C8D7C-C12E-52A4-9297-370EB0F3096D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A635C4F2DD2A0F88524C2EE47D8BA959</vt:lpwstr>
  </property>
  <property fmtid="{D5CDD505-2E9C-101B-9397-08002B2CF9AE}" pid="23" name="PM_Hash_Salt">
    <vt:lpwstr>9735D6E500EDBD6AB8CF014E94B53E56</vt:lpwstr>
  </property>
  <property fmtid="{D5CDD505-2E9C-101B-9397-08002B2CF9AE}" pid="24" name="PM_Hash_SHA1">
    <vt:lpwstr>5CB2F6C4BA3A7944F0551CDBCE58BC6A00ACBCD6</vt:lpwstr>
  </property>
  <property fmtid="{D5CDD505-2E9C-101B-9397-08002B2CF9AE}" pid="25" name="PM_OriginatorUserAccountName_SHA256">
    <vt:lpwstr>296B571D8E65C4253B6D76C5CDFD6485D5D61D8DEBE241309FAD80DBC74D5779</vt:lpwstr>
  </property>
  <property fmtid="{D5CDD505-2E9C-101B-9397-08002B2CF9AE}" pid="26" name="PM_OriginatorDomainName_SHA256">
    <vt:lpwstr>9E5929A2B0C9364118E50F7972B6A4AA763F815A803675E11226272E392AE99C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0x0101005498D85C82905B4AB3B16EABB2039E40</vt:lpwstr>
  </property>
</Properties>
</file>