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CB07B" w14:textId="5B067A83" w:rsidR="00967FBC" w:rsidRPr="00E050F4" w:rsidRDefault="00D406B2" w:rsidP="00E050F4">
      <w:pPr>
        <w:pStyle w:val="Heading1"/>
      </w:pPr>
      <w:bookmarkStart w:id="1" w:name="_Toc125370283"/>
      <w:r>
        <w:t xml:space="preserve">Annex </w:t>
      </w:r>
      <w:r w:rsidR="00FE6C2F">
        <w:t>B</w:t>
      </w:r>
      <w:r>
        <w:t xml:space="preserve">: </w:t>
      </w:r>
      <w:r w:rsidR="00967FBC" w:rsidRPr="00E050F4">
        <w:t>Proposed variations</w:t>
      </w:r>
      <w:bookmarkEnd w:id="1"/>
      <w:r w:rsidR="00967FBC" w:rsidRPr="00E050F4">
        <w:t xml:space="preserve"> to </w:t>
      </w:r>
      <w:r w:rsidR="00CD1856">
        <w:t>electricity transmission</w:t>
      </w:r>
      <w:r w:rsidR="00967FBC" w:rsidRPr="00E050F4">
        <w:t xml:space="preserve"> licences</w:t>
      </w:r>
    </w:p>
    <w:p w14:paraId="32179DF6" w14:textId="6B5453BD" w:rsidR="00967FBC" w:rsidRDefault="00967FBC" w:rsidP="00C41B49">
      <w:pPr>
        <w:spacing w:line="360" w:lineRule="auto"/>
      </w:pPr>
      <w:r w:rsidRPr="00C938B9">
        <w:t>Table 1</w:t>
      </w:r>
      <w:r w:rsidR="003C73BB">
        <w:t xml:space="preserve"> </w:t>
      </w:r>
      <w:r w:rsidRPr="00C938B9">
        <w:t>below list</w:t>
      </w:r>
      <w:r w:rsidR="00CD1856">
        <w:t>s</w:t>
      </w:r>
      <w:r w:rsidRPr="00C938B9">
        <w:t xml:space="preserve"> current </w:t>
      </w:r>
      <w:r w:rsidR="00CD1856">
        <w:t>electricity transmission</w:t>
      </w:r>
      <w:r w:rsidRPr="00C938B9">
        <w:t xml:space="preserve"> licence conditions and a summary of our initial proposals to update them.</w:t>
      </w:r>
      <w:r w:rsidR="00577CE3">
        <w:rPr>
          <w:rStyle w:val="FootnoteReference"/>
        </w:rPr>
        <w:footnoteReference w:id="2"/>
      </w:r>
      <w:r w:rsidRPr="00C938B9">
        <w:t xml:space="preserve"> Where we indicate our</w:t>
      </w:r>
      <w:r>
        <w:t xml:space="preserve"> </w:t>
      </w:r>
      <w:r w:rsidRPr="00C938B9">
        <w:t xml:space="preserve">intention to retain licence conditions, we </w:t>
      </w:r>
      <w:r w:rsidR="00B8560C">
        <w:t xml:space="preserve">may </w:t>
      </w:r>
      <w:r w:rsidR="002D729F">
        <w:t>propose to</w:t>
      </w:r>
      <w:r w:rsidRPr="00C938B9">
        <w:t xml:space="preserve"> redraft </w:t>
      </w:r>
      <w:r w:rsidR="00562EF6">
        <w:t>or</w:t>
      </w:r>
      <w:r w:rsidRPr="00C938B9">
        <w:t xml:space="preserve"> simplify these provisions without altering the</w:t>
      </w:r>
      <w:r w:rsidR="002D729F">
        <w:t>ir</w:t>
      </w:r>
      <w:r w:rsidRPr="00C938B9">
        <w:t xml:space="preserve"> </w:t>
      </w:r>
      <w:r w:rsidR="00B8560C" w:rsidRPr="00C938B9">
        <w:t>substan</w:t>
      </w:r>
      <w:r w:rsidR="00B8560C">
        <w:t>ce and realign the licence conditions to ensure consistency with other licences issued by the commission</w:t>
      </w:r>
      <w:r w:rsidRPr="00C938B9">
        <w:t xml:space="preserve">. The focus of this review is to update licences conditions so they will be consistent with </w:t>
      </w:r>
      <w:r w:rsidR="00CD1856">
        <w:t xml:space="preserve">our new </w:t>
      </w:r>
      <w:r w:rsidR="004A08CD">
        <w:t>enforcement powers</w:t>
      </w:r>
      <w:r w:rsidRPr="00C938B9">
        <w:t>.</w:t>
      </w:r>
    </w:p>
    <w:p w14:paraId="33B97DD2" w14:textId="5A439D28" w:rsidR="00967FBC" w:rsidRPr="00A65DB4" w:rsidRDefault="00967FBC" w:rsidP="00967FBC">
      <w:pPr>
        <w:pStyle w:val="Figure-Table-BoxHeading"/>
        <w:numPr>
          <w:ilvl w:val="0"/>
          <w:numId w:val="0"/>
        </w:numPr>
        <w:ind w:left="851" w:hanging="851"/>
      </w:pPr>
      <w:r w:rsidRPr="00A65DB4">
        <w:t xml:space="preserve">Table 1. </w:t>
      </w:r>
      <w:bookmarkStart w:id="2" w:name="_Hlk140147738"/>
      <w:r w:rsidRPr="00A65DB4">
        <w:t xml:space="preserve">Proposed variation to </w:t>
      </w:r>
      <w:r w:rsidR="004A08CD">
        <w:t xml:space="preserve">electricity </w:t>
      </w:r>
      <w:r w:rsidR="00C55B95">
        <w:t>transmission</w:t>
      </w:r>
      <w:r w:rsidRPr="00A65DB4">
        <w:t xml:space="preserve"> </w:t>
      </w:r>
      <w:r w:rsidR="00F36116" w:rsidRPr="00A65DB4">
        <w:t>Licence</w:t>
      </w:r>
      <w:r w:rsidRPr="00A65DB4">
        <w:t xml:space="preserve"> conditions</w:t>
      </w:r>
      <w:bookmarkEnd w:id="2"/>
    </w:p>
    <w:tbl>
      <w:tblPr>
        <w:tblStyle w:val="TableGrid1"/>
        <w:tblpPr w:leftFromText="180" w:rightFromText="180" w:vertAnchor="text" w:horzAnchor="margin" w:tblpY="104"/>
        <w:tblW w:w="14459" w:type="dxa"/>
        <w:tblLook w:val="04A0" w:firstRow="1" w:lastRow="0" w:firstColumn="1" w:lastColumn="0" w:noHBand="0" w:noVBand="1"/>
      </w:tblPr>
      <w:tblGrid>
        <w:gridCol w:w="3204"/>
        <w:gridCol w:w="11255"/>
      </w:tblGrid>
      <w:tr w:rsidR="00967FBC" w:rsidRPr="00C22BF0" w14:paraId="041D48D2" w14:textId="77777777" w:rsidTr="00F41A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04" w:type="dxa"/>
          </w:tcPr>
          <w:p w14:paraId="6E1CBC79" w14:textId="77777777" w:rsidR="00967FBC" w:rsidRPr="00C22BF0" w:rsidRDefault="00967FBC" w:rsidP="00F41AB7">
            <w:pPr>
              <w:spacing w:before="160" w:line="336" w:lineRule="auto"/>
              <w:rPr>
                <w:rFonts w:ascii="Arial" w:eastAsia="Arial" w:hAnsi="Arial" w:cs="Arial"/>
              </w:rPr>
            </w:pPr>
            <w:r w:rsidRPr="00C22BF0">
              <w:rPr>
                <w:rFonts w:ascii="Arial" w:eastAsia="Arial" w:hAnsi="Arial" w:cs="Arial"/>
              </w:rPr>
              <w:t>Condition</w:t>
            </w:r>
          </w:p>
        </w:tc>
        <w:tc>
          <w:tcPr>
            <w:tcW w:w="11255" w:type="dxa"/>
          </w:tcPr>
          <w:p w14:paraId="5F777055" w14:textId="77777777" w:rsidR="00967FBC" w:rsidRPr="00C22BF0" w:rsidRDefault="00967FBC" w:rsidP="00F41AB7">
            <w:pPr>
              <w:spacing w:before="160" w:line="336" w:lineRule="auto"/>
              <w:rPr>
                <w:rFonts w:ascii="Arial" w:eastAsia="Arial" w:hAnsi="Arial" w:cs="Arial"/>
              </w:rPr>
            </w:pPr>
            <w:r w:rsidRPr="00C22BF0">
              <w:rPr>
                <w:rFonts w:ascii="Arial" w:eastAsia="Arial" w:hAnsi="Arial" w:cs="Arial"/>
              </w:rPr>
              <w:t>Proposal</w:t>
            </w:r>
          </w:p>
        </w:tc>
      </w:tr>
      <w:tr w:rsidR="00DD2D83" w:rsidRPr="00C22BF0" w14:paraId="5986ABC5" w14:textId="77777777" w:rsidTr="00F41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04" w:type="dxa"/>
          </w:tcPr>
          <w:p w14:paraId="32D113CC" w14:textId="730B339D" w:rsidR="00DD2D83" w:rsidRPr="00C22BF0" w:rsidRDefault="00DD2D83" w:rsidP="00DD2D83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Definitions</w:t>
            </w:r>
          </w:p>
        </w:tc>
        <w:tc>
          <w:tcPr>
            <w:tcW w:w="11255" w:type="dxa"/>
          </w:tcPr>
          <w:p w14:paraId="19F14F94" w14:textId="0544FD30" w:rsidR="00DD2D83" w:rsidRPr="003C4032" w:rsidRDefault="00DD2D83" w:rsidP="00DD2D83">
            <w:pPr>
              <w:spacing w:before="160" w:line="336" w:lineRule="auto"/>
              <w:rPr>
                <w:rFonts w:ascii="Arial" w:eastAsia="Arial" w:hAnsi="Arial" w:cs="Arial"/>
              </w:rPr>
            </w:pPr>
            <w:r w:rsidRPr="00B26971">
              <w:rPr>
                <w:rFonts w:ascii="Arial" w:eastAsia="Arial" w:hAnsi="Arial" w:cs="Arial"/>
              </w:rPr>
              <w:t xml:space="preserve">We propose </w:t>
            </w:r>
            <w:r w:rsidR="00497E62">
              <w:rPr>
                <w:rFonts w:ascii="Arial" w:eastAsia="Arial" w:hAnsi="Arial" w:cs="Arial"/>
              </w:rPr>
              <w:t xml:space="preserve">to </w:t>
            </w:r>
            <w:r w:rsidR="00E62044">
              <w:rPr>
                <w:rFonts w:ascii="Arial" w:eastAsia="Arial" w:hAnsi="Arial" w:cs="Arial"/>
              </w:rPr>
              <w:t>update definitions and remove outdated terms</w:t>
            </w:r>
            <w:r w:rsidR="00173CED">
              <w:rPr>
                <w:rFonts w:ascii="Arial" w:eastAsia="Arial" w:hAnsi="Arial" w:cs="Arial"/>
              </w:rPr>
              <w:t>.</w:t>
            </w:r>
          </w:p>
        </w:tc>
      </w:tr>
      <w:tr w:rsidR="00B34C3A" w:rsidRPr="00C22BF0" w14:paraId="48E58F14" w14:textId="77777777" w:rsidTr="00F41A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04" w:type="dxa"/>
          </w:tcPr>
          <w:p w14:paraId="0BA11C59" w14:textId="7CFF6095" w:rsidR="00B34C3A" w:rsidRDefault="00B34C3A" w:rsidP="00DD2D83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Notices</w:t>
            </w:r>
          </w:p>
        </w:tc>
        <w:tc>
          <w:tcPr>
            <w:tcW w:w="11255" w:type="dxa"/>
          </w:tcPr>
          <w:p w14:paraId="3EC93AE7" w14:textId="1D1D75F8" w:rsidR="00B34C3A" w:rsidRPr="00B26971" w:rsidRDefault="00B34C3A" w:rsidP="00DD2D83">
            <w:pPr>
              <w:spacing w:before="160" w:line="336" w:lineRule="auto"/>
              <w:rPr>
                <w:rFonts w:ascii="Arial" w:eastAsia="Arial" w:hAnsi="Arial" w:cs="Arial"/>
              </w:rPr>
            </w:pPr>
            <w:r w:rsidRPr="00ED127C">
              <w:rPr>
                <w:rFonts w:ascii="Arial" w:eastAsia="Arial" w:hAnsi="Arial" w:cs="Arial"/>
              </w:rPr>
              <w:t xml:space="preserve">We propose </w:t>
            </w:r>
            <w:r w:rsidR="00497691">
              <w:rPr>
                <w:rFonts w:ascii="Arial" w:eastAsia="Arial" w:hAnsi="Arial" w:cs="Arial"/>
              </w:rPr>
              <w:t xml:space="preserve">minor changes to </w:t>
            </w:r>
            <w:r w:rsidR="00682135">
              <w:rPr>
                <w:rFonts w:ascii="Arial" w:eastAsia="Arial" w:hAnsi="Arial" w:cs="Arial"/>
              </w:rPr>
              <w:t>this condition</w:t>
            </w:r>
            <w:r w:rsidR="00497691">
              <w:rPr>
                <w:rFonts w:ascii="Arial" w:eastAsia="Arial" w:hAnsi="Arial" w:cs="Arial"/>
              </w:rPr>
              <w:t>.</w:t>
            </w:r>
            <w:r w:rsidR="009610C5">
              <w:rPr>
                <w:rFonts w:ascii="Arial" w:eastAsia="Arial" w:hAnsi="Arial" w:cs="Arial"/>
              </w:rPr>
              <w:t xml:space="preserve"> </w:t>
            </w:r>
            <w:r w:rsidR="003D4C5B" w:rsidRPr="003D4C5B">
              <w:rPr>
                <w:rFonts w:ascii="Arial" w:eastAsia="Arial" w:hAnsi="Arial" w:cs="Arial"/>
              </w:rPr>
              <w:t xml:space="preserve">We propose to </w:t>
            </w:r>
            <w:r w:rsidR="00232D9A">
              <w:rPr>
                <w:rFonts w:ascii="Arial" w:eastAsia="Arial" w:hAnsi="Arial" w:cs="Arial"/>
              </w:rPr>
              <w:t xml:space="preserve">clarify that notices may be </w:t>
            </w:r>
            <w:r w:rsidR="00374415">
              <w:rPr>
                <w:rFonts w:ascii="Arial" w:eastAsia="Arial" w:hAnsi="Arial" w:cs="Arial"/>
              </w:rPr>
              <w:t xml:space="preserve">addressed to </w:t>
            </w:r>
            <w:r w:rsidR="003D4C5B" w:rsidRPr="00562EF6">
              <w:rPr>
                <w:rFonts w:ascii="Arial" w:eastAsia="Arial" w:hAnsi="Arial" w:cs="Arial"/>
                <w:u w:val="single"/>
              </w:rPr>
              <w:t>either</w:t>
            </w:r>
            <w:r w:rsidR="003D4C5B" w:rsidRPr="003D4C5B">
              <w:rPr>
                <w:rFonts w:ascii="Arial" w:eastAsia="Arial" w:hAnsi="Arial" w:cs="Arial"/>
              </w:rPr>
              <w:t xml:space="preserve"> the physical or email address</w:t>
            </w:r>
            <w:r w:rsidR="00374415">
              <w:rPr>
                <w:rFonts w:ascii="Arial" w:eastAsia="Arial" w:hAnsi="Arial" w:cs="Arial"/>
              </w:rPr>
              <w:t xml:space="preserve"> of the licensee or the commission</w:t>
            </w:r>
            <w:r w:rsidR="003D4C5B" w:rsidRPr="003D4C5B">
              <w:rPr>
                <w:rFonts w:ascii="Arial" w:eastAsia="Arial" w:hAnsi="Arial" w:cs="Arial"/>
              </w:rPr>
              <w:t xml:space="preserve">. We also propose to add </w:t>
            </w:r>
            <w:r w:rsidR="00374415">
              <w:rPr>
                <w:rFonts w:ascii="Arial" w:eastAsia="Arial" w:hAnsi="Arial" w:cs="Arial"/>
              </w:rPr>
              <w:t xml:space="preserve">a </w:t>
            </w:r>
            <w:r w:rsidR="003D4C5B" w:rsidRPr="003D4C5B">
              <w:rPr>
                <w:rFonts w:ascii="Arial" w:eastAsia="Arial" w:hAnsi="Arial" w:cs="Arial"/>
              </w:rPr>
              <w:t xml:space="preserve">new clause </w:t>
            </w:r>
            <w:r w:rsidR="00374415">
              <w:rPr>
                <w:rFonts w:ascii="Arial" w:eastAsia="Arial" w:hAnsi="Arial" w:cs="Arial"/>
              </w:rPr>
              <w:t>2</w:t>
            </w:r>
            <w:r w:rsidR="003D4C5B" w:rsidRPr="003D4C5B">
              <w:rPr>
                <w:rFonts w:ascii="Arial" w:eastAsia="Arial" w:hAnsi="Arial" w:cs="Arial"/>
              </w:rPr>
              <w:t xml:space="preserve">.5 </w:t>
            </w:r>
            <w:r w:rsidR="00374415">
              <w:rPr>
                <w:rFonts w:ascii="Arial" w:eastAsia="Arial" w:hAnsi="Arial" w:cs="Arial"/>
              </w:rPr>
              <w:t>requiring the licensee</w:t>
            </w:r>
            <w:r w:rsidR="003D4C5B" w:rsidRPr="003D4C5B">
              <w:rPr>
                <w:rFonts w:ascii="Arial" w:eastAsia="Arial" w:hAnsi="Arial" w:cs="Arial"/>
              </w:rPr>
              <w:t xml:space="preserve"> to notify the </w:t>
            </w:r>
            <w:r w:rsidR="00374415">
              <w:rPr>
                <w:rFonts w:ascii="Arial" w:eastAsia="Arial" w:hAnsi="Arial" w:cs="Arial"/>
              </w:rPr>
              <w:t>c</w:t>
            </w:r>
            <w:r w:rsidR="003D4C5B" w:rsidRPr="003D4C5B">
              <w:rPr>
                <w:rFonts w:ascii="Arial" w:eastAsia="Arial" w:hAnsi="Arial" w:cs="Arial"/>
              </w:rPr>
              <w:t>ommission of any change</w:t>
            </w:r>
            <w:r w:rsidR="00374415">
              <w:rPr>
                <w:rFonts w:ascii="Arial" w:eastAsia="Arial" w:hAnsi="Arial" w:cs="Arial"/>
              </w:rPr>
              <w:t>s</w:t>
            </w:r>
            <w:r w:rsidR="003D4C5B" w:rsidRPr="003D4C5B">
              <w:rPr>
                <w:rFonts w:ascii="Arial" w:eastAsia="Arial" w:hAnsi="Arial" w:cs="Arial"/>
              </w:rPr>
              <w:t xml:space="preserve"> to the </w:t>
            </w:r>
            <w:r w:rsidR="00374415">
              <w:rPr>
                <w:rFonts w:ascii="Arial" w:eastAsia="Arial" w:hAnsi="Arial" w:cs="Arial"/>
              </w:rPr>
              <w:t>l</w:t>
            </w:r>
            <w:r w:rsidR="003D4C5B" w:rsidRPr="003D4C5B">
              <w:rPr>
                <w:rFonts w:ascii="Arial" w:eastAsia="Arial" w:hAnsi="Arial" w:cs="Arial"/>
              </w:rPr>
              <w:t>icensee’s physical or email address.</w:t>
            </w:r>
          </w:p>
        </w:tc>
      </w:tr>
      <w:tr w:rsidR="00DD2D83" w:rsidRPr="00C22BF0" w14:paraId="100022F3" w14:textId="77777777" w:rsidTr="00F41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04" w:type="dxa"/>
          </w:tcPr>
          <w:p w14:paraId="727F4EE4" w14:textId="706E3603" w:rsidR="00DD2D83" w:rsidRPr="00C22BF0" w:rsidRDefault="00F01270" w:rsidP="00DD2D83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  <w:r w:rsidR="00DD2D83">
              <w:rPr>
                <w:rFonts w:ascii="Arial" w:eastAsia="Arial" w:hAnsi="Arial" w:cs="Arial"/>
              </w:rPr>
              <w:t xml:space="preserve"> </w:t>
            </w:r>
            <w:r w:rsidR="00DD2D83" w:rsidRPr="00C22BF0">
              <w:rPr>
                <w:rFonts w:ascii="Arial" w:eastAsia="Arial" w:hAnsi="Arial" w:cs="Arial"/>
              </w:rPr>
              <w:t xml:space="preserve">Grant of </w:t>
            </w:r>
            <w:r w:rsidR="00DD2D83">
              <w:rPr>
                <w:rFonts w:ascii="Arial" w:eastAsia="Arial" w:hAnsi="Arial" w:cs="Arial"/>
              </w:rPr>
              <w:t>Licence</w:t>
            </w:r>
          </w:p>
        </w:tc>
        <w:tc>
          <w:tcPr>
            <w:tcW w:w="11255" w:type="dxa"/>
          </w:tcPr>
          <w:p w14:paraId="19028049" w14:textId="176638C9" w:rsidR="00DD2D83" w:rsidRPr="00C22BF0" w:rsidRDefault="00755847" w:rsidP="00DD2D83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material </w:t>
            </w:r>
            <w:r w:rsidR="00C41B49">
              <w:rPr>
                <w:rFonts w:ascii="Arial" w:eastAsia="Arial" w:hAnsi="Arial" w:cs="Arial"/>
              </w:rPr>
              <w:t>changes</w:t>
            </w:r>
            <w:r>
              <w:rPr>
                <w:rFonts w:ascii="Arial" w:eastAsia="Arial" w:hAnsi="Arial" w:cs="Arial"/>
              </w:rPr>
              <w:t>.</w:t>
            </w:r>
            <w:r w:rsidR="00670D97">
              <w:rPr>
                <w:rFonts w:ascii="Arial" w:eastAsia="Arial" w:hAnsi="Arial" w:cs="Arial"/>
              </w:rPr>
              <w:t xml:space="preserve"> Where the same person</w:t>
            </w:r>
            <w:r w:rsidR="007D3206">
              <w:rPr>
                <w:rFonts w:ascii="Arial" w:eastAsia="Arial" w:hAnsi="Arial" w:cs="Arial"/>
              </w:rPr>
              <w:t xml:space="preserve"> currently</w:t>
            </w:r>
            <w:r w:rsidR="00670D97">
              <w:rPr>
                <w:rFonts w:ascii="Arial" w:eastAsia="Arial" w:hAnsi="Arial" w:cs="Arial"/>
              </w:rPr>
              <w:t xml:space="preserve"> holds more than one transmission licence, we may consolidate them into a single licence</w:t>
            </w:r>
            <w:r w:rsidR="00212046">
              <w:rPr>
                <w:rFonts w:ascii="Arial" w:eastAsia="Arial" w:hAnsi="Arial" w:cs="Arial"/>
              </w:rPr>
              <w:t xml:space="preserve"> by listing the relevant transmission assets to which the new licences will apply in Schedule 1.</w:t>
            </w:r>
          </w:p>
        </w:tc>
      </w:tr>
      <w:tr w:rsidR="00DD2D83" w:rsidRPr="00C22BF0" w14:paraId="334DC4D1" w14:textId="77777777" w:rsidTr="00F41A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04" w:type="dxa"/>
          </w:tcPr>
          <w:p w14:paraId="7049811E" w14:textId="0402C3FF" w:rsidR="00DD2D83" w:rsidRPr="00C22BF0" w:rsidRDefault="00CD35B1" w:rsidP="00DD2D83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4. Status of the requirements in this </w:t>
            </w:r>
            <w:r w:rsidR="000E4DEB"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</w:rPr>
              <w:t>art</w:t>
            </w:r>
          </w:p>
        </w:tc>
        <w:tc>
          <w:tcPr>
            <w:tcW w:w="11255" w:type="dxa"/>
          </w:tcPr>
          <w:p w14:paraId="4EEB489E" w14:textId="5C137557" w:rsidR="00DD2D83" w:rsidRPr="00C22BF0" w:rsidRDefault="005A717D" w:rsidP="00DD2D83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This condition has been updated to reflect our new enforcement work. It is now loca</w:t>
            </w:r>
            <w:r w:rsidR="006B1C43">
              <w:rPr>
                <w:rFonts w:ascii="Arial" w:eastAsia="Arial" w:hAnsi="Arial" w:cs="Arial"/>
              </w:rPr>
              <w:t xml:space="preserve">ted in clause </w:t>
            </w:r>
            <w:r w:rsidR="004C1FDC">
              <w:rPr>
                <w:rFonts w:ascii="Arial" w:eastAsia="Arial" w:hAnsi="Arial" w:cs="Arial"/>
              </w:rPr>
              <w:t>7</w:t>
            </w:r>
            <w:r w:rsidR="006B1C43">
              <w:rPr>
                <w:rFonts w:ascii="Arial" w:eastAsia="Arial" w:hAnsi="Arial" w:cs="Arial"/>
              </w:rPr>
              <w:t xml:space="preserve"> and clarifies that the requirements in Part C of the </w:t>
            </w:r>
            <w:r w:rsidR="000927CC">
              <w:rPr>
                <w:rFonts w:ascii="Arial" w:eastAsia="Arial" w:hAnsi="Arial" w:cs="Arial"/>
              </w:rPr>
              <w:t>L</w:t>
            </w:r>
            <w:r w:rsidR="006B1C43">
              <w:rPr>
                <w:rFonts w:ascii="Arial" w:eastAsia="Arial" w:hAnsi="Arial" w:cs="Arial"/>
              </w:rPr>
              <w:t xml:space="preserve">icence </w:t>
            </w:r>
            <w:r w:rsidR="000927CC">
              <w:rPr>
                <w:rFonts w:ascii="Arial" w:eastAsia="Arial" w:hAnsi="Arial" w:cs="Arial"/>
              </w:rPr>
              <w:t>are</w:t>
            </w:r>
            <w:r w:rsidR="00D779FC">
              <w:rPr>
                <w:rFonts w:ascii="Arial" w:eastAsia="Arial" w:hAnsi="Arial" w:cs="Arial"/>
              </w:rPr>
              <w:t xml:space="preserve"> civil penalty requirement</w:t>
            </w:r>
            <w:r w:rsidR="004C1FDC">
              <w:rPr>
                <w:rFonts w:ascii="Arial" w:eastAsia="Arial" w:hAnsi="Arial" w:cs="Arial"/>
              </w:rPr>
              <w:t>s</w:t>
            </w:r>
            <w:r w:rsidR="00D779FC">
              <w:rPr>
                <w:rFonts w:ascii="Arial" w:eastAsia="Arial" w:hAnsi="Arial" w:cs="Arial"/>
              </w:rPr>
              <w:t xml:space="preserve"> for the purpose of the </w:t>
            </w:r>
            <w:r w:rsidR="004C1FDC" w:rsidRPr="003E6B0D">
              <w:rPr>
                <w:rFonts w:ascii="Arial" w:eastAsia="Arial" w:hAnsi="Arial" w:cs="Arial"/>
                <w:i/>
                <w:iCs/>
              </w:rPr>
              <w:t>E</w:t>
            </w:r>
            <w:r w:rsidR="003E6B0D" w:rsidRPr="003E6B0D">
              <w:rPr>
                <w:rFonts w:ascii="Arial" w:eastAsia="Arial" w:hAnsi="Arial" w:cs="Arial"/>
                <w:i/>
                <w:iCs/>
              </w:rPr>
              <w:t>ssential Services Commission</w:t>
            </w:r>
            <w:r w:rsidR="00D779FC" w:rsidRPr="003E6B0D">
              <w:rPr>
                <w:rFonts w:ascii="Arial" w:eastAsia="Arial" w:hAnsi="Arial" w:cs="Arial"/>
                <w:i/>
                <w:iCs/>
              </w:rPr>
              <w:t xml:space="preserve"> Act</w:t>
            </w:r>
            <w:r w:rsidR="003E6B0D" w:rsidRPr="003E6B0D">
              <w:rPr>
                <w:rFonts w:ascii="Arial" w:eastAsia="Arial" w:hAnsi="Arial" w:cs="Arial"/>
                <w:i/>
                <w:iCs/>
              </w:rPr>
              <w:t xml:space="preserve"> 2001</w:t>
            </w:r>
            <w:r w:rsidR="00D779FC">
              <w:rPr>
                <w:rFonts w:ascii="Arial" w:eastAsia="Arial" w:hAnsi="Arial" w:cs="Arial"/>
              </w:rPr>
              <w:t>.</w:t>
            </w:r>
          </w:p>
        </w:tc>
      </w:tr>
      <w:tr w:rsidR="00094F5E" w:rsidRPr="00C22BF0" w14:paraId="370E07D6" w14:textId="77777777" w:rsidTr="00F41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04" w:type="dxa"/>
          </w:tcPr>
          <w:p w14:paraId="7302A491" w14:textId="539C91FF" w:rsidR="00094F5E" w:rsidRDefault="00094F5E" w:rsidP="00094F5E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5. Payment of </w:t>
            </w:r>
            <w:r w:rsidR="00C25458"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</w:rPr>
              <w:t>ees</w:t>
            </w:r>
          </w:p>
        </w:tc>
        <w:tc>
          <w:tcPr>
            <w:tcW w:w="11255" w:type="dxa"/>
          </w:tcPr>
          <w:p w14:paraId="47703780" w14:textId="70B30AE8" w:rsidR="00094F5E" w:rsidRDefault="00094F5E" w:rsidP="00094F5E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 propose to retain a simplified version of this</w:t>
            </w:r>
            <w:r w:rsidRPr="00F50841">
              <w:rPr>
                <w:rFonts w:ascii="Arial" w:eastAsia="Arial" w:hAnsi="Arial" w:cs="Arial"/>
              </w:rPr>
              <w:t xml:space="preserve"> clause</w:t>
            </w:r>
            <w:r>
              <w:rPr>
                <w:rFonts w:ascii="Arial" w:eastAsia="Arial" w:hAnsi="Arial" w:cs="Arial"/>
              </w:rPr>
              <w:t xml:space="preserve"> as </w:t>
            </w:r>
            <w:r w:rsidR="004C1FDC">
              <w:rPr>
                <w:rFonts w:ascii="Arial" w:eastAsia="Arial" w:hAnsi="Arial" w:cs="Arial"/>
              </w:rPr>
              <w:t xml:space="preserve">new </w:t>
            </w:r>
            <w:r>
              <w:rPr>
                <w:rFonts w:ascii="Arial" w:eastAsia="Arial" w:hAnsi="Arial" w:cs="Arial"/>
              </w:rPr>
              <w:t xml:space="preserve">clause </w:t>
            </w:r>
            <w:r w:rsidR="004C1FDC">
              <w:rPr>
                <w:rFonts w:ascii="Arial" w:eastAsia="Arial" w:hAnsi="Arial" w:cs="Arial"/>
              </w:rPr>
              <w:t>8</w:t>
            </w:r>
            <w:r w:rsidRPr="001B4208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D157F" w:rsidRPr="00C22BF0" w14:paraId="71651F90" w14:textId="77777777" w:rsidTr="00F41A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04" w:type="dxa"/>
          </w:tcPr>
          <w:p w14:paraId="649879EA" w14:textId="5CCE252D" w:rsidR="001D157F" w:rsidRDefault="001D157F" w:rsidP="00094F5E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 Ongoing technical capacity</w:t>
            </w:r>
          </w:p>
        </w:tc>
        <w:tc>
          <w:tcPr>
            <w:tcW w:w="11255" w:type="dxa"/>
          </w:tcPr>
          <w:p w14:paraId="488A016A" w14:textId="147EB78A" w:rsidR="001D157F" w:rsidRDefault="00AC68AD" w:rsidP="00AC68AD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material </w:t>
            </w:r>
            <w:r w:rsidR="00C25458">
              <w:rPr>
                <w:rFonts w:ascii="Arial" w:eastAsia="Arial" w:hAnsi="Arial" w:cs="Arial"/>
              </w:rPr>
              <w:t>changes</w:t>
            </w:r>
            <w:r>
              <w:rPr>
                <w:rFonts w:ascii="Arial" w:eastAsia="Arial" w:hAnsi="Arial" w:cs="Arial"/>
              </w:rPr>
              <w:t xml:space="preserve">. This clause is now clause </w:t>
            </w:r>
            <w:r w:rsidR="00BA0F26">
              <w:rPr>
                <w:rFonts w:ascii="Arial" w:eastAsia="Arial" w:hAnsi="Arial" w:cs="Arial"/>
              </w:rPr>
              <w:t>1</w:t>
            </w:r>
            <w:r w:rsidR="004C1FDC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 xml:space="preserve"> in the updated licences.</w:t>
            </w:r>
            <w:r w:rsidR="00B01F81">
              <w:rPr>
                <w:rFonts w:ascii="Arial" w:eastAsia="Arial" w:hAnsi="Arial" w:cs="Arial"/>
              </w:rPr>
              <w:t xml:space="preserve"> We introduced a definition of ‘licensed activities’ to simplify this clause.</w:t>
            </w:r>
          </w:p>
        </w:tc>
      </w:tr>
      <w:tr w:rsidR="000407FB" w:rsidRPr="00C22BF0" w14:paraId="0E56868A" w14:textId="77777777" w:rsidTr="00F41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04" w:type="dxa"/>
          </w:tcPr>
          <w:p w14:paraId="37F8C949" w14:textId="59664D5B" w:rsidR="000407FB" w:rsidRDefault="000407FB" w:rsidP="000407FB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 Compliance</w:t>
            </w:r>
            <w:r w:rsidR="00562EF6">
              <w:rPr>
                <w:rFonts w:ascii="Arial" w:eastAsia="Arial" w:hAnsi="Arial" w:cs="Arial"/>
              </w:rPr>
              <w:t xml:space="preserve"> with</w:t>
            </w:r>
            <w:r>
              <w:rPr>
                <w:rFonts w:ascii="Arial" w:eastAsia="Arial" w:hAnsi="Arial" w:cs="Arial"/>
              </w:rPr>
              <w:t xml:space="preserve"> regulatory instruments</w:t>
            </w:r>
          </w:p>
        </w:tc>
        <w:tc>
          <w:tcPr>
            <w:tcW w:w="11255" w:type="dxa"/>
          </w:tcPr>
          <w:p w14:paraId="5E4EC132" w14:textId="5D62DCB9" w:rsidR="000407FB" w:rsidRPr="001D133E" w:rsidRDefault="000407FB" w:rsidP="000407FB">
            <w:pPr>
              <w:spacing w:before="160" w:line="336" w:lineRule="auto"/>
              <w:rPr>
                <w:rFonts w:ascii="Arial" w:eastAsia="Arial" w:hAnsi="Arial" w:cs="Arial"/>
              </w:rPr>
            </w:pPr>
            <w:r w:rsidRPr="000D21C4">
              <w:rPr>
                <w:rFonts w:ascii="Arial" w:eastAsia="Arial" w:hAnsi="Arial" w:cs="Arial"/>
              </w:rPr>
              <w:t xml:space="preserve">This condition requires compliance by a licensee with various regulatory instruments. </w:t>
            </w:r>
            <w:r w:rsidR="003860A6">
              <w:rPr>
                <w:rFonts w:ascii="Arial" w:eastAsia="Arial" w:hAnsi="Arial" w:cs="Arial"/>
              </w:rPr>
              <w:t>The new clause</w:t>
            </w:r>
            <w:r w:rsidRPr="000D21C4">
              <w:rPr>
                <w:rFonts w:ascii="Arial" w:eastAsia="Arial" w:hAnsi="Arial" w:cs="Arial"/>
              </w:rPr>
              <w:t xml:space="preserve"> </w:t>
            </w:r>
            <w:r w:rsidR="00BC3563">
              <w:rPr>
                <w:rFonts w:ascii="Arial" w:eastAsia="Arial" w:hAnsi="Arial" w:cs="Arial"/>
              </w:rPr>
              <w:t>1</w:t>
            </w:r>
            <w:r w:rsidR="00B01F81">
              <w:rPr>
                <w:rFonts w:ascii="Arial" w:eastAsia="Arial" w:hAnsi="Arial" w:cs="Arial"/>
              </w:rPr>
              <w:t>0</w:t>
            </w:r>
            <w:r w:rsidR="00BC3563">
              <w:rPr>
                <w:rFonts w:ascii="Arial" w:eastAsia="Arial" w:hAnsi="Arial" w:cs="Arial"/>
              </w:rPr>
              <w:t xml:space="preserve"> </w:t>
            </w:r>
            <w:r w:rsidRPr="000D21C4">
              <w:rPr>
                <w:rFonts w:ascii="Arial" w:eastAsia="Arial" w:hAnsi="Arial" w:cs="Arial"/>
              </w:rPr>
              <w:t xml:space="preserve">addresses compliance with regulatory instruments but is materially different to current clause </w:t>
            </w:r>
            <w:r>
              <w:rPr>
                <w:rFonts w:ascii="Arial" w:eastAsia="Arial" w:hAnsi="Arial" w:cs="Arial"/>
              </w:rPr>
              <w:t>7</w:t>
            </w:r>
            <w:r w:rsidRPr="000D21C4">
              <w:rPr>
                <w:rFonts w:ascii="Arial" w:eastAsia="Arial" w:hAnsi="Arial" w:cs="Arial"/>
              </w:rPr>
              <w:t xml:space="preserve"> on account of the following</w:t>
            </w:r>
            <w:r w:rsidR="005232B2">
              <w:rPr>
                <w:rFonts w:ascii="Arial" w:eastAsia="Arial" w:hAnsi="Arial" w:cs="Arial"/>
              </w:rPr>
              <w:t>:</w:t>
            </w:r>
            <w:r w:rsidRPr="000D21C4">
              <w:rPr>
                <w:rFonts w:ascii="Arial" w:eastAsia="Arial" w:hAnsi="Arial" w:cs="Arial"/>
              </w:rPr>
              <w:t xml:space="preserve"> </w:t>
            </w:r>
            <w:r w:rsidR="005232B2"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 w:rsidRPr="000D21C4">
              <w:rPr>
                <w:rFonts w:ascii="Arial" w:eastAsia="Arial" w:hAnsi="Arial" w:cs="Arial"/>
              </w:rPr>
              <w:t xml:space="preserve"> codes have transitioned to ‘codes of practice’ made under Part 6 of the Essential Services Commission Act, they </w:t>
            </w:r>
            <w:r w:rsidRPr="003C6E7D">
              <w:rPr>
                <w:rFonts w:ascii="Arial" w:eastAsia="Arial" w:hAnsi="Arial" w:cs="Arial"/>
              </w:rPr>
              <w:t xml:space="preserve">are no longer enforced as licence conditions </w:t>
            </w:r>
            <w:r w:rsidR="00562EF6">
              <w:rPr>
                <w:rFonts w:ascii="Arial" w:eastAsia="Arial" w:hAnsi="Arial" w:cs="Arial"/>
              </w:rPr>
              <w:t xml:space="preserve">are therefore </w:t>
            </w:r>
            <w:r w:rsidRPr="003C6E7D">
              <w:rPr>
                <w:rFonts w:ascii="Arial" w:eastAsia="Arial" w:hAnsi="Arial" w:cs="Arial"/>
              </w:rPr>
              <w:t xml:space="preserve">removed from this clause. </w:t>
            </w:r>
            <w:r w:rsidR="00E960D6">
              <w:rPr>
                <w:rFonts w:ascii="Arial" w:eastAsia="Arial" w:hAnsi="Arial" w:cs="Arial"/>
              </w:rPr>
              <w:t xml:space="preserve">We </w:t>
            </w:r>
            <w:r w:rsidR="002C12FB">
              <w:rPr>
                <w:rFonts w:ascii="Arial" w:eastAsia="Arial" w:hAnsi="Arial" w:cs="Arial"/>
              </w:rPr>
              <w:t>also updated and clarified the obligation of licensees to not</w:t>
            </w:r>
            <w:r w:rsidR="001D133E">
              <w:rPr>
                <w:rFonts w:ascii="Arial" w:eastAsia="Arial" w:hAnsi="Arial" w:cs="Arial"/>
              </w:rPr>
              <w:t xml:space="preserve">ify the commission of any potential non-compliance with its licences or with an applicable code of practice or with the </w:t>
            </w:r>
            <w:r w:rsidR="001D133E">
              <w:rPr>
                <w:rFonts w:ascii="Arial" w:eastAsia="Arial" w:hAnsi="Arial" w:cs="Arial"/>
                <w:i/>
                <w:iCs/>
              </w:rPr>
              <w:t>Electricity Industry Act 20</w:t>
            </w:r>
            <w:r w:rsidR="00576524">
              <w:rPr>
                <w:rFonts w:ascii="Arial" w:eastAsia="Arial" w:hAnsi="Arial" w:cs="Arial"/>
                <w:i/>
                <w:iCs/>
              </w:rPr>
              <w:t>0</w:t>
            </w:r>
            <w:r w:rsidR="001D133E">
              <w:rPr>
                <w:rFonts w:ascii="Arial" w:eastAsia="Arial" w:hAnsi="Arial" w:cs="Arial"/>
                <w:i/>
                <w:iCs/>
              </w:rPr>
              <w:t>0</w:t>
            </w:r>
            <w:r w:rsidR="001D133E">
              <w:rPr>
                <w:rFonts w:ascii="Arial" w:eastAsia="Arial" w:hAnsi="Arial" w:cs="Arial"/>
              </w:rPr>
              <w:t>.</w:t>
            </w:r>
            <w:r w:rsidR="00933CB1">
              <w:rPr>
                <w:rFonts w:ascii="Arial" w:eastAsia="Arial" w:hAnsi="Arial" w:cs="Arial"/>
              </w:rPr>
              <w:t xml:space="preserve"> Finally, we removed sub-clauses requiring compliance with regulatory instruments over which </w:t>
            </w:r>
            <w:r w:rsidR="003C723B">
              <w:rPr>
                <w:rFonts w:ascii="Arial" w:eastAsia="Arial" w:hAnsi="Arial" w:cs="Arial"/>
              </w:rPr>
              <w:t>other regulators have oversight.</w:t>
            </w:r>
          </w:p>
        </w:tc>
      </w:tr>
      <w:tr w:rsidR="003F2963" w:rsidRPr="00C22BF0" w14:paraId="626C0BD3" w14:textId="77777777" w:rsidTr="00F41A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04" w:type="dxa"/>
          </w:tcPr>
          <w:p w14:paraId="2B974BA4" w14:textId="7A943EF6" w:rsidR="003F2963" w:rsidRDefault="003F2963" w:rsidP="000407FB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 Obligation to connect to electricity transmission system</w:t>
            </w:r>
          </w:p>
        </w:tc>
        <w:tc>
          <w:tcPr>
            <w:tcW w:w="11255" w:type="dxa"/>
          </w:tcPr>
          <w:p w14:paraId="663D8D8B" w14:textId="106C1ACF" w:rsidR="003F2963" w:rsidRPr="000D21C4" w:rsidRDefault="00961F9E" w:rsidP="000407FB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We propose to remove this clause on the basis that the access framework for transmission services is regulated by the National Electricity </w:t>
            </w:r>
            <w:r w:rsidR="00D32C13">
              <w:rPr>
                <w:rFonts w:ascii="Arial" w:eastAsia="Arial" w:hAnsi="Arial" w:cs="Arial"/>
              </w:rPr>
              <w:t>Rules.</w:t>
            </w:r>
          </w:p>
        </w:tc>
      </w:tr>
      <w:tr w:rsidR="009B6745" w:rsidRPr="00C22BF0" w14:paraId="7CBD91EA" w14:textId="77777777" w:rsidTr="00F41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04" w:type="dxa"/>
          </w:tcPr>
          <w:p w14:paraId="573CD6F8" w14:textId="7399BDAD" w:rsidR="009B6745" w:rsidRDefault="00D81EAB" w:rsidP="000407FB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9. Provision of other services </w:t>
            </w:r>
          </w:p>
        </w:tc>
        <w:tc>
          <w:tcPr>
            <w:tcW w:w="11255" w:type="dxa"/>
          </w:tcPr>
          <w:p w14:paraId="540FC9CD" w14:textId="1EBE5D71" w:rsidR="009B6745" w:rsidRDefault="00D81EAB" w:rsidP="000407FB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 propose to remove this clause on the basis that the regulation of services provided by transmission companies is regulated by the National Electricity Rules</w:t>
            </w:r>
            <w:r w:rsidR="00077137">
              <w:rPr>
                <w:rFonts w:ascii="Arial" w:eastAsia="Arial" w:hAnsi="Arial" w:cs="Arial"/>
              </w:rPr>
              <w:t>.</w:t>
            </w:r>
          </w:p>
        </w:tc>
      </w:tr>
      <w:tr w:rsidR="00D81EAB" w:rsidRPr="00C22BF0" w14:paraId="3D570046" w14:textId="77777777" w:rsidTr="00F41A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04" w:type="dxa"/>
          </w:tcPr>
          <w:p w14:paraId="05AE14C9" w14:textId="06BA28BA" w:rsidR="00D81EAB" w:rsidRDefault="00D81EAB" w:rsidP="00D81EAB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 Approved statements</w:t>
            </w:r>
          </w:p>
        </w:tc>
        <w:tc>
          <w:tcPr>
            <w:tcW w:w="11255" w:type="dxa"/>
          </w:tcPr>
          <w:p w14:paraId="02602423" w14:textId="1106650D" w:rsidR="00D81EAB" w:rsidRDefault="00D81EAB" w:rsidP="00D81EAB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 propose to remove this clause on the basis that the regulation of services provided by transmission companies is regulated by the National Electricity Rules.</w:t>
            </w:r>
          </w:p>
        </w:tc>
      </w:tr>
      <w:tr w:rsidR="009B6DE1" w:rsidRPr="00C22BF0" w14:paraId="60EC270F" w14:textId="77777777" w:rsidTr="00F41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04" w:type="dxa"/>
          </w:tcPr>
          <w:p w14:paraId="1B57B1BF" w14:textId="44156911" w:rsidR="009B6DE1" w:rsidRDefault="009B6DE1" w:rsidP="009B6DE1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11. Obligation to enter into a network agreement</w:t>
            </w:r>
          </w:p>
        </w:tc>
        <w:tc>
          <w:tcPr>
            <w:tcW w:w="11255" w:type="dxa"/>
          </w:tcPr>
          <w:p w14:paraId="0E4AA6C2" w14:textId="3D5F4D88" w:rsidR="009B6DE1" w:rsidRDefault="009B6DE1" w:rsidP="009B6DE1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 propose to remove this clause on the basis that the regulation of services provided by transmission companies is regulated by the National Electricity Rules.</w:t>
            </w:r>
          </w:p>
        </w:tc>
      </w:tr>
      <w:tr w:rsidR="00EA4026" w:rsidRPr="00C22BF0" w14:paraId="67180DD7" w14:textId="77777777" w:rsidTr="00F41A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04" w:type="dxa"/>
          </w:tcPr>
          <w:p w14:paraId="54A83ACE" w14:textId="2FDC2BF9" w:rsidR="00EA4026" w:rsidRDefault="00EA4026" w:rsidP="009B6DE1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 Augmentation</w:t>
            </w:r>
          </w:p>
        </w:tc>
        <w:tc>
          <w:tcPr>
            <w:tcW w:w="11255" w:type="dxa"/>
          </w:tcPr>
          <w:p w14:paraId="54E4C2F5" w14:textId="5D0D36B7" w:rsidR="00EA4026" w:rsidRDefault="00EA4026" w:rsidP="009B6DE1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 propose to remove this clause on the basis that the</w:t>
            </w:r>
            <w:r w:rsidR="00CD4786">
              <w:rPr>
                <w:rFonts w:ascii="Arial" w:eastAsia="Arial" w:hAnsi="Arial" w:cs="Arial"/>
              </w:rPr>
              <w:t xml:space="preserve"> regulation of </w:t>
            </w:r>
            <w:r>
              <w:rPr>
                <w:rFonts w:ascii="Arial" w:eastAsia="Arial" w:hAnsi="Arial" w:cs="Arial"/>
              </w:rPr>
              <w:t xml:space="preserve"> services provided by transmission companies </w:t>
            </w:r>
            <w:r w:rsidR="00572E1C"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</w:rPr>
              <w:t xml:space="preserve"> regulated by the National Electricity Rules.</w:t>
            </w:r>
          </w:p>
        </w:tc>
      </w:tr>
      <w:tr w:rsidR="00327B4F" w:rsidRPr="00C22BF0" w14:paraId="67A7CA89" w14:textId="77777777" w:rsidTr="00F41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04" w:type="dxa"/>
          </w:tcPr>
          <w:p w14:paraId="2C580B02" w14:textId="5C078C7F" w:rsidR="00327B4F" w:rsidRDefault="00327B4F" w:rsidP="009B6DE1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13. Separate accounts</w:t>
            </w:r>
          </w:p>
        </w:tc>
        <w:tc>
          <w:tcPr>
            <w:tcW w:w="11255" w:type="dxa"/>
          </w:tcPr>
          <w:p w14:paraId="48AB1DEC" w14:textId="4E145B27" w:rsidR="00327B4F" w:rsidRDefault="00327B4F" w:rsidP="009B6DE1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material </w:t>
            </w:r>
            <w:r w:rsidR="00066BA9">
              <w:rPr>
                <w:rFonts w:ascii="Arial" w:eastAsia="Arial" w:hAnsi="Arial" w:cs="Arial"/>
              </w:rPr>
              <w:t>changes</w:t>
            </w:r>
            <w:r>
              <w:rPr>
                <w:rFonts w:ascii="Arial" w:eastAsia="Arial" w:hAnsi="Arial" w:cs="Arial"/>
              </w:rPr>
              <w:t>.</w:t>
            </w:r>
            <w:r w:rsidR="00D30760">
              <w:rPr>
                <w:rFonts w:ascii="Arial" w:eastAsia="Arial" w:hAnsi="Arial" w:cs="Arial"/>
              </w:rPr>
              <w:t xml:space="preserve"> </w:t>
            </w:r>
            <w:r w:rsidR="00057AB6">
              <w:rPr>
                <w:rFonts w:ascii="Arial" w:eastAsia="Arial" w:hAnsi="Arial" w:cs="Arial"/>
              </w:rPr>
              <w:t xml:space="preserve">This clause is now </w:t>
            </w:r>
            <w:r w:rsidR="00057AB6" w:rsidRPr="005C5FAD">
              <w:rPr>
                <w:rFonts w:ascii="Arial" w:eastAsia="Arial" w:hAnsi="Arial" w:cs="Arial"/>
              </w:rPr>
              <w:t xml:space="preserve">clause </w:t>
            </w:r>
            <w:r w:rsidR="005C5FAD" w:rsidRPr="005C5FAD">
              <w:rPr>
                <w:rFonts w:ascii="Arial" w:eastAsia="Arial" w:hAnsi="Arial" w:cs="Arial"/>
              </w:rPr>
              <w:t>1</w:t>
            </w:r>
            <w:r w:rsidR="00F01C15">
              <w:rPr>
                <w:rFonts w:ascii="Arial" w:eastAsia="Arial" w:hAnsi="Arial" w:cs="Arial"/>
              </w:rPr>
              <w:t>3</w:t>
            </w:r>
            <w:r w:rsidR="00057AB6" w:rsidRPr="005C5FAD">
              <w:rPr>
                <w:rFonts w:ascii="Arial" w:eastAsia="Arial" w:hAnsi="Arial" w:cs="Arial"/>
              </w:rPr>
              <w:t xml:space="preserve"> in the updated</w:t>
            </w:r>
            <w:r w:rsidR="00057AB6">
              <w:rPr>
                <w:rFonts w:ascii="Arial" w:eastAsia="Arial" w:hAnsi="Arial" w:cs="Arial"/>
              </w:rPr>
              <w:t xml:space="preserve"> licences.</w:t>
            </w:r>
          </w:p>
        </w:tc>
      </w:tr>
      <w:tr w:rsidR="00057AB6" w:rsidRPr="00C22BF0" w14:paraId="46D78F6D" w14:textId="77777777" w:rsidTr="00F41A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04" w:type="dxa"/>
          </w:tcPr>
          <w:p w14:paraId="0051AC47" w14:textId="01DDEB8E" w:rsidR="00057AB6" w:rsidRDefault="00057AB6" w:rsidP="009B6DE1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 Standards and procedures</w:t>
            </w:r>
          </w:p>
        </w:tc>
        <w:tc>
          <w:tcPr>
            <w:tcW w:w="11255" w:type="dxa"/>
          </w:tcPr>
          <w:p w14:paraId="584AC0E9" w14:textId="5EF8EC43" w:rsidR="00057AB6" w:rsidRDefault="00630AAE" w:rsidP="00A405A3">
            <w:pPr>
              <w:spacing w:before="160" w:line="336" w:lineRule="auto"/>
              <w:rPr>
                <w:rFonts w:ascii="Arial" w:eastAsia="Arial" w:hAnsi="Arial" w:cs="Arial"/>
              </w:rPr>
            </w:pPr>
            <w:r w:rsidRPr="00A405A3">
              <w:rPr>
                <w:rFonts w:ascii="Arial" w:eastAsia="Arial" w:hAnsi="Arial" w:cs="Arial"/>
              </w:rPr>
              <w:t>We propose to remove this clause on the basis that</w:t>
            </w:r>
            <w:r w:rsidR="006021A6" w:rsidRPr="00A405A3">
              <w:rPr>
                <w:rFonts w:ascii="Arial" w:eastAsia="Arial" w:hAnsi="Arial" w:cs="Arial"/>
              </w:rPr>
              <w:t xml:space="preserve"> it referred to a process for licensees </w:t>
            </w:r>
            <w:r w:rsidR="00502535" w:rsidRPr="00A405A3">
              <w:rPr>
                <w:rFonts w:ascii="Arial" w:eastAsia="Arial" w:hAnsi="Arial" w:cs="Arial"/>
              </w:rPr>
              <w:t>issuing overall performance standards which is outdated and no</w:t>
            </w:r>
            <w:r w:rsidR="00CD4786">
              <w:rPr>
                <w:rFonts w:ascii="Arial" w:eastAsia="Arial" w:hAnsi="Arial" w:cs="Arial"/>
              </w:rPr>
              <w:t>t</w:t>
            </w:r>
            <w:r w:rsidR="00502535" w:rsidRPr="00A405A3">
              <w:rPr>
                <w:rFonts w:ascii="Arial" w:eastAsia="Arial" w:hAnsi="Arial" w:cs="Arial"/>
              </w:rPr>
              <w:t xml:space="preserve"> required given the reporting requirements and monitoring standards </w:t>
            </w:r>
            <w:r w:rsidR="00C676B8" w:rsidRPr="00A405A3">
              <w:rPr>
                <w:rFonts w:ascii="Arial" w:eastAsia="Arial" w:hAnsi="Arial" w:cs="Arial"/>
              </w:rPr>
              <w:t xml:space="preserve">for registered participants </w:t>
            </w:r>
            <w:r w:rsidR="00A405A3" w:rsidRPr="00A405A3">
              <w:rPr>
                <w:rFonts w:ascii="Arial" w:eastAsia="Arial" w:hAnsi="Arial" w:cs="Arial"/>
              </w:rPr>
              <w:t>under the National Electricity Rules.</w:t>
            </w:r>
          </w:p>
        </w:tc>
      </w:tr>
      <w:tr w:rsidR="00290CEC" w:rsidRPr="00C22BF0" w14:paraId="6B982DFA" w14:textId="77777777" w:rsidTr="00F41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04" w:type="dxa"/>
          </w:tcPr>
          <w:p w14:paraId="5C9DD4D0" w14:textId="3CB0684C" w:rsidR="00290CEC" w:rsidRDefault="00290CEC" w:rsidP="00290CEC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15. Provision of Information to AEMO and Commission</w:t>
            </w:r>
          </w:p>
        </w:tc>
        <w:tc>
          <w:tcPr>
            <w:tcW w:w="11255" w:type="dxa"/>
          </w:tcPr>
          <w:p w14:paraId="2DFA04D5" w14:textId="36AE5008" w:rsidR="00FF352D" w:rsidRDefault="00237FF7" w:rsidP="002728D0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We propose to simplify this clause while </w:t>
            </w:r>
            <w:r w:rsidR="00515521">
              <w:rPr>
                <w:rFonts w:ascii="Arial" w:eastAsia="Arial" w:hAnsi="Arial" w:cs="Arial"/>
              </w:rPr>
              <w:t>retaining</w:t>
            </w:r>
            <w:r>
              <w:rPr>
                <w:rFonts w:ascii="Arial" w:eastAsia="Arial" w:hAnsi="Arial" w:cs="Arial"/>
              </w:rPr>
              <w:t xml:space="preserve"> the obligation to provide</w:t>
            </w:r>
            <w:r w:rsidR="00363C03">
              <w:rPr>
                <w:rFonts w:ascii="Arial" w:eastAsia="Arial" w:hAnsi="Arial" w:cs="Arial"/>
              </w:rPr>
              <w:t xml:space="preserve"> information which may be required by the </w:t>
            </w:r>
            <w:r w:rsidR="00914959">
              <w:rPr>
                <w:rFonts w:ascii="Arial" w:eastAsia="Arial" w:hAnsi="Arial" w:cs="Arial"/>
              </w:rPr>
              <w:t>c</w:t>
            </w:r>
            <w:r w:rsidR="00363C03">
              <w:rPr>
                <w:rFonts w:ascii="Arial" w:eastAsia="Arial" w:hAnsi="Arial" w:cs="Arial"/>
              </w:rPr>
              <w:t>ommission. We propose to remove the sub-clause on provision of information to AEMO on the basis that</w:t>
            </w:r>
            <w:r w:rsidR="00FF352D">
              <w:rPr>
                <w:rFonts w:ascii="Arial" w:eastAsia="Arial" w:hAnsi="Arial" w:cs="Arial"/>
              </w:rPr>
              <w:t xml:space="preserve"> </w:t>
            </w:r>
            <w:r w:rsidR="00F95AE6">
              <w:rPr>
                <w:rFonts w:ascii="Arial" w:eastAsia="Arial" w:hAnsi="Arial" w:cs="Arial"/>
              </w:rPr>
              <w:t xml:space="preserve">section 53 of the National Electricity Law </w:t>
            </w:r>
            <w:r w:rsidR="008B70B4">
              <w:rPr>
                <w:rFonts w:ascii="Arial" w:eastAsia="Arial" w:hAnsi="Arial" w:cs="Arial"/>
              </w:rPr>
              <w:t>already provides AEMO with information gathering powers.</w:t>
            </w:r>
            <w:r w:rsidR="00FF352D">
              <w:rPr>
                <w:rFonts w:ascii="Arial" w:eastAsia="Arial" w:hAnsi="Arial" w:cs="Arial"/>
              </w:rPr>
              <w:t xml:space="preserve"> This clause is </w:t>
            </w:r>
            <w:r w:rsidR="00FF352D" w:rsidRPr="00D43D7E">
              <w:rPr>
                <w:rFonts w:ascii="Arial" w:eastAsia="Arial" w:hAnsi="Arial" w:cs="Arial"/>
              </w:rPr>
              <w:t xml:space="preserve">now </w:t>
            </w:r>
            <w:r w:rsidR="00F858BF">
              <w:rPr>
                <w:rFonts w:ascii="Arial" w:eastAsia="Arial" w:hAnsi="Arial" w:cs="Arial"/>
              </w:rPr>
              <w:t xml:space="preserve">new </w:t>
            </w:r>
            <w:r w:rsidR="00FF352D" w:rsidRPr="00D43D7E">
              <w:rPr>
                <w:rFonts w:ascii="Arial" w:eastAsia="Arial" w:hAnsi="Arial" w:cs="Arial"/>
              </w:rPr>
              <w:t xml:space="preserve">clause </w:t>
            </w:r>
            <w:r w:rsidR="00D43D7E" w:rsidRPr="00D43D7E">
              <w:rPr>
                <w:rFonts w:ascii="Arial" w:eastAsia="Arial" w:hAnsi="Arial" w:cs="Arial"/>
              </w:rPr>
              <w:t>1</w:t>
            </w:r>
            <w:r w:rsidR="00F858BF">
              <w:rPr>
                <w:rFonts w:ascii="Arial" w:eastAsia="Arial" w:hAnsi="Arial" w:cs="Arial"/>
              </w:rPr>
              <w:t>2</w:t>
            </w:r>
            <w:r w:rsidR="00FF352D">
              <w:rPr>
                <w:rFonts w:ascii="Arial" w:eastAsia="Arial" w:hAnsi="Arial" w:cs="Arial"/>
              </w:rPr>
              <w:t xml:space="preserve"> in the updated licences.</w:t>
            </w:r>
            <w:r w:rsidR="002728D0">
              <w:rPr>
                <w:rFonts w:ascii="Arial" w:eastAsia="Arial" w:hAnsi="Arial" w:cs="Arial"/>
              </w:rPr>
              <w:t xml:space="preserve"> </w:t>
            </w:r>
            <w:r w:rsidR="00066BA9">
              <w:rPr>
                <w:rFonts w:ascii="Arial" w:eastAsia="Arial" w:hAnsi="Arial" w:cs="Arial"/>
              </w:rPr>
              <w:t>We propose to retain c</w:t>
            </w:r>
            <w:r w:rsidR="00FF352D">
              <w:rPr>
                <w:rFonts w:ascii="Arial" w:eastAsia="Arial" w:hAnsi="Arial" w:cs="Arial"/>
              </w:rPr>
              <w:t>lause 15.</w:t>
            </w:r>
            <w:r w:rsidR="006E2D32">
              <w:rPr>
                <w:rFonts w:ascii="Arial" w:eastAsia="Arial" w:hAnsi="Arial" w:cs="Arial"/>
              </w:rPr>
              <w:t>7</w:t>
            </w:r>
            <w:r w:rsidR="00FF352D">
              <w:rPr>
                <w:rFonts w:ascii="Arial" w:eastAsia="Arial" w:hAnsi="Arial" w:cs="Arial"/>
              </w:rPr>
              <w:t xml:space="preserve"> on change of control </w:t>
            </w:r>
            <w:r w:rsidR="00066BA9">
              <w:rPr>
                <w:rFonts w:ascii="Arial" w:eastAsia="Arial" w:hAnsi="Arial" w:cs="Arial"/>
              </w:rPr>
              <w:t xml:space="preserve">and have </w:t>
            </w:r>
            <w:r w:rsidR="00FE7E64">
              <w:rPr>
                <w:rFonts w:ascii="Arial" w:eastAsia="Arial" w:hAnsi="Arial" w:cs="Arial"/>
              </w:rPr>
              <w:t xml:space="preserve">amended and </w:t>
            </w:r>
            <w:r w:rsidR="00625149">
              <w:rPr>
                <w:rFonts w:ascii="Arial" w:eastAsia="Arial" w:hAnsi="Arial" w:cs="Arial"/>
              </w:rPr>
              <w:t xml:space="preserve">moved </w:t>
            </w:r>
            <w:r w:rsidR="00066BA9">
              <w:rPr>
                <w:rFonts w:ascii="Arial" w:eastAsia="Arial" w:hAnsi="Arial" w:cs="Arial"/>
              </w:rPr>
              <w:t xml:space="preserve">it </w:t>
            </w:r>
            <w:r w:rsidR="00625149">
              <w:rPr>
                <w:rFonts w:ascii="Arial" w:eastAsia="Arial" w:hAnsi="Arial" w:cs="Arial"/>
              </w:rPr>
              <w:t xml:space="preserve">to clause </w:t>
            </w:r>
            <w:r w:rsidR="00FE7E64">
              <w:rPr>
                <w:rFonts w:ascii="Arial" w:eastAsia="Arial" w:hAnsi="Arial" w:cs="Arial"/>
              </w:rPr>
              <w:t xml:space="preserve">9 </w:t>
            </w:r>
            <w:r w:rsidR="00A83143">
              <w:rPr>
                <w:rFonts w:ascii="Arial" w:eastAsia="Arial" w:hAnsi="Arial" w:cs="Arial"/>
              </w:rPr>
              <w:t>in the updated licence</w:t>
            </w:r>
            <w:r w:rsidR="00652420">
              <w:rPr>
                <w:rFonts w:ascii="Arial" w:eastAsia="Arial" w:hAnsi="Arial" w:cs="Arial"/>
              </w:rPr>
              <w:t>.</w:t>
            </w:r>
          </w:p>
        </w:tc>
      </w:tr>
      <w:tr w:rsidR="00A83143" w:rsidRPr="00C22BF0" w14:paraId="2E263FAB" w14:textId="77777777" w:rsidTr="00F41A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04" w:type="dxa"/>
          </w:tcPr>
          <w:p w14:paraId="29641218" w14:textId="3587741E" w:rsidR="00A83143" w:rsidRDefault="00A83143" w:rsidP="00290CEC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16. Audit</w:t>
            </w:r>
          </w:p>
        </w:tc>
        <w:tc>
          <w:tcPr>
            <w:tcW w:w="11255" w:type="dxa"/>
          </w:tcPr>
          <w:p w14:paraId="7F16F0F1" w14:textId="0898F6B3" w:rsidR="00A83143" w:rsidRDefault="00A83143" w:rsidP="00290CEC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This clause is </w:t>
            </w:r>
            <w:r w:rsidRPr="00066BA9">
              <w:rPr>
                <w:rFonts w:ascii="Arial" w:eastAsia="Arial" w:hAnsi="Arial" w:cs="Arial"/>
              </w:rPr>
              <w:t xml:space="preserve">now clause </w:t>
            </w:r>
            <w:r w:rsidR="00066BA9" w:rsidRPr="00066BA9">
              <w:rPr>
                <w:rFonts w:ascii="Arial" w:eastAsia="Arial" w:hAnsi="Arial" w:cs="Arial"/>
              </w:rPr>
              <w:t>1</w:t>
            </w:r>
            <w:r w:rsidR="00FE7E64">
              <w:rPr>
                <w:rFonts w:ascii="Arial" w:eastAsia="Arial" w:hAnsi="Arial" w:cs="Arial"/>
              </w:rPr>
              <w:t>4</w:t>
            </w:r>
            <w:r w:rsidRPr="00066BA9">
              <w:rPr>
                <w:rFonts w:ascii="Arial" w:eastAsia="Arial" w:hAnsi="Arial" w:cs="Arial"/>
              </w:rPr>
              <w:t xml:space="preserve"> in the</w:t>
            </w:r>
            <w:r>
              <w:rPr>
                <w:rFonts w:ascii="Arial" w:eastAsia="Arial" w:hAnsi="Arial" w:cs="Arial"/>
              </w:rPr>
              <w:t xml:space="preserve"> updated licences</w:t>
            </w:r>
            <w:r w:rsidR="005531F1">
              <w:rPr>
                <w:rFonts w:ascii="Arial" w:eastAsia="Arial" w:hAnsi="Arial" w:cs="Arial"/>
              </w:rPr>
              <w:t xml:space="preserve"> </w:t>
            </w:r>
            <w:r w:rsidR="00D53469">
              <w:rPr>
                <w:rFonts w:ascii="Arial" w:eastAsia="Arial" w:hAnsi="Arial" w:cs="Arial"/>
              </w:rPr>
              <w:t xml:space="preserve">and </w:t>
            </w:r>
            <w:r w:rsidR="00CD4786">
              <w:rPr>
                <w:rFonts w:ascii="Arial" w:eastAsia="Arial" w:hAnsi="Arial" w:cs="Arial"/>
              </w:rPr>
              <w:t>is</w:t>
            </w:r>
            <w:r w:rsidR="00D53469">
              <w:rPr>
                <w:rFonts w:ascii="Arial" w:eastAsia="Arial" w:hAnsi="Arial" w:cs="Arial"/>
              </w:rPr>
              <w:t xml:space="preserve"> updated to substitute ‘audit</w:t>
            </w:r>
            <w:r w:rsidR="002C54EC">
              <w:rPr>
                <w:rFonts w:ascii="Arial" w:eastAsia="Arial" w:hAnsi="Arial" w:cs="Arial"/>
              </w:rPr>
              <w:t>s’ for ‘review’.</w:t>
            </w:r>
          </w:p>
        </w:tc>
      </w:tr>
      <w:tr w:rsidR="00A461C5" w:rsidRPr="00C22BF0" w14:paraId="6A30F0BE" w14:textId="77777777" w:rsidTr="00F41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04" w:type="dxa"/>
          </w:tcPr>
          <w:p w14:paraId="1ED484DF" w14:textId="649B3019" w:rsidR="00A461C5" w:rsidRDefault="00A461C5" w:rsidP="00290CEC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17. Compliance with laws</w:t>
            </w:r>
          </w:p>
        </w:tc>
        <w:tc>
          <w:tcPr>
            <w:tcW w:w="11255" w:type="dxa"/>
          </w:tcPr>
          <w:p w14:paraId="59FA1628" w14:textId="7654BA3A" w:rsidR="00A461C5" w:rsidRDefault="00A461C5" w:rsidP="00290CEC">
            <w:pPr>
              <w:spacing w:before="160" w:line="336" w:lineRule="auto"/>
              <w:rPr>
                <w:rFonts w:ascii="Arial" w:eastAsia="Arial" w:hAnsi="Arial" w:cs="Arial"/>
              </w:rPr>
            </w:pPr>
            <w:r w:rsidRPr="00F44819">
              <w:rPr>
                <w:rFonts w:ascii="Arial" w:eastAsia="Arial" w:hAnsi="Arial" w:cs="Arial"/>
              </w:rPr>
              <w:t xml:space="preserve">This clause requires compliance with all applicable laws. </w:t>
            </w:r>
            <w:r>
              <w:rPr>
                <w:rFonts w:ascii="Arial" w:eastAsia="Arial" w:hAnsi="Arial" w:cs="Arial"/>
              </w:rPr>
              <w:t>We propose</w:t>
            </w:r>
            <w:r w:rsidRPr="00F44819">
              <w:rPr>
                <w:rFonts w:ascii="Arial" w:eastAsia="Arial" w:hAnsi="Arial" w:cs="Arial"/>
              </w:rPr>
              <w:t xml:space="preserve"> to remove this clause, noting the retention of the obligation to comply with</w:t>
            </w:r>
            <w:r>
              <w:rPr>
                <w:rFonts w:ascii="Arial" w:eastAsia="Arial" w:hAnsi="Arial" w:cs="Arial"/>
              </w:rPr>
              <w:t xml:space="preserve"> relevant regulatory</w:t>
            </w:r>
            <w:r w:rsidRPr="00F44819">
              <w:rPr>
                <w:rFonts w:ascii="Arial" w:eastAsia="Arial" w:hAnsi="Arial" w:cs="Arial"/>
              </w:rPr>
              <w:t xml:space="preserve"> instruments</w:t>
            </w:r>
            <w:r>
              <w:rPr>
                <w:rFonts w:ascii="Arial" w:eastAsia="Arial" w:hAnsi="Arial" w:cs="Arial"/>
              </w:rPr>
              <w:t xml:space="preserve"> in new </w:t>
            </w:r>
            <w:r w:rsidRPr="00F44819">
              <w:rPr>
                <w:rFonts w:ascii="Arial" w:eastAsia="Arial" w:hAnsi="Arial" w:cs="Arial"/>
              </w:rPr>
              <w:t>clause 10</w:t>
            </w:r>
            <w:r w:rsidR="00CD4786">
              <w:rPr>
                <w:rFonts w:ascii="Arial" w:eastAsia="Arial" w:hAnsi="Arial" w:cs="Arial"/>
              </w:rPr>
              <w:t xml:space="preserve"> (compliance with regulatory instruments)</w:t>
            </w:r>
            <w:r w:rsidRPr="00D90770">
              <w:rPr>
                <w:rFonts w:ascii="Arial" w:eastAsia="Arial" w:hAnsi="Arial" w:cs="Arial"/>
              </w:rPr>
              <w:t>.</w:t>
            </w:r>
          </w:p>
        </w:tc>
      </w:tr>
      <w:tr w:rsidR="008D01FE" w:rsidRPr="00C22BF0" w14:paraId="392F432D" w14:textId="77777777" w:rsidTr="00F41A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04" w:type="dxa"/>
          </w:tcPr>
          <w:p w14:paraId="52405FF0" w14:textId="0BAE6E17" w:rsidR="008D01FE" w:rsidRDefault="008D01FE" w:rsidP="008D01FE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18. Revocation</w:t>
            </w:r>
          </w:p>
        </w:tc>
        <w:tc>
          <w:tcPr>
            <w:tcW w:w="11255" w:type="dxa"/>
          </w:tcPr>
          <w:p w14:paraId="0AAD6603" w14:textId="0C66D1F9" w:rsidR="008D01FE" w:rsidRPr="00F44819" w:rsidRDefault="008D01FE" w:rsidP="008D01FE">
            <w:pPr>
              <w:spacing w:before="160" w:line="336" w:lineRule="auto"/>
              <w:rPr>
                <w:rFonts w:ascii="Arial" w:eastAsia="Arial" w:hAnsi="Arial" w:cs="Arial"/>
              </w:rPr>
            </w:pPr>
            <w:r w:rsidRPr="005D5B40">
              <w:rPr>
                <w:rFonts w:ascii="Arial" w:eastAsia="Arial" w:hAnsi="Arial" w:cs="Arial"/>
              </w:rPr>
              <w:t xml:space="preserve">We propose </w:t>
            </w:r>
            <w:r w:rsidR="00CD4786">
              <w:rPr>
                <w:rFonts w:ascii="Arial" w:eastAsia="Arial" w:hAnsi="Arial" w:cs="Arial"/>
              </w:rPr>
              <w:t>to simplify</w:t>
            </w:r>
            <w:r w:rsidRPr="005D5B4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clause 18 </w:t>
            </w:r>
            <w:r w:rsidR="00CD4786">
              <w:rPr>
                <w:rFonts w:ascii="Arial" w:eastAsia="Arial" w:hAnsi="Arial" w:cs="Arial"/>
              </w:rPr>
              <w:t>and</w:t>
            </w:r>
            <w:r w:rsidRPr="00EC4D9E">
              <w:rPr>
                <w:rFonts w:ascii="Arial" w:eastAsia="Arial" w:hAnsi="Arial" w:cs="Arial"/>
              </w:rPr>
              <w:t xml:space="preserve"> remove references to compliance with an enforcement order or an undertaking</w:t>
            </w:r>
            <w:r>
              <w:rPr>
                <w:rFonts w:ascii="Arial" w:eastAsia="Arial" w:hAnsi="Arial" w:cs="Arial"/>
              </w:rPr>
              <w:t>, to align it with our new enforcement framework</w:t>
            </w:r>
            <w:r w:rsidRPr="00EC4D9E">
              <w:rPr>
                <w:rFonts w:ascii="Arial" w:eastAsia="Arial" w:hAnsi="Arial" w:cs="Arial"/>
              </w:rPr>
              <w:t>. In its place, we propose</w:t>
            </w:r>
            <w:r>
              <w:rPr>
                <w:rFonts w:ascii="Arial" w:eastAsia="Arial" w:hAnsi="Arial" w:cs="Arial"/>
              </w:rPr>
              <w:t xml:space="preserve"> </w:t>
            </w:r>
            <w:r w:rsidR="002C54EC">
              <w:rPr>
                <w:rFonts w:ascii="Arial" w:eastAsia="Arial" w:hAnsi="Arial" w:cs="Arial"/>
              </w:rPr>
              <w:t>new clause 6</w:t>
            </w:r>
            <w:r w:rsidRPr="00EC4D9E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which</w:t>
            </w:r>
            <w:r w:rsidRPr="00EC4D9E">
              <w:rPr>
                <w:rFonts w:ascii="Arial" w:eastAsia="Arial" w:hAnsi="Arial" w:cs="Arial"/>
              </w:rPr>
              <w:t xml:space="preserve"> </w:t>
            </w:r>
            <w:r w:rsidR="002363F4">
              <w:rPr>
                <w:rFonts w:ascii="Arial" w:eastAsia="Arial" w:hAnsi="Arial" w:cs="Arial"/>
              </w:rPr>
              <w:t xml:space="preserve">deals </w:t>
            </w:r>
            <w:r w:rsidR="002363F4">
              <w:rPr>
                <w:rFonts w:ascii="Arial" w:eastAsia="Arial" w:hAnsi="Arial" w:cs="Arial"/>
              </w:rPr>
              <w:lastRenderedPageBreak/>
              <w:t>with</w:t>
            </w:r>
            <w:r w:rsidRPr="00EC4D9E">
              <w:rPr>
                <w:rFonts w:ascii="Arial" w:eastAsia="Arial" w:hAnsi="Arial" w:cs="Arial"/>
              </w:rPr>
              <w:t xml:space="preserve"> the </w:t>
            </w:r>
            <w:r w:rsidR="002363F4">
              <w:rPr>
                <w:rFonts w:ascii="Arial" w:eastAsia="Arial" w:hAnsi="Arial" w:cs="Arial"/>
              </w:rPr>
              <w:t>process for revoking a licence referred to</w:t>
            </w:r>
            <w:r w:rsidRPr="00EC4D9E">
              <w:rPr>
                <w:rFonts w:ascii="Arial" w:eastAsia="Arial" w:hAnsi="Arial" w:cs="Arial"/>
              </w:rPr>
              <w:t xml:space="preserve"> in the </w:t>
            </w:r>
            <w:r w:rsidR="00E2676D">
              <w:rPr>
                <w:rFonts w:ascii="Arial" w:eastAsia="Arial" w:hAnsi="Arial" w:cs="Arial"/>
              </w:rPr>
              <w:t>Electricity</w:t>
            </w:r>
            <w:r w:rsidRPr="00EC4D9E">
              <w:rPr>
                <w:rFonts w:ascii="Arial" w:eastAsia="Arial" w:hAnsi="Arial" w:cs="Arial"/>
              </w:rPr>
              <w:t xml:space="preserve"> </w:t>
            </w:r>
            <w:r w:rsidRPr="008969F5">
              <w:rPr>
                <w:rFonts w:ascii="Arial" w:eastAsia="Arial" w:hAnsi="Arial" w:cs="Arial"/>
              </w:rPr>
              <w:t>Industry Act</w:t>
            </w:r>
            <w:r>
              <w:rPr>
                <w:rFonts w:ascii="Arial" w:eastAsia="Arial" w:hAnsi="Arial" w:cs="Arial"/>
              </w:rPr>
              <w:t xml:space="preserve">. </w:t>
            </w:r>
            <w:r w:rsidRPr="008969F5">
              <w:rPr>
                <w:rFonts w:ascii="Arial" w:eastAsia="Arial" w:hAnsi="Arial" w:cs="Arial"/>
              </w:rPr>
              <w:t>We</w:t>
            </w:r>
            <w:r w:rsidRPr="00E2290C">
              <w:rPr>
                <w:rFonts w:ascii="Arial" w:eastAsia="Arial" w:hAnsi="Arial" w:cs="Arial"/>
              </w:rPr>
              <w:t xml:space="preserve"> note that </w:t>
            </w:r>
            <w:hyperlink r:id="rId8" w:history="1">
              <w:r w:rsidRPr="008969F5">
                <w:rPr>
                  <w:rStyle w:val="Hyperlink"/>
                  <w:rFonts w:ascii="Arial" w:eastAsia="Arial" w:hAnsi="Arial" w:cs="Arial"/>
                </w:rPr>
                <w:t>Guideline 5 (2022): Revocation of electricity or gas licences</w:t>
              </w:r>
            </w:hyperlink>
            <w:r w:rsidRPr="00E2290C">
              <w:rPr>
                <w:rFonts w:ascii="Arial" w:eastAsia="Arial" w:hAnsi="Arial" w:cs="Arial"/>
              </w:rPr>
              <w:t xml:space="preserve"> describes the commission’s approach to exercising its revocation powers.</w:t>
            </w:r>
          </w:p>
        </w:tc>
      </w:tr>
      <w:tr w:rsidR="008D01FE" w:rsidRPr="00C22BF0" w14:paraId="6AD3E1D5" w14:textId="77777777" w:rsidTr="00F41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04" w:type="dxa"/>
          </w:tcPr>
          <w:p w14:paraId="49846396" w14:textId="5C703916" w:rsidR="008D01FE" w:rsidRPr="00C22BF0" w:rsidRDefault="006E68BD" w:rsidP="008D01FE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1</w:t>
            </w:r>
            <w:r w:rsidR="00ED293B">
              <w:rPr>
                <w:rFonts w:ascii="Arial" w:eastAsia="Arial" w:hAnsi="Arial" w:cs="Arial"/>
              </w:rPr>
              <w:t>9. Variation</w:t>
            </w:r>
          </w:p>
        </w:tc>
        <w:tc>
          <w:tcPr>
            <w:tcW w:w="11255" w:type="dxa"/>
          </w:tcPr>
          <w:p w14:paraId="74794188" w14:textId="12E47EB2" w:rsidR="008D01FE" w:rsidRPr="00C22BF0" w:rsidRDefault="00F10541" w:rsidP="008D01FE">
            <w:pPr>
              <w:spacing w:before="160" w:line="336" w:lineRule="auto"/>
              <w:rPr>
                <w:rFonts w:ascii="Arial" w:eastAsia="Arial" w:hAnsi="Arial" w:cs="Arial"/>
              </w:rPr>
            </w:pPr>
            <w:r w:rsidRPr="005D5B40">
              <w:rPr>
                <w:rFonts w:ascii="Arial" w:eastAsia="Arial" w:hAnsi="Arial" w:cs="Arial"/>
              </w:rPr>
              <w:t xml:space="preserve">We propose simplifying </w:t>
            </w:r>
            <w:r>
              <w:rPr>
                <w:rFonts w:ascii="Arial" w:eastAsia="Arial" w:hAnsi="Arial" w:cs="Arial"/>
              </w:rPr>
              <w:t>clause 19</w:t>
            </w:r>
            <w:r w:rsidRPr="005D5B40">
              <w:rPr>
                <w:rFonts w:ascii="Arial" w:eastAsia="Arial" w:hAnsi="Arial" w:cs="Arial"/>
              </w:rPr>
              <w:t xml:space="preserve"> by referring to the commission’s power to vary the licence in accordance with sections </w:t>
            </w:r>
            <w:r w:rsidR="00EB06DB">
              <w:rPr>
                <w:rFonts w:ascii="Arial" w:eastAsia="Arial" w:hAnsi="Arial" w:cs="Arial"/>
              </w:rPr>
              <w:t>29</w:t>
            </w:r>
            <w:r w:rsidRPr="005D5B40">
              <w:rPr>
                <w:rFonts w:ascii="Arial" w:eastAsia="Arial" w:hAnsi="Arial" w:cs="Arial"/>
              </w:rPr>
              <w:t xml:space="preserve"> of the </w:t>
            </w:r>
            <w:r w:rsidR="00EB06DB">
              <w:rPr>
                <w:rFonts w:ascii="Arial" w:eastAsia="Arial" w:hAnsi="Arial" w:cs="Arial"/>
              </w:rPr>
              <w:t>Electricity</w:t>
            </w:r>
            <w:r w:rsidRPr="005D5B40">
              <w:rPr>
                <w:rFonts w:ascii="Arial" w:eastAsia="Arial" w:hAnsi="Arial" w:cs="Arial"/>
              </w:rPr>
              <w:t xml:space="preserve"> Industry Act</w:t>
            </w:r>
            <w:r>
              <w:rPr>
                <w:rFonts w:ascii="Arial" w:eastAsia="Arial" w:hAnsi="Arial" w:cs="Arial"/>
              </w:rPr>
              <w:t xml:space="preserve">, reflected in new clause </w:t>
            </w:r>
            <w:r w:rsidR="00C40D91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33529B" w:rsidRPr="00C22BF0" w14:paraId="0D2A06EE" w14:textId="77777777" w:rsidTr="00F41A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04" w:type="dxa"/>
          </w:tcPr>
          <w:p w14:paraId="5D8BAA14" w14:textId="7D52E369" w:rsidR="0033529B" w:rsidRPr="00C22BF0" w:rsidRDefault="0033529B" w:rsidP="0033529B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20. Transfer</w:t>
            </w:r>
          </w:p>
        </w:tc>
        <w:tc>
          <w:tcPr>
            <w:tcW w:w="11255" w:type="dxa"/>
          </w:tcPr>
          <w:p w14:paraId="64A79C74" w14:textId="5D14F652" w:rsidR="0033529B" w:rsidRPr="000D21C4" w:rsidRDefault="0033529B" w:rsidP="0033529B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material </w:t>
            </w:r>
            <w:r w:rsidR="00A609D5">
              <w:rPr>
                <w:rFonts w:ascii="Arial" w:eastAsia="Arial" w:hAnsi="Arial" w:cs="Arial"/>
              </w:rPr>
              <w:t>changes</w:t>
            </w:r>
            <w:r>
              <w:rPr>
                <w:rFonts w:ascii="Arial" w:eastAsia="Arial" w:hAnsi="Arial" w:cs="Arial"/>
              </w:rPr>
              <w:t xml:space="preserve">. This clause is </w:t>
            </w:r>
            <w:r w:rsidRPr="0033529B">
              <w:rPr>
                <w:rFonts w:ascii="Arial" w:eastAsia="Arial" w:hAnsi="Arial" w:cs="Arial"/>
              </w:rPr>
              <w:t xml:space="preserve">now clause </w:t>
            </w:r>
            <w:r w:rsidR="00C40D91">
              <w:rPr>
                <w:rFonts w:ascii="Arial" w:eastAsia="Arial" w:hAnsi="Arial" w:cs="Arial"/>
              </w:rPr>
              <w:t>5</w:t>
            </w:r>
            <w:r w:rsidRPr="0033529B">
              <w:rPr>
                <w:rFonts w:ascii="Arial" w:eastAsia="Arial" w:hAnsi="Arial" w:cs="Arial"/>
              </w:rPr>
              <w:t xml:space="preserve"> in</w:t>
            </w:r>
            <w:r>
              <w:rPr>
                <w:rFonts w:ascii="Arial" w:eastAsia="Arial" w:hAnsi="Arial" w:cs="Arial"/>
              </w:rPr>
              <w:t xml:space="preserve"> the updated licences.</w:t>
            </w:r>
          </w:p>
        </w:tc>
      </w:tr>
      <w:tr w:rsidR="00417056" w:rsidRPr="00C22BF0" w14:paraId="10A6CDA1" w14:textId="77777777" w:rsidTr="00F41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04" w:type="dxa"/>
          </w:tcPr>
          <w:p w14:paraId="1A1141CA" w14:textId="2C96E9BB" w:rsidR="00417056" w:rsidRDefault="00417056" w:rsidP="0033529B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21. Administrator</w:t>
            </w:r>
          </w:p>
        </w:tc>
        <w:tc>
          <w:tcPr>
            <w:tcW w:w="11255" w:type="dxa"/>
          </w:tcPr>
          <w:p w14:paraId="2315A6A5" w14:textId="1D7CCC92" w:rsidR="00417056" w:rsidRDefault="006E355C" w:rsidP="0033529B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We propose removing this clause </w:t>
            </w:r>
            <w:r w:rsidR="000C4D2B">
              <w:rPr>
                <w:rFonts w:ascii="Arial" w:eastAsia="Arial" w:hAnsi="Arial" w:cs="Arial"/>
              </w:rPr>
              <w:t>as s</w:t>
            </w:r>
            <w:r>
              <w:rPr>
                <w:rFonts w:ascii="Arial" w:eastAsia="Arial" w:hAnsi="Arial" w:cs="Arial"/>
              </w:rPr>
              <w:t xml:space="preserve">ection </w:t>
            </w:r>
            <w:r w:rsidR="00EC4E11">
              <w:rPr>
                <w:rFonts w:ascii="Arial" w:eastAsia="Arial" w:hAnsi="Arial" w:cs="Arial"/>
              </w:rPr>
              <w:t>34 of the Electricity Industry Act</w:t>
            </w:r>
            <w:r w:rsidR="00827DB6">
              <w:rPr>
                <w:rFonts w:ascii="Arial" w:eastAsia="Arial" w:hAnsi="Arial" w:cs="Arial"/>
              </w:rPr>
              <w:t xml:space="preserve"> covers this matter. </w:t>
            </w:r>
          </w:p>
        </w:tc>
      </w:tr>
      <w:tr w:rsidR="00377CBE" w:rsidRPr="00C22BF0" w14:paraId="5C574760" w14:textId="77777777" w:rsidTr="00F41A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04" w:type="dxa"/>
          </w:tcPr>
          <w:p w14:paraId="7553FA53" w14:textId="75377E48" w:rsidR="00377CBE" w:rsidRDefault="00377CBE" w:rsidP="0033529B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22. Insurance</w:t>
            </w:r>
          </w:p>
        </w:tc>
        <w:tc>
          <w:tcPr>
            <w:tcW w:w="11255" w:type="dxa"/>
          </w:tcPr>
          <w:p w14:paraId="31B7341F" w14:textId="772E7EFE" w:rsidR="00377CBE" w:rsidRDefault="000106A9" w:rsidP="0033529B">
            <w:pPr>
              <w:spacing w:before="160" w:line="336" w:lineRule="auto"/>
              <w:rPr>
                <w:rFonts w:ascii="Arial" w:eastAsia="Arial" w:hAnsi="Arial" w:cs="Arial"/>
              </w:rPr>
            </w:pPr>
            <w:r w:rsidRPr="004B46EE">
              <w:rPr>
                <w:rFonts w:ascii="Arial" w:eastAsia="Arial" w:hAnsi="Arial" w:cs="Arial"/>
              </w:rPr>
              <w:t xml:space="preserve">We propose to </w:t>
            </w:r>
            <w:r w:rsidR="004B46EE" w:rsidRPr="004B46EE">
              <w:rPr>
                <w:rFonts w:ascii="Arial" w:eastAsia="Arial" w:hAnsi="Arial" w:cs="Arial"/>
              </w:rPr>
              <w:t>update</w:t>
            </w:r>
            <w:r w:rsidRPr="004B46EE">
              <w:rPr>
                <w:rFonts w:ascii="Arial" w:eastAsia="Arial" w:hAnsi="Arial" w:cs="Arial"/>
              </w:rPr>
              <w:t xml:space="preserve"> this condition</w:t>
            </w:r>
            <w:r w:rsidR="00D32D9A" w:rsidRPr="004B46EE">
              <w:rPr>
                <w:rFonts w:ascii="Arial" w:eastAsia="Arial" w:hAnsi="Arial" w:cs="Arial"/>
              </w:rPr>
              <w:t xml:space="preserve"> </w:t>
            </w:r>
            <w:r w:rsidR="004B46EE">
              <w:rPr>
                <w:rFonts w:ascii="Arial" w:eastAsia="Arial" w:hAnsi="Arial" w:cs="Arial"/>
              </w:rPr>
              <w:t>in new</w:t>
            </w:r>
            <w:r w:rsidR="00C307BE" w:rsidRPr="004B46EE">
              <w:rPr>
                <w:rFonts w:ascii="Arial" w:eastAsia="Arial" w:hAnsi="Arial" w:cs="Arial"/>
              </w:rPr>
              <w:t xml:space="preserve"> clause 1</w:t>
            </w:r>
            <w:r w:rsidR="0071278A" w:rsidRPr="004B46EE">
              <w:rPr>
                <w:rFonts w:ascii="Arial" w:eastAsia="Arial" w:hAnsi="Arial" w:cs="Arial"/>
              </w:rPr>
              <w:t>5</w:t>
            </w:r>
            <w:r w:rsidR="00C307BE" w:rsidRPr="004B46EE">
              <w:rPr>
                <w:rFonts w:ascii="Arial" w:eastAsia="Arial" w:hAnsi="Arial" w:cs="Arial"/>
              </w:rPr>
              <w:t>.</w:t>
            </w:r>
            <w:r w:rsidR="004B46EE">
              <w:rPr>
                <w:rFonts w:ascii="Arial" w:eastAsia="Arial" w:hAnsi="Arial" w:cs="Arial"/>
              </w:rPr>
              <w:t xml:space="preserve"> The </w:t>
            </w:r>
            <w:r w:rsidR="00CE5F16">
              <w:rPr>
                <w:rFonts w:ascii="Arial" w:eastAsia="Arial" w:hAnsi="Arial" w:cs="Arial"/>
              </w:rPr>
              <w:t xml:space="preserve">proposed new clause </w:t>
            </w:r>
            <w:r w:rsidR="00CE3998">
              <w:rPr>
                <w:rFonts w:ascii="Arial" w:eastAsia="Arial" w:hAnsi="Arial" w:cs="Arial"/>
              </w:rPr>
              <w:t xml:space="preserve">requires licensees to provide the commission annually a copy of their insurance policy and a certificate of </w:t>
            </w:r>
            <w:r w:rsidR="00CD4786">
              <w:rPr>
                <w:rFonts w:ascii="Arial" w:eastAsia="Arial" w:hAnsi="Arial" w:cs="Arial"/>
              </w:rPr>
              <w:t xml:space="preserve">its </w:t>
            </w:r>
            <w:r w:rsidR="00CE3998">
              <w:rPr>
                <w:rFonts w:ascii="Arial" w:eastAsia="Arial" w:hAnsi="Arial" w:cs="Arial"/>
              </w:rPr>
              <w:t>currency.</w:t>
            </w:r>
          </w:p>
        </w:tc>
      </w:tr>
      <w:tr w:rsidR="000D4A55" w:rsidRPr="00C22BF0" w14:paraId="43FC1A48" w14:textId="77777777" w:rsidTr="00F41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04" w:type="dxa"/>
          </w:tcPr>
          <w:p w14:paraId="1239AD85" w14:textId="69130DF8" w:rsidR="000D4A55" w:rsidRDefault="000D4A55" w:rsidP="0033529B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Schedule 1</w:t>
            </w:r>
            <w:r w:rsidR="00C307BE">
              <w:rPr>
                <w:rFonts w:ascii="Arial" w:eastAsia="Arial" w:hAnsi="Arial" w:cs="Arial"/>
              </w:rPr>
              <w:t>:</w:t>
            </w:r>
            <w:r w:rsidR="00CF12A1">
              <w:rPr>
                <w:rFonts w:ascii="Arial" w:eastAsia="Arial" w:hAnsi="Arial" w:cs="Arial"/>
              </w:rPr>
              <w:t xml:space="preserve"> Variations to the licence</w:t>
            </w:r>
          </w:p>
        </w:tc>
        <w:tc>
          <w:tcPr>
            <w:tcW w:w="11255" w:type="dxa"/>
          </w:tcPr>
          <w:p w14:paraId="49C2747F" w14:textId="219F48FE" w:rsidR="000D4A55" w:rsidRDefault="000F4276" w:rsidP="0033529B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This is now addressed in Schedule 2. </w:t>
            </w:r>
            <w:r w:rsidR="00625A4C">
              <w:rPr>
                <w:rFonts w:ascii="Arial" w:eastAsia="Arial" w:hAnsi="Arial" w:cs="Arial"/>
              </w:rPr>
              <w:t>New Schedule 1 will list the transmission assets specified for each licence.</w:t>
            </w:r>
          </w:p>
        </w:tc>
      </w:tr>
    </w:tbl>
    <w:p w14:paraId="4BA51EE4" w14:textId="77777777" w:rsidR="00967FBC" w:rsidRDefault="00967FBC" w:rsidP="00967FBC"/>
    <w:p w14:paraId="189EE8A6" w14:textId="77777777" w:rsidR="00967FBC" w:rsidRDefault="00967FBC" w:rsidP="00967FBC"/>
    <w:p w14:paraId="0B60216F" w14:textId="3C5A2FF1" w:rsidR="00F30797" w:rsidRPr="00DE129D" w:rsidRDefault="00F30797" w:rsidP="00415D9C"/>
    <w:sectPr w:rsidR="00F30797" w:rsidRPr="00DE129D" w:rsidSect="00967FBC">
      <w:headerReference w:type="default" r:id="rId9"/>
      <w:footerReference w:type="default" r:id="rId10"/>
      <w:footerReference w:type="first" r:id="rId11"/>
      <w:pgSz w:w="16838" w:h="11906" w:orient="landscape" w:code="9"/>
      <w:pgMar w:top="1134" w:right="1134" w:bottom="1134" w:left="1134" w:header="709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E3C6C" w14:textId="77777777" w:rsidR="006D48FC" w:rsidRDefault="006D48FC" w:rsidP="00AE03FA">
      <w:pPr>
        <w:spacing w:after="0"/>
      </w:pPr>
      <w:r>
        <w:separator/>
      </w:r>
    </w:p>
    <w:p w14:paraId="4D00C856" w14:textId="77777777" w:rsidR="006D48FC" w:rsidRDefault="006D48FC"/>
  </w:endnote>
  <w:endnote w:type="continuationSeparator" w:id="0">
    <w:p w14:paraId="06358E62" w14:textId="77777777" w:rsidR="006D48FC" w:rsidRDefault="006D48FC" w:rsidP="00AE03FA">
      <w:pPr>
        <w:spacing w:after="0"/>
      </w:pPr>
      <w:r>
        <w:continuationSeparator/>
      </w:r>
    </w:p>
    <w:p w14:paraId="4FA3FA80" w14:textId="77777777" w:rsidR="006D48FC" w:rsidRDefault="006D48FC"/>
  </w:endnote>
  <w:endnote w:type="continuationNotice" w:id="1">
    <w:p w14:paraId="559CBD80" w14:textId="77777777" w:rsidR="006D48FC" w:rsidRDefault="006D48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DE129D" w14:paraId="47100F2B" w14:textId="77777777" w:rsidTr="00045413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6B235F68" w14:textId="77777777" w:rsidR="00DE129D" w:rsidRPr="009E15D6" w:rsidRDefault="00DE129D" w:rsidP="00045413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515177">
            <w:rPr>
              <w:rStyle w:val="PageNumber"/>
              <w:noProof/>
            </w:rPr>
            <w:t>2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4E22BE29" w14:textId="01BEB90F" w:rsidR="00F06B55" w:rsidRPr="00DE129D" w:rsidRDefault="00DE129D" w:rsidP="008E5CAD">
    <w:pPr>
      <w:pStyle w:val="Footer"/>
      <w:ind w:right="707"/>
      <w:rPr>
        <w:b/>
      </w:rPr>
    </w:pPr>
    <w:r>
      <w:t xml:space="preserve">Essential Services Commission </w:t>
    </w:r>
    <w:sdt>
      <w:sdtPr>
        <w:rPr>
          <w:b/>
        </w:rPr>
        <w:alias w:val="Title"/>
        <w:tag w:val=""/>
        <w:id w:val="-14512285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E6C2F">
          <w:rPr>
            <w:b/>
          </w:rPr>
          <w:t>Annex B: Proposed variations to electricity transmission licences</w:t>
        </w:r>
      </w:sdtContent>
    </w:sdt>
    <w:r>
      <w:rPr>
        <w:b/>
      </w:rPr>
      <w:t xml:space="preserve">   </w:t>
    </w:r>
    <w:r w:rsidRPr="00CF2B1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6B7573" w14:paraId="7FFFE4B1" w14:textId="77777777" w:rsidTr="00A76C8D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648FE98E" w14:textId="77777777" w:rsidR="006B7573" w:rsidRPr="009E15D6" w:rsidRDefault="006B7573" w:rsidP="00A76C8D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515177">
            <w:rPr>
              <w:rStyle w:val="PageNumber"/>
              <w:noProof/>
            </w:rPr>
            <w:t>1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16F56106" w14:textId="3D19B7A1" w:rsidR="000E4F95" w:rsidRPr="006B7573" w:rsidRDefault="006B7573" w:rsidP="008E5CAD">
    <w:pPr>
      <w:pStyle w:val="Footer"/>
      <w:ind w:right="707"/>
      <w:rPr>
        <w:b/>
      </w:rPr>
    </w:pPr>
    <w:r>
      <w:t xml:space="preserve">Essential Services Commission </w:t>
    </w:r>
    <w:sdt>
      <w:sdtPr>
        <w:rPr>
          <w:b/>
        </w:rPr>
        <w:alias w:val="Title"/>
        <w:tag w:val=""/>
        <w:id w:val="77745221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F7C5D">
          <w:rPr>
            <w:b/>
          </w:rPr>
          <w:t xml:space="preserve">Annex </w:t>
        </w:r>
        <w:r w:rsidR="00FE6C2F">
          <w:rPr>
            <w:b/>
          </w:rPr>
          <w:t>B</w:t>
        </w:r>
        <w:r w:rsidR="00BF7C5D">
          <w:rPr>
            <w:b/>
          </w:rPr>
          <w:t xml:space="preserve">: </w:t>
        </w:r>
        <w:r w:rsidR="00625A4C">
          <w:rPr>
            <w:b/>
          </w:rPr>
          <w:t>Proposed variations to electricity transmission licences</w:t>
        </w:r>
      </w:sdtContent>
    </w:sdt>
    <w:r>
      <w:rPr>
        <w:b/>
      </w:rPr>
      <w:t xml:space="preserve">   </w:t>
    </w:r>
    <w:r w:rsidRPr="00CF2B1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98E39" w14:textId="77777777" w:rsidR="006D48FC" w:rsidRPr="00CF33F6" w:rsidRDefault="006D48FC" w:rsidP="00AE03FA">
      <w:pPr>
        <w:spacing w:after="0"/>
        <w:rPr>
          <w:color w:val="75787B" w:themeColor="background2"/>
        </w:rPr>
      </w:pPr>
      <w:bookmarkStart w:id="0" w:name="_Hlk480978878"/>
      <w:bookmarkEnd w:id="0"/>
      <w:r w:rsidRPr="00CF33F6">
        <w:rPr>
          <w:color w:val="75787B" w:themeColor="background2"/>
        </w:rPr>
        <w:separator/>
      </w:r>
    </w:p>
    <w:p w14:paraId="54B1E39E" w14:textId="77777777" w:rsidR="006D48FC" w:rsidRDefault="006D48FC" w:rsidP="00CF33F6">
      <w:pPr>
        <w:pStyle w:val="NoSpacing"/>
      </w:pPr>
    </w:p>
  </w:footnote>
  <w:footnote w:type="continuationSeparator" w:id="0">
    <w:p w14:paraId="15D50E41" w14:textId="77777777" w:rsidR="006D48FC" w:rsidRDefault="006D48FC" w:rsidP="00AE03FA">
      <w:pPr>
        <w:spacing w:after="0"/>
      </w:pPr>
      <w:r>
        <w:continuationSeparator/>
      </w:r>
    </w:p>
    <w:p w14:paraId="2990A24A" w14:textId="77777777" w:rsidR="006D48FC" w:rsidRDefault="006D48FC"/>
  </w:footnote>
  <w:footnote w:type="continuationNotice" w:id="1">
    <w:p w14:paraId="470BBF3E" w14:textId="77777777" w:rsidR="006D48FC" w:rsidRDefault="006D48FC">
      <w:pPr>
        <w:spacing w:after="0" w:line="240" w:lineRule="auto"/>
      </w:pPr>
    </w:p>
  </w:footnote>
  <w:footnote w:id="2">
    <w:p w14:paraId="07F4BA5A" w14:textId="7AC0128A" w:rsidR="00577CE3" w:rsidRPr="00577CE3" w:rsidRDefault="00577CE3">
      <w:pPr>
        <w:pStyle w:val="FootnoteText"/>
      </w:pPr>
      <w:r>
        <w:rPr>
          <w:rStyle w:val="FootnoteReference"/>
        </w:rPr>
        <w:footnoteRef/>
      </w:r>
      <w:r>
        <w:t>. TransGrid</w:t>
      </w:r>
      <w:r w:rsidR="0092124D">
        <w:t xml:space="preserve"> (</w:t>
      </w:r>
      <w:r w:rsidR="006E5438">
        <w:t>Berrybank</w:t>
      </w:r>
      <w:r w:rsidR="0092124D">
        <w:t>) and TransGrid (Kiamal)</w:t>
      </w:r>
      <w:r w:rsidR="00814C7D">
        <w:t xml:space="preserve"> </w:t>
      </w:r>
      <w:r w:rsidR="00BE1D68">
        <w:t xml:space="preserve">licences </w:t>
      </w:r>
      <w:r w:rsidR="00A42BDE">
        <w:t xml:space="preserve">were used </w:t>
      </w:r>
      <w:r w:rsidR="00BE1D68">
        <w:t>as the examples for this exercise</w:t>
      </w:r>
      <w:r w:rsidR="00A42BDE">
        <w:t>, including references to clause numbers</w:t>
      </w:r>
      <w:r w:rsidR="00814C7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3176" w14:textId="4234B039" w:rsidR="003A30F3" w:rsidRPr="00633068" w:rsidRDefault="003A30F3" w:rsidP="00633068">
    <w:pPr>
      <w:pStyle w:val="Header"/>
      <w:tabs>
        <w:tab w:val="clear" w:pos="4680"/>
        <w:tab w:val="clear" w:pos="9360"/>
        <w:tab w:val="left" w:pos="22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BE5C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2043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F6E1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1CF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FE74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86A6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A00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145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CEE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18C1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E90296"/>
    <w:multiLevelType w:val="multilevel"/>
    <w:tmpl w:val="510EE69C"/>
    <w:styleLink w:val="ListLetters"/>
    <w:lvl w:ilvl="0">
      <w:start w:val="1"/>
      <w:numFmt w:val="lowerLetter"/>
      <w:pStyle w:val="ListLetters0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FF96766"/>
    <w:multiLevelType w:val="multilevel"/>
    <w:tmpl w:val="7B18E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F3222"/>
    <w:multiLevelType w:val="hybridMultilevel"/>
    <w:tmpl w:val="FBA81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10C0B"/>
    <w:multiLevelType w:val="multilevel"/>
    <w:tmpl w:val="3D66CBA2"/>
    <w:numStyleLink w:val="CustomNumberlist"/>
  </w:abstractNum>
  <w:abstractNum w:abstractNumId="14" w15:restartNumberingAfterBreak="0">
    <w:nsid w:val="1B3C049B"/>
    <w:multiLevelType w:val="multilevel"/>
    <w:tmpl w:val="6D9A2BC2"/>
    <w:numStyleLink w:val="NumberedHeadings"/>
  </w:abstractNum>
  <w:abstractNum w:abstractNumId="15" w15:restartNumberingAfterBreak="0">
    <w:nsid w:val="1E8052EF"/>
    <w:multiLevelType w:val="multilevel"/>
    <w:tmpl w:val="DF4A9966"/>
    <w:numStyleLink w:val="TableBullets"/>
  </w:abstractNum>
  <w:abstractNum w:abstractNumId="16" w15:restartNumberingAfterBreak="0">
    <w:nsid w:val="1FCF7766"/>
    <w:multiLevelType w:val="multilevel"/>
    <w:tmpl w:val="6D9A2BC2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Figure-Table-BoxHeading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2391238"/>
    <w:multiLevelType w:val="multilevel"/>
    <w:tmpl w:val="6D9A2BC2"/>
    <w:numStyleLink w:val="NumberedHeadings"/>
  </w:abstractNum>
  <w:abstractNum w:abstractNumId="18" w15:restartNumberingAfterBreak="0">
    <w:nsid w:val="359E348D"/>
    <w:multiLevelType w:val="multilevel"/>
    <w:tmpl w:val="3D66CBA2"/>
    <w:numStyleLink w:val="CustomNumberlist"/>
  </w:abstractNum>
  <w:abstractNum w:abstractNumId="19" w15:restartNumberingAfterBreak="0">
    <w:nsid w:val="39C20E77"/>
    <w:multiLevelType w:val="multilevel"/>
    <w:tmpl w:val="6D9A2BC2"/>
    <w:numStyleLink w:val="NumberedHeadings"/>
  </w:abstractNum>
  <w:abstractNum w:abstractNumId="20" w15:restartNumberingAfterBreak="0">
    <w:nsid w:val="3AA454D7"/>
    <w:multiLevelType w:val="multilevel"/>
    <w:tmpl w:val="6D9A2BC2"/>
    <w:numStyleLink w:val="NumberedHeadings"/>
  </w:abstractNum>
  <w:abstractNum w:abstractNumId="21" w15:restartNumberingAfterBreak="0">
    <w:nsid w:val="3F9735C7"/>
    <w:multiLevelType w:val="multilevel"/>
    <w:tmpl w:val="2FAC61F8"/>
    <w:styleLink w:val="Bullet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pStyle w:val="ListParagraph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bullet"/>
      <w:pStyle w:val="ListBullet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8F47E20"/>
    <w:multiLevelType w:val="multilevel"/>
    <w:tmpl w:val="3D66CBA2"/>
    <w:styleLink w:val="CustomNumberlist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A8B0109"/>
    <w:multiLevelType w:val="multilevel"/>
    <w:tmpl w:val="3D66CBA2"/>
    <w:numStyleLink w:val="CustomNumberlist"/>
  </w:abstractNum>
  <w:abstractNum w:abstractNumId="24" w15:restartNumberingAfterBreak="0">
    <w:nsid w:val="542963A3"/>
    <w:multiLevelType w:val="multilevel"/>
    <w:tmpl w:val="15E08ED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13D30B6"/>
    <w:multiLevelType w:val="hybridMultilevel"/>
    <w:tmpl w:val="FC20E16C"/>
    <w:lvl w:ilvl="0" w:tplc="A8B6EDD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05317"/>
    <w:multiLevelType w:val="multilevel"/>
    <w:tmpl w:val="3D66CBA2"/>
    <w:numStyleLink w:val="CustomNumberlist"/>
  </w:abstractNum>
  <w:abstractNum w:abstractNumId="27" w15:restartNumberingAfterBreak="0">
    <w:nsid w:val="6B031981"/>
    <w:multiLevelType w:val="multilevel"/>
    <w:tmpl w:val="DF4A9966"/>
    <w:styleLink w:val="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2"/>
      <w:lvlText w:val="-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decimal"/>
      <w:pStyle w:val="TableListNumber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TableListNumber2"/>
      <w:lvlText w:val="%3.%4.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0732D36"/>
    <w:multiLevelType w:val="multilevel"/>
    <w:tmpl w:val="ABC89444"/>
    <w:styleLink w:val="Pull-outlists"/>
    <w:lvl w:ilvl="0">
      <w:start w:val="1"/>
      <w:numFmt w:val="bullet"/>
      <w:pStyle w:val="Pull-outBullet1"/>
      <w:lvlText w:val=""/>
      <w:lvlJc w:val="left"/>
      <w:pPr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pStyle w:val="Pull-outBullet2"/>
      <w:lvlText w:val="–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Pull-outListNumber1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Pull-outListNumber2"/>
      <w:lvlText w:val="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5661215"/>
    <w:multiLevelType w:val="hybridMultilevel"/>
    <w:tmpl w:val="C3A4F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697036">
    <w:abstractNumId w:val="9"/>
  </w:num>
  <w:num w:numId="2" w16cid:durableId="185098894">
    <w:abstractNumId w:val="7"/>
  </w:num>
  <w:num w:numId="3" w16cid:durableId="916400596">
    <w:abstractNumId w:val="6"/>
  </w:num>
  <w:num w:numId="4" w16cid:durableId="96028184">
    <w:abstractNumId w:val="5"/>
  </w:num>
  <w:num w:numId="5" w16cid:durableId="866141149">
    <w:abstractNumId w:val="4"/>
  </w:num>
  <w:num w:numId="6" w16cid:durableId="334383286">
    <w:abstractNumId w:val="8"/>
  </w:num>
  <w:num w:numId="7" w16cid:durableId="1807896090">
    <w:abstractNumId w:val="3"/>
  </w:num>
  <w:num w:numId="8" w16cid:durableId="344862113">
    <w:abstractNumId w:val="2"/>
  </w:num>
  <w:num w:numId="9" w16cid:durableId="1508599985">
    <w:abstractNumId w:val="1"/>
  </w:num>
  <w:num w:numId="10" w16cid:durableId="473254279">
    <w:abstractNumId w:val="21"/>
  </w:num>
  <w:num w:numId="11" w16cid:durableId="440537714">
    <w:abstractNumId w:val="16"/>
  </w:num>
  <w:num w:numId="12" w16cid:durableId="3962428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1607389">
    <w:abstractNumId w:val="0"/>
  </w:num>
  <w:num w:numId="14" w16cid:durableId="116218319">
    <w:abstractNumId w:val="16"/>
  </w:num>
  <w:num w:numId="15" w16cid:durableId="267205187">
    <w:abstractNumId w:val="17"/>
  </w:num>
  <w:num w:numId="16" w16cid:durableId="1387559346">
    <w:abstractNumId w:val="11"/>
  </w:num>
  <w:num w:numId="17" w16cid:durableId="1600596959">
    <w:abstractNumId w:val="22"/>
  </w:num>
  <w:num w:numId="18" w16cid:durableId="1230727044">
    <w:abstractNumId w:val="22"/>
  </w:num>
  <w:num w:numId="19" w16cid:durableId="782502817">
    <w:abstractNumId w:val="18"/>
  </w:num>
  <w:num w:numId="20" w16cid:durableId="604388645">
    <w:abstractNumId w:val="13"/>
  </w:num>
  <w:num w:numId="21" w16cid:durableId="218251896">
    <w:abstractNumId w:val="24"/>
  </w:num>
  <w:num w:numId="22" w16cid:durableId="1815557545">
    <w:abstractNumId w:val="26"/>
  </w:num>
  <w:num w:numId="23" w16cid:durableId="426733541">
    <w:abstractNumId w:val="12"/>
  </w:num>
  <w:num w:numId="24" w16cid:durableId="2013868488">
    <w:abstractNumId w:val="29"/>
  </w:num>
  <w:num w:numId="25" w16cid:durableId="1935242620">
    <w:abstractNumId w:val="25"/>
  </w:num>
  <w:num w:numId="26" w16cid:durableId="2129857643">
    <w:abstractNumId w:val="27"/>
  </w:num>
  <w:num w:numId="27" w16cid:durableId="2020810337">
    <w:abstractNumId w:val="15"/>
  </w:num>
  <w:num w:numId="28" w16cid:durableId="1464689656">
    <w:abstractNumId w:val="20"/>
  </w:num>
  <w:num w:numId="29" w16cid:durableId="1773429934">
    <w:abstractNumId w:val="19"/>
  </w:num>
  <w:num w:numId="30" w16cid:durableId="1496996772">
    <w:abstractNumId w:val="14"/>
  </w:num>
  <w:num w:numId="31" w16cid:durableId="900485906">
    <w:abstractNumId w:val="23"/>
  </w:num>
  <w:num w:numId="32" w16cid:durableId="1789471662">
    <w:abstractNumId w:val="10"/>
  </w:num>
  <w:num w:numId="33" w16cid:durableId="4059565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8062927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BC"/>
    <w:rsid w:val="000046BD"/>
    <w:rsid w:val="000106A9"/>
    <w:rsid w:val="00015588"/>
    <w:rsid w:val="00021EAE"/>
    <w:rsid w:val="000337A0"/>
    <w:rsid w:val="000407FB"/>
    <w:rsid w:val="00041442"/>
    <w:rsid w:val="00041662"/>
    <w:rsid w:val="00047FAF"/>
    <w:rsid w:val="000518F3"/>
    <w:rsid w:val="000522BB"/>
    <w:rsid w:val="00052A65"/>
    <w:rsid w:val="00053C0A"/>
    <w:rsid w:val="00055EBE"/>
    <w:rsid w:val="000566E0"/>
    <w:rsid w:val="00057AB6"/>
    <w:rsid w:val="00062AE4"/>
    <w:rsid w:val="00066BA9"/>
    <w:rsid w:val="00067DD9"/>
    <w:rsid w:val="00077137"/>
    <w:rsid w:val="000856CE"/>
    <w:rsid w:val="000916B4"/>
    <w:rsid w:val="000927CC"/>
    <w:rsid w:val="00094F5E"/>
    <w:rsid w:val="00097C00"/>
    <w:rsid w:val="000A1292"/>
    <w:rsid w:val="000A5240"/>
    <w:rsid w:val="000A759D"/>
    <w:rsid w:val="000A7FD9"/>
    <w:rsid w:val="000B08F7"/>
    <w:rsid w:val="000B1A62"/>
    <w:rsid w:val="000B3735"/>
    <w:rsid w:val="000C30CA"/>
    <w:rsid w:val="000C4D2B"/>
    <w:rsid w:val="000D4547"/>
    <w:rsid w:val="000D4A55"/>
    <w:rsid w:val="000E4DEB"/>
    <w:rsid w:val="000E4F95"/>
    <w:rsid w:val="000F4276"/>
    <w:rsid w:val="000F6F0D"/>
    <w:rsid w:val="00102044"/>
    <w:rsid w:val="00102AB7"/>
    <w:rsid w:val="00105220"/>
    <w:rsid w:val="0010539C"/>
    <w:rsid w:val="00106608"/>
    <w:rsid w:val="0011176C"/>
    <w:rsid w:val="0012459D"/>
    <w:rsid w:val="001310A5"/>
    <w:rsid w:val="00146709"/>
    <w:rsid w:val="00151443"/>
    <w:rsid w:val="00153046"/>
    <w:rsid w:val="00153081"/>
    <w:rsid w:val="00160F48"/>
    <w:rsid w:val="00163BA6"/>
    <w:rsid w:val="00163CA0"/>
    <w:rsid w:val="00173CED"/>
    <w:rsid w:val="00174D98"/>
    <w:rsid w:val="00183404"/>
    <w:rsid w:val="00184CEF"/>
    <w:rsid w:val="001869B0"/>
    <w:rsid w:val="00187ACF"/>
    <w:rsid w:val="00187BA9"/>
    <w:rsid w:val="001A4ACF"/>
    <w:rsid w:val="001B3A1C"/>
    <w:rsid w:val="001B461F"/>
    <w:rsid w:val="001C750A"/>
    <w:rsid w:val="001D07CD"/>
    <w:rsid w:val="001D133E"/>
    <w:rsid w:val="001D157F"/>
    <w:rsid w:val="001D1648"/>
    <w:rsid w:val="001D4249"/>
    <w:rsid w:val="001D5257"/>
    <w:rsid w:val="001E3CE3"/>
    <w:rsid w:val="001F3724"/>
    <w:rsid w:val="001F3997"/>
    <w:rsid w:val="001F64A3"/>
    <w:rsid w:val="00204C88"/>
    <w:rsid w:val="002056BA"/>
    <w:rsid w:val="00212046"/>
    <w:rsid w:val="00221CC9"/>
    <w:rsid w:val="00226E70"/>
    <w:rsid w:val="0022708E"/>
    <w:rsid w:val="00232581"/>
    <w:rsid w:val="00232D9A"/>
    <w:rsid w:val="002363F4"/>
    <w:rsid w:val="00237FF7"/>
    <w:rsid w:val="00251145"/>
    <w:rsid w:val="00264072"/>
    <w:rsid w:val="002728D0"/>
    <w:rsid w:val="002750C4"/>
    <w:rsid w:val="00290CEC"/>
    <w:rsid w:val="00290FCB"/>
    <w:rsid w:val="002966CE"/>
    <w:rsid w:val="002A059D"/>
    <w:rsid w:val="002A2C6A"/>
    <w:rsid w:val="002B612A"/>
    <w:rsid w:val="002C12FB"/>
    <w:rsid w:val="002C2ADF"/>
    <w:rsid w:val="002C4FB9"/>
    <w:rsid w:val="002C54EC"/>
    <w:rsid w:val="002C6F9E"/>
    <w:rsid w:val="002D3B02"/>
    <w:rsid w:val="002D4634"/>
    <w:rsid w:val="002D682B"/>
    <w:rsid w:val="002D729F"/>
    <w:rsid w:val="002E48AC"/>
    <w:rsid w:val="002F51E6"/>
    <w:rsid w:val="00317C67"/>
    <w:rsid w:val="00324719"/>
    <w:rsid w:val="00327B4F"/>
    <w:rsid w:val="0033529B"/>
    <w:rsid w:val="00344D56"/>
    <w:rsid w:val="003460F3"/>
    <w:rsid w:val="00353663"/>
    <w:rsid w:val="003553BF"/>
    <w:rsid w:val="00360763"/>
    <w:rsid w:val="0036234C"/>
    <w:rsid w:val="00363C03"/>
    <w:rsid w:val="00374415"/>
    <w:rsid w:val="00375AEF"/>
    <w:rsid w:val="00375CBF"/>
    <w:rsid w:val="00375EFC"/>
    <w:rsid w:val="00376132"/>
    <w:rsid w:val="003771D4"/>
    <w:rsid w:val="00377CBE"/>
    <w:rsid w:val="00382FCA"/>
    <w:rsid w:val="003837CC"/>
    <w:rsid w:val="00383D4F"/>
    <w:rsid w:val="003860A6"/>
    <w:rsid w:val="00387953"/>
    <w:rsid w:val="003904B9"/>
    <w:rsid w:val="00394187"/>
    <w:rsid w:val="00395CFE"/>
    <w:rsid w:val="003A16E1"/>
    <w:rsid w:val="003A2748"/>
    <w:rsid w:val="003A30F3"/>
    <w:rsid w:val="003A5786"/>
    <w:rsid w:val="003A5FDC"/>
    <w:rsid w:val="003B1227"/>
    <w:rsid w:val="003B5AB1"/>
    <w:rsid w:val="003C39F4"/>
    <w:rsid w:val="003C6E7D"/>
    <w:rsid w:val="003C723B"/>
    <w:rsid w:val="003C73BB"/>
    <w:rsid w:val="003D2CE6"/>
    <w:rsid w:val="003D4C5B"/>
    <w:rsid w:val="003E1311"/>
    <w:rsid w:val="003E2897"/>
    <w:rsid w:val="003E6B0D"/>
    <w:rsid w:val="003F1961"/>
    <w:rsid w:val="003F2963"/>
    <w:rsid w:val="003F49A1"/>
    <w:rsid w:val="00400C84"/>
    <w:rsid w:val="004064CD"/>
    <w:rsid w:val="00414AB9"/>
    <w:rsid w:val="00415D9C"/>
    <w:rsid w:val="00417056"/>
    <w:rsid w:val="00425E18"/>
    <w:rsid w:val="0043066B"/>
    <w:rsid w:val="004309BF"/>
    <w:rsid w:val="00434B78"/>
    <w:rsid w:val="0044062D"/>
    <w:rsid w:val="0045119D"/>
    <w:rsid w:val="004558CC"/>
    <w:rsid w:val="004620CD"/>
    <w:rsid w:val="004626B0"/>
    <w:rsid w:val="0046312A"/>
    <w:rsid w:val="00474670"/>
    <w:rsid w:val="004812DB"/>
    <w:rsid w:val="004844EB"/>
    <w:rsid w:val="00484F2D"/>
    <w:rsid w:val="004855CE"/>
    <w:rsid w:val="00495E2E"/>
    <w:rsid w:val="00496CF9"/>
    <w:rsid w:val="00497691"/>
    <w:rsid w:val="00497E62"/>
    <w:rsid w:val="004A08CD"/>
    <w:rsid w:val="004A3CCB"/>
    <w:rsid w:val="004B0C46"/>
    <w:rsid w:val="004B46EE"/>
    <w:rsid w:val="004C1FDC"/>
    <w:rsid w:val="004C670C"/>
    <w:rsid w:val="004D00BF"/>
    <w:rsid w:val="004E0FF2"/>
    <w:rsid w:val="004E4EA4"/>
    <w:rsid w:val="004F231B"/>
    <w:rsid w:val="004F553D"/>
    <w:rsid w:val="0050064B"/>
    <w:rsid w:val="005014C6"/>
    <w:rsid w:val="00502535"/>
    <w:rsid w:val="00506D78"/>
    <w:rsid w:val="00510B23"/>
    <w:rsid w:val="00515177"/>
    <w:rsid w:val="00515521"/>
    <w:rsid w:val="0051680A"/>
    <w:rsid w:val="005232B2"/>
    <w:rsid w:val="005354B5"/>
    <w:rsid w:val="00541F9A"/>
    <w:rsid w:val="00545E3C"/>
    <w:rsid w:val="005531F1"/>
    <w:rsid w:val="00557B7A"/>
    <w:rsid w:val="00562EF6"/>
    <w:rsid w:val="00563AD8"/>
    <w:rsid w:val="00564BE8"/>
    <w:rsid w:val="005676CE"/>
    <w:rsid w:val="00570E5B"/>
    <w:rsid w:val="00572E1C"/>
    <w:rsid w:val="00576524"/>
    <w:rsid w:val="00577CE3"/>
    <w:rsid w:val="005833C7"/>
    <w:rsid w:val="00584123"/>
    <w:rsid w:val="005A1443"/>
    <w:rsid w:val="005A1E24"/>
    <w:rsid w:val="005A4687"/>
    <w:rsid w:val="005A59F0"/>
    <w:rsid w:val="005A717D"/>
    <w:rsid w:val="005C01F6"/>
    <w:rsid w:val="005C18D2"/>
    <w:rsid w:val="005C5FAD"/>
    <w:rsid w:val="005C6E04"/>
    <w:rsid w:val="005E2A78"/>
    <w:rsid w:val="005E2E03"/>
    <w:rsid w:val="005E5FCE"/>
    <w:rsid w:val="005E79C9"/>
    <w:rsid w:val="005E7FEA"/>
    <w:rsid w:val="005F3D90"/>
    <w:rsid w:val="005F5578"/>
    <w:rsid w:val="005F5D6F"/>
    <w:rsid w:val="006021A6"/>
    <w:rsid w:val="00604A04"/>
    <w:rsid w:val="00615C49"/>
    <w:rsid w:val="0061605C"/>
    <w:rsid w:val="006202E6"/>
    <w:rsid w:val="00625149"/>
    <w:rsid w:val="00625A4C"/>
    <w:rsid w:val="00630AAE"/>
    <w:rsid w:val="00631EE5"/>
    <w:rsid w:val="00633068"/>
    <w:rsid w:val="0063494B"/>
    <w:rsid w:val="00651F35"/>
    <w:rsid w:val="00652420"/>
    <w:rsid w:val="00666190"/>
    <w:rsid w:val="00670D97"/>
    <w:rsid w:val="006779EC"/>
    <w:rsid w:val="006817B0"/>
    <w:rsid w:val="00682135"/>
    <w:rsid w:val="006823CC"/>
    <w:rsid w:val="006842C1"/>
    <w:rsid w:val="00695F6A"/>
    <w:rsid w:val="006A1708"/>
    <w:rsid w:val="006A67D2"/>
    <w:rsid w:val="006B1C43"/>
    <w:rsid w:val="006B7160"/>
    <w:rsid w:val="006B7573"/>
    <w:rsid w:val="006C1D9E"/>
    <w:rsid w:val="006C21F1"/>
    <w:rsid w:val="006C4904"/>
    <w:rsid w:val="006D0A5E"/>
    <w:rsid w:val="006D0EBF"/>
    <w:rsid w:val="006D48FC"/>
    <w:rsid w:val="006D4CD9"/>
    <w:rsid w:val="006E2D32"/>
    <w:rsid w:val="006E355C"/>
    <w:rsid w:val="006E5438"/>
    <w:rsid w:val="006E6549"/>
    <w:rsid w:val="006E68BD"/>
    <w:rsid w:val="006E6B2B"/>
    <w:rsid w:val="006E6D0D"/>
    <w:rsid w:val="006F29EA"/>
    <w:rsid w:val="0070101C"/>
    <w:rsid w:val="00703C67"/>
    <w:rsid w:val="00707B2F"/>
    <w:rsid w:val="00707B4C"/>
    <w:rsid w:val="00710792"/>
    <w:rsid w:val="00711BA5"/>
    <w:rsid w:val="0071278A"/>
    <w:rsid w:val="007138E7"/>
    <w:rsid w:val="0071799F"/>
    <w:rsid w:val="00717CCA"/>
    <w:rsid w:val="007202C6"/>
    <w:rsid w:val="007230E1"/>
    <w:rsid w:val="00723853"/>
    <w:rsid w:val="00724A37"/>
    <w:rsid w:val="0073414C"/>
    <w:rsid w:val="00740720"/>
    <w:rsid w:val="00744456"/>
    <w:rsid w:val="00745074"/>
    <w:rsid w:val="00746C89"/>
    <w:rsid w:val="00747563"/>
    <w:rsid w:val="00752020"/>
    <w:rsid w:val="00755847"/>
    <w:rsid w:val="0075609C"/>
    <w:rsid w:val="007567FD"/>
    <w:rsid w:val="00757301"/>
    <w:rsid w:val="0076019B"/>
    <w:rsid w:val="00760FE3"/>
    <w:rsid w:val="007624C4"/>
    <w:rsid w:val="00764333"/>
    <w:rsid w:val="00772EB1"/>
    <w:rsid w:val="00776474"/>
    <w:rsid w:val="00776A8F"/>
    <w:rsid w:val="00777F9C"/>
    <w:rsid w:val="00781227"/>
    <w:rsid w:val="00782E55"/>
    <w:rsid w:val="00784DEB"/>
    <w:rsid w:val="00792B10"/>
    <w:rsid w:val="00796928"/>
    <w:rsid w:val="007A5734"/>
    <w:rsid w:val="007A74DE"/>
    <w:rsid w:val="007B16D5"/>
    <w:rsid w:val="007B565F"/>
    <w:rsid w:val="007B6C8C"/>
    <w:rsid w:val="007C3244"/>
    <w:rsid w:val="007C701B"/>
    <w:rsid w:val="007C7E2D"/>
    <w:rsid w:val="007D3206"/>
    <w:rsid w:val="007D495A"/>
    <w:rsid w:val="007E062D"/>
    <w:rsid w:val="007E3206"/>
    <w:rsid w:val="007F052B"/>
    <w:rsid w:val="007F22B9"/>
    <w:rsid w:val="00814C7D"/>
    <w:rsid w:val="008247FC"/>
    <w:rsid w:val="00827DB6"/>
    <w:rsid w:val="00846FDD"/>
    <w:rsid w:val="008544D9"/>
    <w:rsid w:val="0085490B"/>
    <w:rsid w:val="00856B4B"/>
    <w:rsid w:val="008644A0"/>
    <w:rsid w:val="00865ECE"/>
    <w:rsid w:val="008774DC"/>
    <w:rsid w:val="00881E07"/>
    <w:rsid w:val="00882783"/>
    <w:rsid w:val="0088727B"/>
    <w:rsid w:val="008956CC"/>
    <w:rsid w:val="00896CF5"/>
    <w:rsid w:val="008A7A8E"/>
    <w:rsid w:val="008B6874"/>
    <w:rsid w:val="008B70B4"/>
    <w:rsid w:val="008C1818"/>
    <w:rsid w:val="008C34A5"/>
    <w:rsid w:val="008D01FE"/>
    <w:rsid w:val="008D2C44"/>
    <w:rsid w:val="008D50ED"/>
    <w:rsid w:val="008D5E13"/>
    <w:rsid w:val="008E07E5"/>
    <w:rsid w:val="008E3C07"/>
    <w:rsid w:val="008E5CAD"/>
    <w:rsid w:val="008E6806"/>
    <w:rsid w:val="008E7B02"/>
    <w:rsid w:val="008F7087"/>
    <w:rsid w:val="00905614"/>
    <w:rsid w:val="009058B1"/>
    <w:rsid w:val="00907326"/>
    <w:rsid w:val="00913B58"/>
    <w:rsid w:val="00914959"/>
    <w:rsid w:val="00916721"/>
    <w:rsid w:val="0092124D"/>
    <w:rsid w:val="009230CE"/>
    <w:rsid w:val="00930615"/>
    <w:rsid w:val="0093061C"/>
    <w:rsid w:val="009313FA"/>
    <w:rsid w:val="00933CB1"/>
    <w:rsid w:val="009348C1"/>
    <w:rsid w:val="00935EDD"/>
    <w:rsid w:val="00943BDE"/>
    <w:rsid w:val="00944D6E"/>
    <w:rsid w:val="00956C69"/>
    <w:rsid w:val="009606E0"/>
    <w:rsid w:val="009610C5"/>
    <w:rsid w:val="00961F9E"/>
    <w:rsid w:val="00967FBC"/>
    <w:rsid w:val="009701CB"/>
    <w:rsid w:val="009726B9"/>
    <w:rsid w:val="00986CF3"/>
    <w:rsid w:val="00987073"/>
    <w:rsid w:val="009A4DB9"/>
    <w:rsid w:val="009B3ECA"/>
    <w:rsid w:val="009B457D"/>
    <w:rsid w:val="009B583F"/>
    <w:rsid w:val="009B6745"/>
    <w:rsid w:val="009B6DE1"/>
    <w:rsid w:val="009B7029"/>
    <w:rsid w:val="009C3565"/>
    <w:rsid w:val="009D48BB"/>
    <w:rsid w:val="009E15D6"/>
    <w:rsid w:val="009E2C7E"/>
    <w:rsid w:val="009E34D2"/>
    <w:rsid w:val="009E7714"/>
    <w:rsid w:val="00A161F5"/>
    <w:rsid w:val="00A27C06"/>
    <w:rsid w:val="00A27D94"/>
    <w:rsid w:val="00A36E4A"/>
    <w:rsid w:val="00A405A3"/>
    <w:rsid w:val="00A4077D"/>
    <w:rsid w:val="00A42BDE"/>
    <w:rsid w:val="00A461C5"/>
    <w:rsid w:val="00A5042F"/>
    <w:rsid w:val="00A531B7"/>
    <w:rsid w:val="00A565DD"/>
    <w:rsid w:val="00A609D5"/>
    <w:rsid w:val="00A672AE"/>
    <w:rsid w:val="00A67A25"/>
    <w:rsid w:val="00A72EF5"/>
    <w:rsid w:val="00A81079"/>
    <w:rsid w:val="00A83143"/>
    <w:rsid w:val="00A93C7C"/>
    <w:rsid w:val="00A93CAF"/>
    <w:rsid w:val="00A95F79"/>
    <w:rsid w:val="00AA5609"/>
    <w:rsid w:val="00AB2832"/>
    <w:rsid w:val="00AC1D5C"/>
    <w:rsid w:val="00AC4714"/>
    <w:rsid w:val="00AC68AD"/>
    <w:rsid w:val="00AD0E43"/>
    <w:rsid w:val="00AD29CB"/>
    <w:rsid w:val="00AD2E14"/>
    <w:rsid w:val="00AD35D1"/>
    <w:rsid w:val="00AD4AB1"/>
    <w:rsid w:val="00AE03FA"/>
    <w:rsid w:val="00AE0C8F"/>
    <w:rsid w:val="00AE2C4D"/>
    <w:rsid w:val="00AE7D29"/>
    <w:rsid w:val="00AF2DF4"/>
    <w:rsid w:val="00AF63AC"/>
    <w:rsid w:val="00B01F81"/>
    <w:rsid w:val="00B027ED"/>
    <w:rsid w:val="00B04857"/>
    <w:rsid w:val="00B2342C"/>
    <w:rsid w:val="00B34C3A"/>
    <w:rsid w:val="00B35D4E"/>
    <w:rsid w:val="00B37A15"/>
    <w:rsid w:val="00B503C2"/>
    <w:rsid w:val="00B52E6C"/>
    <w:rsid w:val="00B55D6F"/>
    <w:rsid w:val="00B6173A"/>
    <w:rsid w:val="00B655D9"/>
    <w:rsid w:val="00B72AB0"/>
    <w:rsid w:val="00B8560C"/>
    <w:rsid w:val="00B94DF0"/>
    <w:rsid w:val="00BA0F26"/>
    <w:rsid w:val="00BA32F3"/>
    <w:rsid w:val="00BA7C67"/>
    <w:rsid w:val="00BC0E1F"/>
    <w:rsid w:val="00BC3563"/>
    <w:rsid w:val="00BD16AB"/>
    <w:rsid w:val="00BD19DB"/>
    <w:rsid w:val="00BD2444"/>
    <w:rsid w:val="00BD24AA"/>
    <w:rsid w:val="00BD46C0"/>
    <w:rsid w:val="00BD6DDE"/>
    <w:rsid w:val="00BD7132"/>
    <w:rsid w:val="00BE1D68"/>
    <w:rsid w:val="00BF62F8"/>
    <w:rsid w:val="00BF7C5D"/>
    <w:rsid w:val="00C03B3C"/>
    <w:rsid w:val="00C25458"/>
    <w:rsid w:val="00C307BE"/>
    <w:rsid w:val="00C313B7"/>
    <w:rsid w:val="00C34EF4"/>
    <w:rsid w:val="00C35A26"/>
    <w:rsid w:val="00C36028"/>
    <w:rsid w:val="00C36E8A"/>
    <w:rsid w:val="00C40D91"/>
    <w:rsid w:val="00C41B49"/>
    <w:rsid w:val="00C41F42"/>
    <w:rsid w:val="00C43C6A"/>
    <w:rsid w:val="00C45BF3"/>
    <w:rsid w:val="00C47364"/>
    <w:rsid w:val="00C55B95"/>
    <w:rsid w:val="00C659A8"/>
    <w:rsid w:val="00C66964"/>
    <w:rsid w:val="00C676B8"/>
    <w:rsid w:val="00C7251C"/>
    <w:rsid w:val="00C753B8"/>
    <w:rsid w:val="00C80CDA"/>
    <w:rsid w:val="00C848F1"/>
    <w:rsid w:val="00C905CA"/>
    <w:rsid w:val="00C93747"/>
    <w:rsid w:val="00C977B0"/>
    <w:rsid w:val="00C977F5"/>
    <w:rsid w:val="00CB6882"/>
    <w:rsid w:val="00CB7B10"/>
    <w:rsid w:val="00CB7FB8"/>
    <w:rsid w:val="00CC3B08"/>
    <w:rsid w:val="00CD1856"/>
    <w:rsid w:val="00CD227A"/>
    <w:rsid w:val="00CD35B1"/>
    <w:rsid w:val="00CD4786"/>
    <w:rsid w:val="00CE1247"/>
    <w:rsid w:val="00CE324D"/>
    <w:rsid w:val="00CE3998"/>
    <w:rsid w:val="00CE5F16"/>
    <w:rsid w:val="00CF12A1"/>
    <w:rsid w:val="00CF2B15"/>
    <w:rsid w:val="00CF33F6"/>
    <w:rsid w:val="00CF34D6"/>
    <w:rsid w:val="00D02383"/>
    <w:rsid w:val="00D034DB"/>
    <w:rsid w:val="00D07EE1"/>
    <w:rsid w:val="00D23A3D"/>
    <w:rsid w:val="00D30760"/>
    <w:rsid w:val="00D30FA8"/>
    <w:rsid w:val="00D3239F"/>
    <w:rsid w:val="00D32C13"/>
    <w:rsid w:val="00D32D9A"/>
    <w:rsid w:val="00D3670C"/>
    <w:rsid w:val="00D406B2"/>
    <w:rsid w:val="00D431FA"/>
    <w:rsid w:val="00D43D7E"/>
    <w:rsid w:val="00D53469"/>
    <w:rsid w:val="00D5409C"/>
    <w:rsid w:val="00D779FC"/>
    <w:rsid w:val="00D81EAB"/>
    <w:rsid w:val="00D8682D"/>
    <w:rsid w:val="00DA005C"/>
    <w:rsid w:val="00DB1F05"/>
    <w:rsid w:val="00DB4292"/>
    <w:rsid w:val="00DB79C6"/>
    <w:rsid w:val="00DC2B59"/>
    <w:rsid w:val="00DC3BE7"/>
    <w:rsid w:val="00DC6404"/>
    <w:rsid w:val="00DD2D83"/>
    <w:rsid w:val="00DE129D"/>
    <w:rsid w:val="00DE18C2"/>
    <w:rsid w:val="00DF2F06"/>
    <w:rsid w:val="00E03B00"/>
    <w:rsid w:val="00E050F4"/>
    <w:rsid w:val="00E2676D"/>
    <w:rsid w:val="00E34065"/>
    <w:rsid w:val="00E36B08"/>
    <w:rsid w:val="00E4388E"/>
    <w:rsid w:val="00E5390E"/>
    <w:rsid w:val="00E60156"/>
    <w:rsid w:val="00E62044"/>
    <w:rsid w:val="00E63E56"/>
    <w:rsid w:val="00E640D1"/>
    <w:rsid w:val="00E736EA"/>
    <w:rsid w:val="00E84633"/>
    <w:rsid w:val="00E866E5"/>
    <w:rsid w:val="00E937AC"/>
    <w:rsid w:val="00E9393A"/>
    <w:rsid w:val="00E960D6"/>
    <w:rsid w:val="00E96A82"/>
    <w:rsid w:val="00EA184B"/>
    <w:rsid w:val="00EA23C9"/>
    <w:rsid w:val="00EA4026"/>
    <w:rsid w:val="00EA47A3"/>
    <w:rsid w:val="00EB06DB"/>
    <w:rsid w:val="00EB6E73"/>
    <w:rsid w:val="00EC4E11"/>
    <w:rsid w:val="00ED1651"/>
    <w:rsid w:val="00ED293B"/>
    <w:rsid w:val="00ED43BA"/>
    <w:rsid w:val="00EE3779"/>
    <w:rsid w:val="00EE5935"/>
    <w:rsid w:val="00EE6B5C"/>
    <w:rsid w:val="00EE6EBB"/>
    <w:rsid w:val="00EF274D"/>
    <w:rsid w:val="00F01270"/>
    <w:rsid w:val="00F01C15"/>
    <w:rsid w:val="00F06B55"/>
    <w:rsid w:val="00F10541"/>
    <w:rsid w:val="00F274F6"/>
    <w:rsid w:val="00F30797"/>
    <w:rsid w:val="00F35430"/>
    <w:rsid w:val="00F36116"/>
    <w:rsid w:val="00F46616"/>
    <w:rsid w:val="00F47094"/>
    <w:rsid w:val="00F4793F"/>
    <w:rsid w:val="00F51D8F"/>
    <w:rsid w:val="00F60FF2"/>
    <w:rsid w:val="00F62A91"/>
    <w:rsid w:val="00F64FBE"/>
    <w:rsid w:val="00F666F0"/>
    <w:rsid w:val="00F73E94"/>
    <w:rsid w:val="00F81408"/>
    <w:rsid w:val="00F83935"/>
    <w:rsid w:val="00F858BF"/>
    <w:rsid w:val="00F90B10"/>
    <w:rsid w:val="00F95AE6"/>
    <w:rsid w:val="00F963FF"/>
    <w:rsid w:val="00FA5B85"/>
    <w:rsid w:val="00FA7F32"/>
    <w:rsid w:val="00FB2CF8"/>
    <w:rsid w:val="00FC5279"/>
    <w:rsid w:val="00FC6E2C"/>
    <w:rsid w:val="00FD7A7B"/>
    <w:rsid w:val="00FE077A"/>
    <w:rsid w:val="00FE106D"/>
    <w:rsid w:val="00FE1915"/>
    <w:rsid w:val="00FE1D16"/>
    <w:rsid w:val="00FE398E"/>
    <w:rsid w:val="00FE6C2F"/>
    <w:rsid w:val="00FE7E64"/>
    <w:rsid w:val="00FF1B66"/>
    <w:rsid w:val="00FF352D"/>
    <w:rsid w:val="00FF6261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08217"/>
  <w15:docId w15:val="{8549766B-3F6E-447A-99D9-2EC21B61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FBC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F79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CE0058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5F79"/>
    <w:pPr>
      <w:keepNext/>
      <w:keepLines/>
      <w:spacing w:before="240"/>
      <w:outlineLvl w:val="1"/>
    </w:pPr>
    <w:rPr>
      <w:rFonts w:ascii="Tahoma" w:eastAsiaTheme="majorEastAsia" w:hAnsi="Tahom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5F79"/>
    <w:pPr>
      <w:keepNext/>
      <w:keepLines/>
      <w:spacing w:before="200" w:after="120"/>
      <w:outlineLvl w:val="2"/>
    </w:pPr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5F79"/>
    <w:pPr>
      <w:keepNext/>
      <w:keepLines/>
      <w:spacing w:before="120" w:after="0"/>
      <w:outlineLvl w:val="3"/>
    </w:pPr>
    <w:rPr>
      <w:rFonts w:ascii="Tahoma" w:eastAsiaTheme="majorEastAsia" w:hAnsi="Tahoma" w:cstheme="majorBidi"/>
      <w:b/>
      <w:iCs/>
      <w:color w:val="75787B" w:themeColor="background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052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color w:val="11304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E03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2044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CF34D6"/>
    <w:pPr>
      <w:tabs>
        <w:tab w:val="center" w:pos="4680"/>
        <w:tab w:val="right" w:pos="9360"/>
      </w:tabs>
      <w:spacing w:before="120"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CF34D6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A95F79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02044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A82"/>
    <w:pPr>
      <w:numPr>
        <w:ilvl w:val="1"/>
      </w:numPr>
      <w:spacing w:after="240"/>
    </w:pPr>
    <w:rPr>
      <w:rFonts w:eastAsiaTheme="minorEastAsia"/>
      <w:color w:val="75787B" w:themeColor="background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A82"/>
    <w:rPr>
      <w:rFonts w:eastAsiaTheme="minorEastAsia"/>
      <w:color w:val="75787B" w:themeColor="background2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uiPriority w:val="39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7B6C8C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CE0058" w:themeFill="accent2"/>
      <w:vAlign w:val="center"/>
    </w:tcPr>
    <w:tblStylePr w:type="firstCol">
      <w:tblPr/>
      <w:tcPr>
        <w:shd w:val="clear" w:color="auto" w:fill="CE0058" w:themeFill="accent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95F79"/>
    <w:rPr>
      <w:rFonts w:ascii="Tahoma" w:eastAsiaTheme="majorEastAsia" w:hAnsi="Tahoma" w:cstheme="majorBidi"/>
      <w:color w:val="CE0058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5F79"/>
    <w:rPr>
      <w:rFonts w:ascii="Tahoma" w:eastAsiaTheme="majorEastAsia" w:hAnsi="Tahoma" w:cstheme="majorBidi"/>
      <w:b/>
      <w:sz w:val="26"/>
      <w:szCs w:val="26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DC2B59"/>
    <w:pPr>
      <w:numPr>
        <w:numId w:val="10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5F5578"/>
    <w:pPr>
      <w:numPr>
        <w:numId w:val="30"/>
      </w:numPr>
    </w:pPr>
  </w:style>
  <w:style w:type="paragraph" w:customStyle="1" w:styleId="Heading2numbered">
    <w:name w:val="Heading 2 numbered"/>
    <w:basedOn w:val="Heading2"/>
    <w:next w:val="Normal"/>
    <w:qFormat/>
    <w:rsid w:val="005F5578"/>
    <w:pPr>
      <w:numPr>
        <w:ilvl w:val="1"/>
        <w:numId w:val="30"/>
      </w:numPr>
    </w:pPr>
  </w:style>
  <w:style w:type="numbering" w:customStyle="1" w:styleId="Bullet">
    <w:name w:val="Bullet"/>
    <w:uiPriority w:val="99"/>
    <w:rsid w:val="00DC2B59"/>
    <w:pPr>
      <w:numPr>
        <w:numId w:val="10"/>
      </w:numPr>
    </w:pPr>
  </w:style>
  <w:style w:type="numbering" w:customStyle="1" w:styleId="NumberedHeadings">
    <w:name w:val="Numbered Headings"/>
    <w:uiPriority w:val="99"/>
    <w:rsid w:val="005F5578"/>
    <w:pPr>
      <w:numPr>
        <w:numId w:val="11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DC2B59"/>
    <w:pPr>
      <w:numPr>
        <w:ilvl w:val="1"/>
        <w:numId w:val="10"/>
      </w:numPr>
      <w:contextualSpacing/>
    </w:pPr>
  </w:style>
  <w:style w:type="paragraph" w:customStyle="1" w:styleId="TitleCentred">
    <w:name w:val="Title Centred"/>
    <w:basedOn w:val="Title"/>
    <w:link w:val="TitleCentredChar"/>
    <w:semiHidden/>
    <w:qFormat/>
    <w:rsid w:val="00062AE4"/>
    <w:pPr>
      <w:framePr w:wrap="around" w:vAnchor="page" w:hAnchor="page" w:xAlign="center" w:yAlign="center" w:anchorLock="1"/>
      <w:jc w:val="center"/>
    </w:pPr>
  </w:style>
  <w:style w:type="paragraph" w:customStyle="1" w:styleId="SubtitleCentred">
    <w:name w:val="Subtitle Centred"/>
    <w:basedOn w:val="Subtitle"/>
    <w:rsid w:val="00062AE4"/>
    <w:pPr>
      <w:framePr w:wrap="around" w:vAnchor="page" w:hAnchor="page" w:xAlign="center" w:yAlign="center" w:anchorLock="1"/>
      <w:jc w:val="center"/>
    </w:pPr>
  </w:style>
  <w:style w:type="character" w:customStyle="1" w:styleId="TitleCentredChar">
    <w:name w:val="Title Centred Char"/>
    <w:basedOn w:val="TitleChar"/>
    <w:link w:val="TitleCentred"/>
    <w:semiHidden/>
    <w:rsid w:val="00102044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character" w:styleId="PageNumber">
    <w:name w:val="page number"/>
    <w:basedOn w:val="DefaultParagraphFont"/>
    <w:uiPriority w:val="99"/>
    <w:semiHidden/>
    <w:rsid w:val="007B6C8C"/>
    <w:rPr>
      <w:b/>
      <w:color w:val="FFFFFF" w:themeColor="background1"/>
      <w:sz w:val="22"/>
      <w:bdr w:val="none" w:sz="0" w:space="0" w:color="auto"/>
      <w:shd w:val="clear" w:color="auto" w:fill="CE0058" w:themeFill="accent2"/>
    </w:rPr>
  </w:style>
  <w:style w:type="paragraph" w:customStyle="1" w:styleId="Pull-out">
    <w:name w:val="Pull-out"/>
    <w:basedOn w:val="Normal"/>
    <w:qFormat/>
    <w:rsid w:val="00C753B8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</w:style>
  <w:style w:type="paragraph" w:styleId="Quote">
    <w:name w:val="Quote"/>
    <w:basedOn w:val="Normal"/>
    <w:next w:val="Normal"/>
    <w:link w:val="QuoteChar"/>
    <w:uiPriority w:val="29"/>
    <w:qFormat/>
    <w:rsid w:val="00C753B8"/>
    <w:pPr>
      <w:spacing w:before="240" w:after="240"/>
      <w:ind w:left="567"/>
    </w:pPr>
    <w:rPr>
      <w:iCs/>
      <w:color w:val="4986A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C753B8"/>
    <w:rPr>
      <w:iCs/>
      <w:color w:val="4986A0" w:themeColor="text2"/>
    </w:rPr>
  </w:style>
  <w:style w:type="paragraph" w:styleId="NoSpacing">
    <w:name w:val="No Spacing"/>
    <w:link w:val="NoSpacingChar"/>
    <w:uiPriority w:val="1"/>
    <w:semiHidden/>
    <w:qFormat/>
    <w:rsid w:val="005C6E04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95F79"/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TOC2">
    <w:name w:val="toc 2"/>
    <w:basedOn w:val="TOC1"/>
    <w:next w:val="Normal"/>
    <w:autoRedefine/>
    <w:uiPriority w:val="39"/>
    <w:semiHidden/>
    <w:rsid w:val="00515177"/>
    <w:pPr>
      <w:ind w:left="568" w:hanging="284"/>
    </w:pPr>
    <w:rPr>
      <w:b w:val="0"/>
      <w:noProof/>
    </w:rPr>
  </w:style>
  <w:style w:type="paragraph" w:styleId="TOC1">
    <w:name w:val="toc 1"/>
    <w:basedOn w:val="Normal"/>
    <w:next w:val="Normal"/>
    <w:autoRedefine/>
    <w:uiPriority w:val="39"/>
    <w:semiHidden/>
    <w:rsid w:val="00515177"/>
    <w:pPr>
      <w:tabs>
        <w:tab w:val="right" w:pos="9582"/>
      </w:tabs>
      <w:spacing w:before="40" w:after="40" w:line="288" w:lineRule="auto"/>
      <w:ind w:right="567"/>
      <w:contextualSpacing/>
    </w:pPr>
    <w:rPr>
      <w:b/>
    </w:rPr>
  </w:style>
  <w:style w:type="character" w:styleId="Hyperlink">
    <w:name w:val="Hyperlink"/>
    <w:basedOn w:val="DefaultParagraphFont"/>
    <w:uiPriority w:val="99"/>
    <w:unhideWhenUsed/>
    <w:rsid w:val="004626B0"/>
    <w:rPr>
      <w:color w:val="0000FF"/>
      <w:u w:val="single"/>
    </w:rPr>
  </w:style>
  <w:style w:type="paragraph" w:styleId="TOCHeading">
    <w:name w:val="TOC Heading"/>
    <w:next w:val="Normal"/>
    <w:uiPriority w:val="39"/>
    <w:unhideWhenUsed/>
    <w:qFormat/>
    <w:rsid w:val="00A95F79"/>
    <w:pPr>
      <w:spacing w:before="240" w:after="320" w:line="240" w:lineRule="auto"/>
    </w:pPr>
    <w:rPr>
      <w:rFonts w:ascii="Tahoma" w:eastAsiaTheme="majorEastAsia" w:hAnsi="Tahoma" w:cstheme="majorBidi"/>
      <w:color w:val="CE0058" w:themeColor="accent2"/>
      <w:sz w:val="40"/>
      <w:szCs w:val="32"/>
    </w:rPr>
  </w:style>
  <w:style w:type="character" w:styleId="Strong">
    <w:name w:val="Strong"/>
    <w:basedOn w:val="DefaultParagraphFont"/>
    <w:uiPriority w:val="22"/>
    <w:semiHidden/>
    <w:qFormat/>
    <w:rsid w:val="00710792"/>
    <w:rPr>
      <w:b/>
      <w:bCs/>
    </w:rPr>
  </w:style>
  <w:style w:type="paragraph" w:styleId="ListParagraph">
    <w:name w:val="List Paragraph"/>
    <w:basedOn w:val="Normal"/>
    <w:uiPriority w:val="34"/>
    <w:semiHidden/>
    <w:qFormat/>
    <w:rsid w:val="00DC2B59"/>
    <w:pPr>
      <w:numPr>
        <w:ilvl w:val="2"/>
        <w:numId w:val="10"/>
      </w:num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10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numPr>
        <w:numId w:val="31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6F29EA"/>
    <w:pPr>
      <w:numPr>
        <w:ilvl w:val="1"/>
        <w:numId w:val="31"/>
      </w:numPr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17"/>
      </w:numPr>
    </w:pPr>
  </w:style>
  <w:style w:type="paragraph" w:customStyle="1" w:styleId="ListLetters0">
    <w:name w:val="List Letters"/>
    <w:link w:val="ListLettersChar"/>
    <w:qFormat/>
    <w:rsid w:val="00CF34D6"/>
    <w:pPr>
      <w:numPr>
        <w:numId w:val="32"/>
      </w:numPr>
      <w:spacing w:line="33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6F29EA"/>
    <w:pPr>
      <w:numPr>
        <w:ilvl w:val="2"/>
        <w:numId w:val="31"/>
      </w:numPr>
      <w:contextualSpacing/>
    </w:pPr>
  </w:style>
  <w:style w:type="paragraph" w:customStyle="1" w:styleId="TableHeading">
    <w:name w:val="Table Heading"/>
    <w:basedOn w:val="NoSpacing"/>
    <w:link w:val="TableHeadingChar"/>
    <w:qFormat/>
    <w:rsid w:val="00792B10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DC2B59"/>
  </w:style>
  <w:style w:type="character" w:customStyle="1" w:styleId="ListLettersChar">
    <w:name w:val="List Letters Char"/>
    <w:basedOn w:val="ListNumber3Char"/>
    <w:link w:val="ListLetters0"/>
    <w:rsid w:val="00CF34D6"/>
  </w:style>
  <w:style w:type="paragraph" w:customStyle="1" w:styleId="TableBody">
    <w:name w:val="Table Body"/>
    <w:basedOn w:val="NoSpacing"/>
    <w:link w:val="TableBodyChar"/>
    <w:qFormat/>
    <w:rsid w:val="00792B10"/>
  </w:style>
  <w:style w:type="character" w:customStyle="1" w:styleId="NoSpacingChar">
    <w:name w:val="No Spacing Char"/>
    <w:basedOn w:val="DefaultParagraphFont"/>
    <w:link w:val="NoSpacing"/>
    <w:uiPriority w:val="1"/>
    <w:semiHidden/>
    <w:rsid w:val="00102044"/>
  </w:style>
  <w:style w:type="character" w:customStyle="1" w:styleId="TableHeadingChar">
    <w:name w:val="Table Heading Char"/>
    <w:basedOn w:val="NoSpacingChar"/>
    <w:link w:val="TableHeading"/>
    <w:rsid w:val="00792B10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792B10"/>
    <w:rPr>
      <w:b/>
    </w:rPr>
  </w:style>
  <w:style w:type="character" w:customStyle="1" w:styleId="TableBodyChar">
    <w:name w:val="Table Body Char"/>
    <w:basedOn w:val="NoSpacingChar"/>
    <w:link w:val="TableBody"/>
    <w:rsid w:val="00792B10"/>
  </w:style>
  <w:style w:type="paragraph" w:styleId="TOC3">
    <w:name w:val="toc 3"/>
    <w:basedOn w:val="TOC2"/>
    <w:next w:val="Normal"/>
    <w:autoRedefine/>
    <w:uiPriority w:val="39"/>
    <w:semiHidden/>
    <w:rsid w:val="00515177"/>
    <w:pPr>
      <w:ind w:left="567" w:firstLine="0"/>
    </w:pPr>
  </w:style>
  <w:style w:type="character" w:customStyle="1" w:styleId="TableBoldChar">
    <w:name w:val="Table Bold Char"/>
    <w:basedOn w:val="NoSpacingChar"/>
    <w:link w:val="TableBold"/>
    <w:rsid w:val="00792B10"/>
    <w:rPr>
      <w:b/>
    </w:rPr>
  </w:style>
  <w:style w:type="paragraph" w:customStyle="1" w:styleId="TableBullet">
    <w:name w:val="Table Bullet"/>
    <w:basedOn w:val="ListBullet"/>
    <w:link w:val="TableBulletChar"/>
    <w:qFormat/>
    <w:rsid w:val="00E03B00"/>
    <w:pPr>
      <w:numPr>
        <w:numId w:val="26"/>
      </w:numPr>
      <w:spacing w:after="0"/>
    </w:pPr>
  </w:style>
  <w:style w:type="paragraph" w:customStyle="1" w:styleId="TableBullet2">
    <w:name w:val="Table Bullet 2"/>
    <w:basedOn w:val="ListBullet2"/>
    <w:link w:val="TableBullet2Char"/>
    <w:qFormat/>
    <w:rsid w:val="00E03B00"/>
    <w:pPr>
      <w:numPr>
        <w:numId w:val="26"/>
      </w:numPr>
      <w:spacing w:after="0"/>
    </w:pPr>
  </w:style>
  <w:style w:type="character" w:customStyle="1" w:styleId="ListBulletChar">
    <w:name w:val="List Bullet Char"/>
    <w:basedOn w:val="DefaultParagraphFont"/>
    <w:link w:val="ListBullet"/>
    <w:uiPriority w:val="99"/>
    <w:rsid w:val="00E03B00"/>
  </w:style>
  <w:style w:type="character" w:customStyle="1" w:styleId="TableBulletChar">
    <w:name w:val="Table Bullet Char"/>
    <w:basedOn w:val="ListBulletChar"/>
    <w:link w:val="TableBullet"/>
    <w:rsid w:val="00E03B00"/>
  </w:style>
  <w:style w:type="numbering" w:customStyle="1" w:styleId="TableBullets">
    <w:name w:val="Table Bullets"/>
    <w:uiPriority w:val="99"/>
    <w:rsid w:val="00E03B00"/>
    <w:pPr>
      <w:numPr>
        <w:numId w:val="26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E03B00"/>
  </w:style>
  <w:style w:type="character" w:customStyle="1" w:styleId="TableBullet2Char">
    <w:name w:val="Table Bullet 2 Char"/>
    <w:basedOn w:val="ListBullet2Char"/>
    <w:link w:val="TableBullet2"/>
    <w:rsid w:val="00E03B00"/>
  </w:style>
  <w:style w:type="paragraph" w:customStyle="1" w:styleId="TableListNumber">
    <w:name w:val="Table List Number"/>
    <w:basedOn w:val="TableBullet"/>
    <w:link w:val="TableListNumberChar"/>
    <w:qFormat/>
    <w:rsid w:val="00E03B00"/>
    <w:pPr>
      <w:numPr>
        <w:ilvl w:val="2"/>
      </w:numPr>
    </w:pPr>
  </w:style>
  <w:style w:type="paragraph" w:customStyle="1" w:styleId="TableListNumber2">
    <w:name w:val="Table List Number 2"/>
    <w:basedOn w:val="TableListNumber"/>
    <w:link w:val="TableListNumber2Char"/>
    <w:qFormat/>
    <w:rsid w:val="00E03B00"/>
    <w:pPr>
      <w:numPr>
        <w:ilvl w:val="3"/>
      </w:numPr>
    </w:pPr>
  </w:style>
  <w:style w:type="character" w:customStyle="1" w:styleId="TableListNumberChar">
    <w:name w:val="Table List Number Char"/>
    <w:basedOn w:val="TableBulletChar"/>
    <w:link w:val="TableListNumber"/>
    <w:rsid w:val="00E03B00"/>
  </w:style>
  <w:style w:type="character" w:customStyle="1" w:styleId="TableListNumber2Char">
    <w:name w:val="Table List Number 2 Char"/>
    <w:basedOn w:val="TableListNumberChar"/>
    <w:link w:val="TableListNumber2"/>
    <w:rsid w:val="00E03B00"/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semiHidden/>
    <w:qFormat/>
    <w:rsid w:val="006E6B2B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semiHidden/>
    <w:qFormat/>
    <w:rsid w:val="00E9393A"/>
    <w:pPr>
      <w:spacing w:before="480"/>
    </w:pPr>
  </w:style>
  <w:style w:type="paragraph" w:customStyle="1" w:styleId="Pa2">
    <w:name w:val="Pa2"/>
    <w:basedOn w:val="Normal"/>
    <w:next w:val="Normal"/>
    <w:uiPriority w:val="99"/>
    <w:semiHidden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93A"/>
    <w:rPr>
      <w:vertAlign w:val="superscript"/>
    </w:rPr>
  </w:style>
  <w:style w:type="paragraph" w:customStyle="1" w:styleId="Figure-Table-BoxHeading">
    <w:name w:val="Figure-Table-Box Heading"/>
    <w:link w:val="Figure-Table-BoxHeadingChar"/>
    <w:qFormat/>
    <w:rsid w:val="00CF34D6"/>
    <w:pPr>
      <w:numPr>
        <w:ilvl w:val="3"/>
        <w:numId w:val="30"/>
      </w:numPr>
      <w:spacing w:before="120" w:after="120" w:line="432" w:lineRule="auto"/>
    </w:pPr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DC3BE7"/>
    <w:pPr>
      <w:numPr>
        <w:ilvl w:val="0"/>
        <w:numId w:val="0"/>
      </w:numPr>
      <w:ind w:left="851"/>
    </w:pPr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CF34D6"/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5F5578"/>
    <w:pPr>
      <w:numPr>
        <w:ilvl w:val="2"/>
        <w:numId w:val="30"/>
      </w:numPr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DC3BE7"/>
    <w:rPr>
      <w:rFonts w:asciiTheme="majorHAnsi" w:eastAsiaTheme="majorEastAsia" w:hAnsiTheme="majorHAnsi" w:cstheme="majorBidi"/>
      <w:b w:val="0"/>
      <w:caps w:val="0"/>
      <w:color w:val="4986A0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5F79"/>
    <w:rPr>
      <w:rFonts w:ascii="Tahoma" w:eastAsiaTheme="majorEastAsia" w:hAnsi="Tahoma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5F5578"/>
    <w:rPr>
      <w:rFonts w:asciiTheme="majorHAnsi" w:eastAsiaTheme="majorEastAsia" w:hAnsiTheme="majorHAnsi" w:cstheme="majorBidi"/>
      <w:b/>
      <w:caps w:val="0"/>
      <w:color w:val="4986A0" w:themeColor="text2"/>
      <w:szCs w:val="24"/>
    </w:rPr>
  </w:style>
  <w:style w:type="numbering" w:customStyle="1" w:styleId="ListLetters">
    <w:name w:val="ListLetters"/>
    <w:uiPriority w:val="99"/>
    <w:rsid w:val="009B583F"/>
    <w:pPr>
      <w:numPr>
        <w:numId w:val="3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232581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232581"/>
    <w:pPr>
      <w:jc w:val="right"/>
    </w:pPr>
  </w:style>
  <w:style w:type="paragraph" w:customStyle="1" w:styleId="Pull-outHeading">
    <w:name w:val="Pull-out Heading"/>
    <w:basedOn w:val="Pull-out"/>
    <w:qFormat/>
    <w:rsid w:val="00BD19DB"/>
    <w:rPr>
      <w:b/>
      <w:bCs/>
    </w:rPr>
  </w:style>
  <w:style w:type="paragraph" w:customStyle="1" w:styleId="Pull-outBullet1">
    <w:name w:val="Pull-out Bullet 1"/>
    <w:basedOn w:val="Pull-out"/>
    <w:qFormat/>
    <w:rsid w:val="00BD19DB"/>
    <w:pPr>
      <w:numPr>
        <w:numId w:val="34"/>
      </w:numPr>
      <w:ind w:left="482"/>
    </w:pPr>
  </w:style>
  <w:style w:type="paragraph" w:customStyle="1" w:styleId="Pull-outBullet2">
    <w:name w:val="Pull-out Bullet 2"/>
    <w:basedOn w:val="Pull-outBullet1"/>
    <w:qFormat/>
    <w:rsid w:val="00BD19DB"/>
    <w:pPr>
      <w:numPr>
        <w:ilvl w:val="1"/>
      </w:numPr>
      <w:ind w:left="482" w:hanging="284"/>
    </w:pPr>
  </w:style>
  <w:style w:type="paragraph" w:customStyle="1" w:styleId="Pull-outListNumber1">
    <w:name w:val="Pull-out List Number 1"/>
    <w:basedOn w:val="Pull-outBullet2"/>
    <w:qFormat/>
    <w:rsid w:val="00BD19DB"/>
    <w:pPr>
      <w:numPr>
        <w:ilvl w:val="2"/>
      </w:numPr>
      <w:ind w:left="482"/>
    </w:pPr>
  </w:style>
  <w:style w:type="paragraph" w:customStyle="1" w:styleId="Pull-outListNumber2">
    <w:name w:val="Pull-out List Number 2"/>
    <w:basedOn w:val="Pull-outListNumber1"/>
    <w:qFormat/>
    <w:rsid w:val="00BD19DB"/>
    <w:pPr>
      <w:numPr>
        <w:ilvl w:val="3"/>
      </w:numPr>
      <w:ind w:left="765"/>
    </w:pPr>
  </w:style>
  <w:style w:type="numbering" w:customStyle="1" w:styleId="Pull-outlists">
    <w:name w:val="Pull-out lists"/>
    <w:uiPriority w:val="99"/>
    <w:rsid w:val="00BD19DB"/>
    <w:pPr>
      <w:numPr>
        <w:numId w:val="34"/>
      </w:numPr>
    </w:pPr>
  </w:style>
  <w:style w:type="paragraph" w:styleId="TOC4">
    <w:name w:val="toc 4"/>
    <w:basedOn w:val="Normal"/>
    <w:next w:val="Normal"/>
    <w:autoRedefine/>
    <w:uiPriority w:val="39"/>
    <w:semiHidden/>
    <w:rsid w:val="00515177"/>
    <w:pPr>
      <w:tabs>
        <w:tab w:val="left" w:pos="851"/>
        <w:tab w:val="right" w:pos="9582"/>
      </w:tabs>
      <w:adjustRightInd w:val="0"/>
      <w:spacing w:before="40" w:after="40" w:line="288" w:lineRule="auto"/>
      <w:ind w:left="851" w:right="567" w:hanging="567"/>
      <w:contextualSpacing/>
    </w:pPr>
    <w:rPr>
      <w:noProof/>
    </w:rPr>
  </w:style>
  <w:style w:type="paragraph" w:customStyle="1" w:styleId="CC07A0386FA64D568AFDD5FEA5383BC7">
    <w:name w:val="CC07A0386FA64D568AFDD5FEA5383BC7"/>
    <w:semiHidden/>
    <w:locked/>
    <w:rsid w:val="008A7A8E"/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semiHidden/>
    <w:rsid w:val="00515177"/>
    <w:pPr>
      <w:tabs>
        <w:tab w:val="right" w:pos="9582"/>
      </w:tabs>
      <w:spacing w:before="40" w:after="40" w:line="288" w:lineRule="auto"/>
      <w:ind w:left="851" w:right="567"/>
      <w:contextualSpacing/>
    </w:pPr>
  </w:style>
  <w:style w:type="paragraph" w:styleId="TOC6">
    <w:name w:val="toc 6"/>
    <w:basedOn w:val="Normal"/>
    <w:next w:val="Normal"/>
    <w:autoRedefine/>
    <w:uiPriority w:val="39"/>
    <w:semiHidden/>
    <w:rsid w:val="00515177"/>
    <w:pPr>
      <w:tabs>
        <w:tab w:val="right" w:pos="9582"/>
      </w:tabs>
      <w:spacing w:before="40" w:after="40" w:line="288" w:lineRule="auto"/>
      <w:ind w:left="1702" w:right="567" w:hanging="851"/>
    </w:pPr>
  </w:style>
  <w:style w:type="paragraph" w:customStyle="1" w:styleId="Pull-outheading0">
    <w:name w:val="Pull-out heading"/>
    <w:basedOn w:val="Pull-out"/>
    <w:semiHidden/>
    <w:qFormat/>
    <w:rsid w:val="00F06B55"/>
    <w:rPr>
      <w:rFonts w:ascii="Tahoma" w:hAnsi="Tahoma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220"/>
    <w:rPr>
      <w:rFonts w:asciiTheme="majorHAnsi" w:eastAsiaTheme="majorEastAsia" w:hAnsiTheme="majorHAnsi" w:cstheme="majorBidi"/>
      <w:i/>
      <w:color w:val="113048" w:themeColor="accent1" w:themeShade="7F"/>
      <w:lang w:val="en-AU"/>
    </w:rPr>
  </w:style>
  <w:style w:type="character" w:customStyle="1" w:styleId="Legislationquote">
    <w:name w:val="Legislation quote"/>
    <w:basedOn w:val="DefaultParagraphFont"/>
    <w:uiPriority w:val="1"/>
    <w:qFormat/>
    <w:rsid w:val="00510B23"/>
    <w:rPr>
      <w:color w:val="FF4895" w:themeColor="accent2" w:themeTint="99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15177"/>
    <w:pPr>
      <w:spacing w:before="40" w:after="40" w:line="288" w:lineRule="auto"/>
      <w:ind w:left="132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15177"/>
    <w:pPr>
      <w:spacing w:before="40" w:after="40" w:line="288" w:lineRule="auto"/>
      <w:ind w:left="1542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15177"/>
    <w:pPr>
      <w:spacing w:before="40" w:after="40" w:line="288" w:lineRule="auto"/>
      <w:ind w:left="1758"/>
    </w:pPr>
  </w:style>
  <w:style w:type="table" w:customStyle="1" w:styleId="TableGrid1">
    <w:name w:val="Table Grid1"/>
    <w:basedOn w:val="TableNormal"/>
    <w:next w:val="TableGrid"/>
    <w:uiPriority w:val="39"/>
    <w:rsid w:val="00967FBC"/>
    <w:pPr>
      <w:spacing w:after="0" w:line="240" w:lineRule="auto"/>
    </w:pPr>
    <w:tblPr>
      <w:tblStyleRowBandSize w:val="1"/>
      <w:tblBorders>
        <w:insideH w:val="single" w:sz="8" w:space="0" w:color="FFFFFF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/>
      </w:rPr>
      <w:tblPr/>
      <w:tcPr>
        <w:shd w:val="clear" w:color="auto" w:fill="4986A0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E3E3E4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67FBC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rsid w:val="00967F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967FBC"/>
    <w:rPr>
      <w:sz w:val="20"/>
      <w:szCs w:val="20"/>
      <w:lang w:val="en-AU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967FBC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DF4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AF2DF4"/>
    <w:rPr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DB4292"/>
    <w:pPr>
      <w:spacing w:after="0" w:line="240" w:lineRule="auto"/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7A74DE"/>
    <w:rPr>
      <w:color w:val="605E5C"/>
      <w:shd w:val="clear" w:color="auto" w:fill="E1DFDD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0B3735"/>
    <w:pPr>
      <w:spacing w:before="160" w:line="240" w:lineRule="auto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51D8F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c.vic.gov.au/electricity-and-gas/codes-guidelines-and-policies/guideline-5-2022-revocation-electricity-or-gas-licenc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ESC PINK">
      <a:dk1>
        <a:sysClr val="windowText" lastClr="000000"/>
      </a:dk1>
      <a:lt1>
        <a:sysClr val="window" lastClr="FFFFFF"/>
      </a:lt1>
      <a:dk2>
        <a:srgbClr val="4986A0"/>
      </a:dk2>
      <a:lt2>
        <a:srgbClr val="75787B"/>
      </a:lt2>
      <a:accent1>
        <a:srgbClr val="236192"/>
      </a:accent1>
      <a:accent2>
        <a:srgbClr val="CE0058"/>
      </a:accent2>
      <a:accent3>
        <a:srgbClr val="4986A0"/>
      </a:accent3>
      <a:accent4>
        <a:srgbClr val="ED8B00"/>
      </a:accent4>
      <a:accent5>
        <a:srgbClr val="183028"/>
      </a:accent5>
      <a:accent6>
        <a:srgbClr val="D5003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45AA5-DC88-469C-84B7-2F6FED1C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5263</Characters>
  <Application>Microsoft Office Word</Application>
  <DocSecurity>0</DocSecurity>
  <Lines>94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variations to electricity transmission licences</vt:lpstr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B: Proposed variations to electricity transmission licences</dc:title>
  <dc:subject/>
  <dc:creator>Luis Bogliolo (ESC)</dc:creator>
  <cp:keywords>[SEC=UNOFFICIAL]</cp:keywords>
  <dc:description/>
  <cp:lastModifiedBy>Samraansh Sharma (ESC)</cp:lastModifiedBy>
  <cp:revision>3</cp:revision>
  <cp:lastPrinted>2018-01-07T22:51:00Z</cp:lastPrinted>
  <dcterms:created xsi:type="dcterms:W3CDTF">2023-09-27T21:28:00Z</dcterms:created>
  <dcterms:modified xsi:type="dcterms:W3CDTF">2023-09-27T21:32:00Z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UNOFFICIAL</vt:lpwstr>
  </property>
  <property fmtid="{D5CDD505-2E9C-101B-9397-08002B2CF9AE}" pid="5" name="PM_Qualifier">
    <vt:lpwstr/>
  </property>
  <property fmtid="{D5CDD505-2E9C-101B-9397-08002B2CF9AE}" pid="6" name="PM_SecurityClassification">
    <vt:lpwstr>UNOFFICIAL</vt:lpwstr>
  </property>
  <property fmtid="{D5CDD505-2E9C-101B-9397-08002B2CF9AE}" pid="7" name="PM_InsertionValue">
    <vt:lpwstr>UNOFFICIAL</vt:lpwstr>
  </property>
  <property fmtid="{D5CDD505-2E9C-101B-9397-08002B2CF9AE}" pid="8" name="PM_Originating_FileId">
    <vt:lpwstr>B54CA19B9BB043CCB6B1F2CA80C51D15</vt:lpwstr>
  </property>
  <property fmtid="{D5CDD505-2E9C-101B-9397-08002B2CF9AE}" pid="9" name="PM_ProtectiveMarkingValue_Footer">
    <vt:lpwstr>UNOFFICIAL</vt:lpwstr>
  </property>
  <property fmtid="{D5CDD505-2E9C-101B-9397-08002B2CF9AE}" pid="10" name="PM_Originator_Hash_SHA1">
    <vt:lpwstr>4EDBE76A9C21EA6B7387BD6D462FF34BCF7CC711</vt:lpwstr>
  </property>
  <property fmtid="{D5CDD505-2E9C-101B-9397-08002B2CF9AE}" pid="11" name="PM_OriginationTimeStamp">
    <vt:lpwstr>2023-09-27T21:32:40Z</vt:lpwstr>
  </property>
  <property fmtid="{D5CDD505-2E9C-101B-9397-08002B2CF9AE}" pid="12" name="PM_ProtectiveMarkingValue_Header">
    <vt:lpwstr>UNOFFICIAL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2019.2.1.vic.gov.au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UNOFFICIAL</vt:lpwstr>
  </property>
  <property fmtid="{D5CDD505-2E9C-101B-9397-08002B2CF9AE}" pid="19" name="PMUuid">
    <vt:lpwstr>888C8D7C-C12E-52A4-9297-370EB0F3096D</vt:lpwstr>
  </property>
  <property fmtid="{D5CDD505-2E9C-101B-9397-08002B2CF9AE}" pid="20" name="PMUuidVer">
    <vt:lpwstr>2022.1</vt:lpwstr>
  </property>
  <property fmtid="{D5CDD505-2E9C-101B-9397-08002B2CF9AE}" pid="21" name="PM_Hash_Version">
    <vt:lpwstr>2018.0</vt:lpwstr>
  </property>
  <property fmtid="{D5CDD505-2E9C-101B-9397-08002B2CF9AE}" pid="22" name="PM_Hash_Salt_Prev">
    <vt:lpwstr>35FE923BEA5F2F948F4CEB6CDD135D54</vt:lpwstr>
  </property>
  <property fmtid="{D5CDD505-2E9C-101B-9397-08002B2CF9AE}" pid="23" name="PM_Hash_Salt">
    <vt:lpwstr>073E21B6F01AA722BF5B7F92CB79E12D</vt:lpwstr>
  </property>
  <property fmtid="{D5CDD505-2E9C-101B-9397-08002B2CF9AE}" pid="24" name="PM_Hash_SHA1">
    <vt:lpwstr>FB55398A3315FB7C2587546021FB71E58D13C01E</vt:lpwstr>
  </property>
  <property fmtid="{D5CDD505-2E9C-101B-9397-08002B2CF9AE}" pid="25" name="PM_OriginatorUserAccountName_SHA256">
    <vt:lpwstr>296B571D8E65C4253B6D76C5CDFD6485D5D61D8DEBE241309FAD80DBC74D5779</vt:lpwstr>
  </property>
  <property fmtid="{D5CDD505-2E9C-101B-9397-08002B2CF9AE}" pid="26" name="PM_OriginatorDomainName_SHA256">
    <vt:lpwstr>9E5929A2B0C9364118E50F7972B6A4AA763F815A803675E11226272E392AE99C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</Properties>
</file>