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1A2B" w14:textId="790B9B3A" w:rsidR="0077543B" w:rsidRPr="0077543B" w:rsidRDefault="00112BB7" w:rsidP="0077543B">
      <w:pPr>
        <w:pStyle w:val="Heading1"/>
      </w:pPr>
      <w:r>
        <w:t>20</w:t>
      </w:r>
      <w:r w:rsidR="003C3B17">
        <w:t>25</w:t>
      </w:r>
      <w:r>
        <w:t>-2</w:t>
      </w:r>
      <w:r w:rsidR="003C3B17">
        <w:t>6</w:t>
      </w:r>
      <w:r>
        <w:t xml:space="preserve"> </w:t>
      </w:r>
      <w:r w:rsidR="0077543B">
        <w:t xml:space="preserve">Victorian Default </w:t>
      </w:r>
      <w:r w:rsidR="000C6B67">
        <w:t>O</w:t>
      </w:r>
      <w:r w:rsidR="0077543B">
        <w:t>ffer</w:t>
      </w:r>
      <w:r w:rsidR="00010042">
        <w:t>:</w:t>
      </w:r>
      <w:r w:rsidR="00393C25">
        <w:t xml:space="preserve"> </w:t>
      </w:r>
      <w:r w:rsidR="0077543B">
        <w:t xml:space="preserve">Request for </w:t>
      </w:r>
      <w:r w:rsidR="000C6B67">
        <w:t>C</w:t>
      </w:r>
      <w:r w:rsidR="0077543B">
        <w:t>omment</w:t>
      </w:r>
    </w:p>
    <w:p w14:paraId="6D765600" w14:textId="24EB1F92" w:rsidR="00AE323D" w:rsidRDefault="00347018" w:rsidP="00D732EE">
      <w:pPr>
        <w:pStyle w:val="Heading2"/>
      </w:pPr>
      <w:bookmarkStart w:id="1" w:name="_Toc135838758"/>
      <w:r>
        <w:t>Introduction</w:t>
      </w:r>
    </w:p>
    <w:p w14:paraId="34917FDE" w14:textId="77777777" w:rsidR="00F05381" w:rsidRDefault="00F05381" w:rsidP="00F05381">
      <w:r>
        <w:t xml:space="preserve">The Victorian Government introduced the Victorian Default Offer in a Governor in Council Order made under section 13 of the </w:t>
      </w:r>
      <w:r w:rsidRPr="7A4DB63C">
        <w:rPr>
          <w:i/>
          <w:iCs/>
        </w:rPr>
        <w:t>Electricity Industry Act 2000</w:t>
      </w:r>
      <w:r>
        <w:t xml:space="preserve"> (pricing order).</w:t>
      </w:r>
      <w:r>
        <w:rPr>
          <w:rStyle w:val="FootnoteReference"/>
        </w:rPr>
        <w:footnoteReference w:id="2"/>
      </w:r>
      <w:r>
        <w:t xml:space="preserve"> The Victorian Default Offer regulates standing offer prices for electricity in Victoria supplied and sold to domestic customers or small business customers.</w:t>
      </w:r>
      <w:r>
        <w:rPr>
          <w:rStyle w:val="FootnoteReference"/>
        </w:rPr>
        <w:footnoteReference w:id="3"/>
      </w:r>
      <w:r>
        <w:t xml:space="preserve"> </w:t>
      </w:r>
      <w:r>
        <w:rPr>
          <w:rStyle w:val="FootnoteReference"/>
        </w:rPr>
        <w:footnoteReference w:id="4"/>
      </w:r>
    </w:p>
    <w:p w14:paraId="2B543973" w14:textId="3E217995" w:rsidR="005473BE" w:rsidRDefault="00014B19" w:rsidP="001B0CB6">
      <w:r w:rsidRPr="001B0CB6">
        <w:t xml:space="preserve">The </w:t>
      </w:r>
      <w:r w:rsidR="00FE1377" w:rsidRPr="001B0CB6">
        <w:t>Essential Services Commission mus</w:t>
      </w:r>
      <w:r w:rsidR="005A004F" w:rsidRPr="001B0CB6">
        <w:t>t</w:t>
      </w:r>
      <w:r w:rsidR="00FE1377" w:rsidRPr="001B0CB6">
        <w:t xml:space="preserve"> make a new determination for the Victorian Default Office to apply from 1 July 2025 to</w:t>
      </w:r>
      <w:r w:rsidR="00227803" w:rsidRPr="001B0CB6">
        <w:t xml:space="preserve"> 30 June 202</w:t>
      </w:r>
      <w:r w:rsidR="009F0A7A" w:rsidRPr="001B0CB6">
        <w:t>6</w:t>
      </w:r>
      <w:r w:rsidR="00227803" w:rsidRPr="001B0CB6">
        <w:t xml:space="preserve"> on or before 24 May 2025</w:t>
      </w:r>
      <w:r w:rsidR="005A004F" w:rsidRPr="001B0CB6">
        <w:t>.</w:t>
      </w:r>
      <w:r w:rsidR="005A004F" w:rsidRPr="001B0CB6">
        <w:rPr>
          <w:rStyle w:val="FootnoteReference"/>
          <w:rFonts w:cstheme="minorHAnsi"/>
          <w:bCs/>
        </w:rPr>
        <w:footnoteReference w:id="5"/>
      </w:r>
      <w:r w:rsidR="005A004F" w:rsidRPr="001B0CB6">
        <w:t xml:space="preserve"> </w:t>
      </w:r>
      <w:r w:rsidR="00BA0B04" w:rsidRPr="001B0CB6">
        <w:t>We refer to these new pricing arrangements for standing offers as the 2025–26 Victorian Default Offer.</w:t>
      </w:r>
    </w:p>
    <w:p w14:paraId="46359C3A" w14:textId="50066731" w:rsidR="00562B7E" w:rsidRDefault="00562B7E" w:rsidP="001B0CB6">
      <w:r w:rsidRPr="0081656C">
        <w:t>Th</w:t>
      </w:r>
      <w:r>
        <w:t>is</w:t>
      </w:r>
      <w:r w:rsidRPr="00177497">
        <w:t xml:space="preserve"> </w:t>
      </w:r>
      <w:r>
        <w:t xml:space="preserve">Request for Comment paper is </w:t>
      </w:r>
      <w:r w:rsidRPr="0081656C">
        <w:t xml:space="preserve">intended to streamline the early stages of our Victorian Default Offer consultation processes and provide an early indication on </w:t>
      </w:r>
      <w:r w:rsidR="00196C12">
        <w:t xml:space="preserve">the 2025-26 Victorian Default Offer </w:t>
      </w:r>
      <w:r w:rsidRPr="0081656C">
        <w:t>review timelines.</w:t>
      </w:r>
    </w:p>
    <w:p w14:paraId="0F7EC70A" w14:textId="77777777" w:rsidR="005473BE" w:rsidRDefault="005473BE" w:rsidP="005473BE">
      <w:pPr>
        <w:pStyle w:val="Figure-Table-BoxHeading"/>
        <w:keepNext/>
        <w:rPr>
          <w:lang w:val="en-AU"/>
        </w:rPr>
      </w:pPr>
      <w:r w:rsidRPr="23DF73AC">
        <w:rPr>
          <w:lang w:val="en-AU"/>
        </w:rPr>
        <w:lastRenderedPageBreak/>
        <w:t>Table 1: 202</w:t>
      </w:r>
      <w:r>
        <w:rPr>
          <w:lang w:val="en-AU"/>
        </w:rPr>
        <w:t>5</w:t>
      </w:r>
      <w:r w:rsidRPr="23DF73AC">
        <w:rPr>
          <w:lang w:val="en-AU"/>
        </w:rPr>
        <w:t>–2</w:t>
      </w:r>
      <w:r>
        <w:rPr>
          <w:lang w:val="en-AU"/>
        </w:rPr>
        <w:t>6</w:t>
      </w:r>
      <w:r w:rsidRPr="23DF73AC">
        <w:rPr>
          <w:lang w:val="en-AU"/>
        </w:rPr>
        <w:t xml:space="preserve"> Victorian Default Offer review timeframes</w:t>
      </w:r>
    </w:p>
    <w:tbl>
      <w:tblPr>
        <w:tblStyle w:val="TableGrid"/>
        <w:tblW w:w="0" w:type="auto"/>
        <w:tblLook w:val="04A0" w:firstRow="1" w:lastRow="0" w:firstColumn="1" w:lastColumn="0" w:noHBand="0" w:noVBand="1"/>
      </w:tblPr>
      <w:tblGrid>
        <w:gridCol w:w="6379"/>
        <w:gridCol w:w="3259"/>
      </w:tblGrid>
      <w:tr w:rsidR="005473BE" w14:paraId="7DCDBCD4" w14:textId="77777777" w:rsidTr="5AB0397F">
        <w:trPr>
          <w:cnfStyle w:val="100000000000" w:firstRow="1" w:lastRow="0" w:firstColumn="0" w:lastColumn="0" w:oddVBand="0" w:evenVBand="0" w:oddHBand="0" w:evenHBand="0" w:firstRowFirstColumn="0" w:firstRowLastColumn="0" w:lastRowFirstColumn="0" w:lastRowLastColumn="0"/>
        </w:trPr>
        <w:tc>
          <w:tcPr>
            <w:tcW w:w="6379" w:type="dxa"/>
          </w:tcPr>
          <w:p w14:paraId="0DA6865B" w14:textId="77777777" w:rsidR="005473BE" w:rsidRDefault="005473BE">
            <w:pPr>
              <w:pStyle w:val="TableHeading"/>
              <w:keepNext/>
            </w:pPr>
            <w:r w:rsidRPr="006608A2">
              <w:t>Key milestones</w:t>
            </w:r>
          </w:p>
        </w:tc>
        <w:tc>
          <w:tcPr>
            <w:tcW w:w="3259" w:type="dxa"/>
          </w:tcPr>
          <w:p w14:paraId="487CFB9E" w14:textId="77777777" w:rsidR="005473BE" w:rsidRDefault="005473BE">
            <w:pPr>
              <w:pStyle w:val="TableHeading"/>
              <w:keepNext/>
            </w:pPr>
            <w:r w:rsidRPr="006608A2">
              <w:t>Indicative date</w:t>
            </w:r>
          </w:p>
        </w:tc>
      </w:tr>
      <w:tr w:rsidR="005473BE" w14:paraId="3419C461" w14:textId="77777777" w:rsidTr="5AB0397F">
        <w:trPr>
          <w:cnfStyle w:val="000000100000" w:firstRow="0" w:lastRow="0" w:firstColumn="0" w:lastColumn="0" w:oddVBand="0" w:evenVBand="0" w:oddHBand="1" w:evenHBand="0" w:firstRowFirstColumn="0" w:firstRowLastColumn="0" w:lastRowFirstColumn="0" w:lastRowLastColumn="0"/>
        </w:trPr>
        <w:tc>
          <w:tcPr>
            <w:tcW w:w="6379" w:type="dxa"/>
          </w:tcPr>
          <w:p w14:paraId="58D20873" w14:textId="77777777" w:rsidR="005473BE" w:rsidRPr="00EC788F" w:rsidRDefault="005473BE">
            <w:pPr>
              <w:pStyle w:val="TableBody"/>
              <w:keepNext/>
            </w:pPr>
            <w:r w:rsidRPr="00EC788F">
              <w:t>Request for comment paper</w:t>
            </w:r>
          </w:p>
        </w:tc>
        <w:tc>
          <w:tcPr>
            <w:tcW w:w="3259" w:type="dxa"/>
          </w:tcPr>
          <w:p w14:paraId="0C9B124D" w14:textId="504A6382" w:rsidR="005473BE" w:rsidRPr="0081656C" w:rsidRDefault="005473BE">
            <w:pPr>
              <w:pStyle w:val="TableBody"/>
              <w:keepNext/>
            </w:pPr>
            <w:r>
              <w:t>2</w:t>
            </w:r>
            <w:r w:rsidR="76822584">
              <w:t>8</w:t>
            </w:r>
            <w:r>
              <w:t xml:space="preserve"> November 2024</w:t>
            </w:r>
          </w:p>
        </w:tc>
      </w:tr>
      <w:tr w:rsidR="005473BE" w14:paraId="3F102088" w14:textId="77777777" w:rsidTr="5AB0397F">
        <w:trPr>
          <w:cnfStyle w:val="000000010000" w:firstRow="0" w:lastRow="0" w:firstColumn="0" w:lastColumn="0" w:oddVBand="0" w:evenVBand="0" w:oddHBand="0" w:evenHBand="1" w:firstRowFirstColumn="0" w:firstRowLastColumn="0" w:lastRowFirstColumn="0" w:lastRowLastColumn="0"/>
        </w:trPr>
        <w:tc>
          <w:tcPr>
            <w:tcW w:w="6379" w:type="dxa"/>
          </w:tcPr>
          <w:p w14:paraId="5B8F7DC0" w14:textId="77777777" w:rsidR="005473BE" w:rsidRPr="00EC788F" w:rsidRDefault="005473BE">
            <w:pPr>
              <w:pStyle w:val="TableBody"/>
              <w:keepNext/>
            </w:pPr>
            <w:r w:rsidRPr="00EC788F">
              <w:t>Submissions on request for comment paper close</w:t>
            </w:r>
          </w:p>
        </w:tc>
        <w:tc>
          <w:tcPr>
            <w:tcW w:w="3259" w:type="dxa"/>
          </w:tcPr>
          <w:p w14:paraId="2AD817A7" w14:textId="4F7853FE" w:rsidR="005473BE" w:rsidRPr="0081656C" w:rsidRDefault="005473BE">
            <w:pPr>
              <w:pStyle w:val="TableBody"/>
              <w:keepNext/>
            </w:pPr>
            <w:r>
              <w:t>2</w:t>
            </w:r>
            <w:r w:rsidR="5C2BE088">
              <w:t>4</w:t>
            </w:r>
            <w:r>
              <w:t xml:space="preserve"> December 2024</w:t>
            </w:r>
          </w:p>
        </w:tc>
      </w:tr>
      <w:tr w:rsidR="005473BE" w14:paraId="40D12C25" w14:textId="77777777" w:rsidTr="5AB0397F">
        <w:trPr>
          <w:cnfStyle w:val="000000100000" w:firstRow="0" w:lastRow="0" w:firstColumn="0" w:lastColumn="0" w:oddVBand="0" w:evenVBand="0" w:oddHBand="1" w:evenHBand="0" w:firstRowFirstColumn="0" w:firstRowLastColumn="0" w:lastRowFirstColumn="0" w:lastRowLastColumn="0"/>
        </w:trPr>
        <w:tc>
          <w:tcPr>
            <w:tcW w:w="6379" w:type="dxa"/>
          </w:tcPr>
          <w:p w14:paraId="68BCEA74" w14:textId="77777777" w:rsidR="005473BE" w:rsidRDefault="005473BE">
            <w:pPr>
              <w:pStyle w:val="TableBody"/>
              <w:keepNext/>
            </w:pPr>
            <w:r w:rsidRPr="006608A2">
              <w:t xml:space="preserve">Draft decision </w:t>
            </w:r>
            <w:r>
              <w:t xml:space="preserve">paper </w:t>
            </w:r>
            <w:r w:rsidRPr="006608A2">
              <w:t>released</w:t>
            </w:r>
          </w:p>
        </w:tc>
        <w:tc>
          <w:tcPr>
            <w:tcW w:w="3259" w:type="dxa"/>
          </w:tcPr>
          <w:p w14:paraId="327B574E" w14:textId="77777777" w:rsidR="005473BE" w:rsidRPr="0081656C" w:rsidRDefault="005473BE">
            <w:pPr>
              <w:pStyle w:val="TableBody"/>
              <w:keepNext/>
            </w:pPr>
            <w:r>
              <w:t>March</w:t>
            </w:r>
            <w:r w:rsidRPr="0081656C">
              <w:t xml:space="preserve"> 2025</w:t>
            </w:r>
          </w:p>
        </w:tc>
      </w:tr>
      <w:tr w:rsidR="005473BE" w14:paraId="721E4055" w14:textId="77777777" w:rsidTr="5AB0397F">
        <w:trPr>
          <w:cnfStyle w:val="000000010000" w:firstRow="0" w:lastRow="0" w:firstColumn="0" w:lastColumn="0" w:oddVBand="0" w:evenVBand="0" w:oddHBand="0" w:evenHBand="1" w:firstRowFirstColumn="0" w:firstRowLastColumn="0" w:lastRowFirstColumn="0" w:lastRowLastColumn="0"/>
        </w:trPr>
        <w:tc>
          <w:tcPr>
            <w:tcW w:w="6379" w:type="dxa"/>
          </w:tcPr>
          <w:p w14:paraId="339754FE" w14:textId="77777777" w:rsidR="005473BE" w:rsidRDefault="005473BE">
            <w:pPr>
              <w:pStyle w:val="TableBody"/>
              <w:keepNext/>
            </w:pPr>
            <w:r>
              <w:t>Public forum on the d</w:t>
            </w:r>
            <w:r w:rsidRPr="006608A2">
              <w:t>raft decision</w:t>
            </w:r>
            <w:r>
              <w:t xml:space="preserve"> paper</w:t>
            </w:r>
          </w:p>
        </w:tc>
        <w:tc>
          <w:tcPr>
            <w:tcW w:w="3259" w:type="dxa"/>
          </w:tcPr>
          <w:p w14:paraId="4FA46E09" w14:textId="77777777" w:rsidR="005473BE" w:rsidRPr="0081656C" w:rsidRDefault="005473BE">
            <w:pPr>
              <w:pStyle w:val="TableBody"/>
              <w:keepNext/>
            </w:pPr>
            <w:r w:rsidRPr="0081656C">
              <w:t>March/April 2025</w:t>
            </w:r>
          </w:p>
        </w:tc>
      </w:tr>
      <w:tr w:rsidR="005473BE" w14:paraId="515F0801" w14:textId="77777777" w:rsidTr="5AB0397F">
        <w:trPr>
          <w:cnfStyle w:val="000000100000" w:firstRow="0" w:lastRow="0" w:firstColumn="0" w:lastColumn="0" w:oddVBand="0" w:evenVBand="0" w:oddHBand="1" w:evenHBand="0" w:firstRowFirstColumn="0" w:firstRowLastColumn="0" w:lastRowFirstColumn="0" w:lastRowLastColumn="0"/>
        </w:trPr>
        <w:tc>
          <w:tcPr>
            <w:tcW w:w="6379" w:type="dxa"/>
          </w:tcPr>
          <w:p w14:paraId="0D9700C2" w14:textId="77777777" w:rsidR="005473BE" w:rsidRDefault="005473BE">
            <w:pPr>
              <w:pStyle w:val="TableBody"/>
              <w:keepNext/>
            </w:pPr>
            <w:r w:rsidRPr="006608A2">
              <w:t>Final decision and determination</w:t>
            </w:r>
          </w:p>
        </w:tc>
        <w:tc>
          <w:tcPr>
            <w:tcW w:w="3259" w:type="dxa"/>
          </w:tcPr>
          <w:p w14:paraId="7504B9F6" w14:textId="77777777" w:rsidR="005473BE" w:rsidRPr="0081656C" w:rsidRDefault="005473BE">
            <w:pPr>
              <w:pStyle w:val="TableBody"/>
              <w:keepNext/>
            </w:pPr>
            <w:r w:rsidRPr="0081656C">
              <w:t>Made by 24 May 2025</w:t>
            </w:r>
          </w:p>
        </w:tc>
      </w:tr>
    </w:tbl>
    <w:p w14:paraId="2E6E9A18" w14:textId="0616B49B" w:rsidR="006050F6" w:rsidRDefault="006050F6" w:rsidP="007535AF">
      <w:pPr>
        <w:pStyle w:val="Heading3numbered"/>
      </w:pPr>
      <w:r>
        <w:t xml:space="preserve">The Victorian Default Offer </w:t>
      </w:r>
      <w:r w:rsidR="00DE435A">
        <w:t>regulates standing offer prices</w:t>
      </w:r>
    </w:p>
    <w:p w14:paraId="2B6944EB" w14:textId="108ED9F2" w:rsidR="00DE5622" w:rsidRDefault="00DE5622" w:rsidP="001B0CB6">
      <w:r>
        <w:t xml:space="preserve">When determining standing offer </w:t>
      </w:r>
      <w:r w:rsidR="00826761">
        <w:t>prices,</w:t>
      </w:r>
      <w:r>
        <w:t xml:space="preserve"> the commission must adopt an approach and methodology and must determine prices that best meets our objectives under the Essential Services Commission Act 2001</w:t>
      </w:r>
      <w:r>
        <w:rPr>
          <w:rStyle w:val="FootnoteReference"/>
        </w:rPr>
        <w:footnoteReference w:id="6"/>
      </w:r>
      <w:r>
        <w:t xml:space="preserve"> and the Electricity Industry Act 2000</w:t>
      </w:r>
      <w:r w:rsidRPr="00826761">
        <w:rPr>
          <w:rStyle w:val="FootnoteReference"/>
        </w:rPr>
        <w:footnoteReference w:id="7"/>
      </w:r>
      <w:r w:rsidRPr="00826761">
        <w:rPr>
          <w:vertAlign w:val="superscript"/>
        </w:rPr>
        <w:t>,</w:t>
      </w:r>
      <w:r>
        <w:rPr>
          <w:rStyle w:val="FootnoteReference"/>
        </w:rPr>
        <w:footnoteReference w:id="8"/>
      </w:r>
      <w:r>
        <w:t xml:space="preserve"> as well as the objectives of the Victorian Default Offer specified in the pricing order</w:t>
      </w:r>
      <w:r w:rsidR="00826761">
        <w:t>.</w:t>
      </w:r>
      <w:r>
        <w:rPr>
          <w:rStyle w:val="FootnoteReference"/>
        </w:rPr>
        <w:footnoteReference w:id="9"/>
      </w:r>
      <w:r>
        <w:t xml:space="preserve"> </w:t>
      </w:r>
      <w:r w:rsidRPr="0081656C">
        <w:t>In addition, the tariffs we determine must be based on the efficient cost of the sale of electricity by a retailer.</w:t>
      </w:r>
      <w:r>
        <w:rPr>
          <w:rStyle w:val="FootnoteReference"/>
        </w:rPr>
        <w:footnoteReference w:id="10"/>
      </w:r>
      <w:r>
        <w:t xml:space="preserve"> </w:t>
      </w:r>
    </w:p>
    <w:p w14:paraId="512CFCB3" w14:textId="0B97515E" w:rsidR="00D54FEC" w:rsidRDefault="00207A99" w:rsidP="001B0CB6">
      <w:r>
        <w:t>Our final decision on the 2024–25 Victorian Default Offer</w:t>
      </w:r>
      <w:r w:rsidRPr="007F0372">
        <w:t xml:space="preserve"> </w:t>
      </w:r>
      <w:r>
        <w:t xml:space="preserve">includes </w:t>
      </w:r>
      <w:r w:rsidR="00495F38">
        <w:t>detailed</w:t>
      </w:r>
      <w:r>
        <w:t xml:space="preserve"> methodologies we used</w:t>
      </w:r>
      <w:r w:rsidR="00101075">
        <w:t xml:space="preserve"> to calculate</w:t>
      </w:r>
      <w:r w:rsidR="00FD2792">
        <w:t xml:space="preserve"> each cost component</w:t>
      </w:r>
      <w:r>
        <w:t>.</w:t>
      </w:r>
      <w:r>
        <w:rPr>
          <w:rStyle w:val="FootnoteReference"/>
        </w:rPr>
        <w:footnoteReference w:id="11"/>
      </w:r>
      <w:r w:rsidR="00FD2792">
        <w:t xml:space="preserve"> </w:t>
      </w:r>
      <w:r w:rsidR="00D81051">
        <w:t>Past</w:t>
      </w:r>
      <w:r w:rsidR="00FD2792">
        <w:t xml:space="preserve"> decision</w:t>
      </w:r>
      <w:r w:rsidR="00D81051">
        <w:t xml:space="preserve"> paper</w:t>
      </w:r>
      <w:r w:rsidR="00FD2792">
        <w:t xml:space="preserve">s </w:t>
      </w:r>
      <w:r w:rsidR="00F56C2C">
        <w:t>can be found on our website</w:t>
      </w:r>
      <w:r w:rsidR="00FD2792">
        <w:t xml:space="preserve"> which </w:t>
      </w:r>
      <w:r w:rsidR="00200089">
        <w:t xml:space="preserve">includes detailed discussion </w:t>
      </w:r>
      <w:r w:rsidR="002B2D26">
        <w:t xml:space="preserve">on </w:t>
      </w:r>
      <w:r w:rsidR="00B9241C">
        <w:t>our approach to each cost component during each review since 2019.</w:t>
      </w:r>
      <w:r w:rsidR="008D7BBE">
        <w:rPr>
          <w:rStyle w:val="FootnoteReference"/>
        </w:rPr>
        <w:footnoteReference w:id="12"/>
      </w:r>
    </w:p>
    <w:p w14:paraId="0085AEF6" w14:textId="3BB7106E" w:rsidR="00DE5622" w:rsidRPr="006C35B3" w:rsidRDefault="00DE5622" w:rsidP="00C34F0A">
      <w:r w:rsidRPr="006C35B3">
        <w:t xml:space="preserve">The cost </w:t>
      </w:r>
      <w:r>
        <w:t>components</w:t>
      </w:r>
      <w:r w:rsidRPr="006C35B3">
        <w:t xml:space="preserve"> </w:t>
      </w:r>
      <w:r>
        <w:t xml:space="preserve">we have regard to </w:t>
      </w:r>
      <w:r w:rsidRPr="006C35B3">
        <w:t xml:space="preserve">for </w:t>
      </w:r>
      <w:r>
        <w:t xml:space="preserve">determining </w:t>
      </w:r>
      <w:r w:rsidRPr="006C35B3">
        <w:t>Victorian Default Offer prices are determined as follows:</w:t>
      </w:r>
    </w:p>
    <w:p w14:paraId="4DBCDDDA" w14:textId="77777777" w:rsidR="00C34F0A" w:rsidRPr="006C35B3" w:rsidRDefault="00C34F0A" w:rsidP="00C34F0A">
      <w:pPr>
        <w:pStyle w:val="ListBullet"/>
      </w:pPr>
      <w:r w:rsidRPr="006C35B3">
        <w:t>wholesale electricity costs – based on the price of electricity costs in the futures market</w:t>
      </w:r>
    </w:p>
    <w:p w14:paraId="6197D6A6" w14:textId="77777777" w:rsidR="00C34F0A" w:rsidRPr="006C35B3" w:rsidRDefault="00C34F0A" w:rsidP="00C34F0A">
      <w:pPr>
        <w:pStyle w:val="ListBullet"/>
      </w:pPr>
      <w:r w:rsidRPr="006C35B3">
        <w:t>network costs – taken directly from tariffs approved by the Australian Energy Regulator</w:t>
      </w:r>
    </w:p>
    <w:p w14:paraId="19129212" w14:textId="77777777" w:rsidR="00C34F0A" w:rsidRPr="006C35B3" w:rsidRDefault="00C34F0A" w:rsidP="00C34F0A">
      <w:pPr>
        <w:pStyle w:val="ListBullet"/>
      </w:pPr>
      <w:r w:rsidRPr="006C35B3">
        <w:t>environmental costs – taken from public information on the costs of environmental initiatives</w:t>
      </w:r>
    </w:p>
    <w:p w14:paraId="787A885D" w14:textId="77777777" w:rsidR="00C34F0A" w:rsidRPr="006C35B3" w:rsidRDefault="00C34F0A" w:rsidP="00C34F0A">
      <w:pPr>
        <w:pStyle w:val="ListBullet"/>
      </w:pPr>
      <w:r w:rsidRPr="006C35B3">
        <w:t>retail operating costs – based on historical cost data</w:t>
      </w:r>
    </w:p>
    <w:p w14:paraId="0FCE5119" w14:textId="77777777" w:rsidR="00C34F0A" w:rsidRPr="006C35B3" w:rsidRDefault="00C34F0A" w:rsidP="00C34F0A">
      <w:pPr>
        <w:pStyle w:val="ListBullet"/>
      </w:pPr>
      <w:r w:rsidRPr="006C35B3">
        <w:t>other costs – taken directly from published reports from industry bodies</w:t>
      </w:r>
    </w:p>
    <w:p w14:paraId="7909E28D" w14:textId="77777777" w:rsidR="00C34F0A" w:rsidRPr="006C35B3" w:rsidRDefault="00C34F0A" w:rsidP="00C34F0A">
      <w:pPr>
        <w:pStyle w:val="ListBullet"/>
      </w:pPr>
      <w:r w:rsidRPr="006C35B3">
        <w:lastRenderedPageBreak/>
        <w:t>network losses – taken from the Australian Energy Market Operator and electricity distributors</w:t>
      </w:r>
    </w:p>
    <w:p w14:paraId="0B453D74" w14:textId="77777777" w:rsidR="00C34F0A" w:rsidRPr="006C35B3" w:rsidRDefault="00C34F0A" w:rsidP="00C34F0A">
      <w:pPr>
        <w:pStyle w:val="ListBullet"/>
      </w:pPr>
      <w:r w:rsidRPr="006C35B3">
        <w:t xml:space="preserve">retail operating margin – </w:t>
      </w:r>
      <w:r w:rsidRPr="00011988">
        <w:t xml:space="preserve">based on </w:t>
      </w:r>
      <w:r>
        <w:t>benchmarking with</w:t>
      </w:r>
      <w:r w:rsidRPr="00011988">
        <w:t xml:space="preserve"> comparable regulatory decisions.</w:t>
      </w:r>
    </w:p>
    <w:p w14:paraId="3646F662" w14:textId="76529592" w:rsidR="00C20B36" w:rsidRDefault="00C20B36" w:rsidP="00C34F0A">
      <w:r>
        <w:t>Our final decision on the 2024–25 Victorian Default Offer</w:t>
      </w:r>
      <w:r w:rsidR="00AA31E6">
        <w:t xml:space="preserve"> represented </w:t>
      </w:r>
      <w:r w:rsidR="007348BF">
        <w:t>a $100 decrease, or 6 per cent</w:t>
      </w:r>
      <w:r w:rsidR="00B30F24">
        <w:t xml:space="preserve"> </w:t>
      </w:r>
      <w:r w:rsidR="00E45755">
        <w:t>reduction</w:t>
      </w:r>
      <w:r w:rsidR="00573FD8">
        <w:t>,</w:t>
      </w:r>
      <w:r w:rsidR="00E45755">
        <w:t xml:space="preserve"> in</w:t>
      </w:r>
      <w:r w:rsidR="00B30F24">
        <w:t xml:space="preserve"> average domestic annual bills for Victorian Default Offer customer</w:t>
      </w:r>
      <w:r w:rsidR="00FC7C20">
        <w:t>s compared to 2023-24</w:t>
      </w:r>
      <w:r w:rsidR="00A312C6">
        <w:t xml:space="preserve">. The lower </w:t>
      </w:r>
      <w:r w:rsidR="007B5EAC">
        <w:t xml:space="preserve">Victorian Default Offer </w:t>
      </w:r>
      <w:r w:rsidR="00BB4913">
        <w:t>reflected a decrease in future contract prices for wholesale electricity which was offset by increases</w:t>
      </w:r>
      <w:r w:rsidR="00056310">
        <w:t xml:space="preserve"> in</w:t>
      </w:r>
      <w:r w:rsidR="008737D7">
        <w:t xml:space="preserve"> network costs. </w:t>
      </w:r>
      <w:r w:rsidR="005317CA">
        <w:t>Network costs are approved by the Australia Energy Regulator</w:t>
      </w:r>
      <w:r w:rsidR="00CA7A57">
        <w:t xml:space="preserve"> </w:t>
      </w:r>
      <w:r w:rsidR="00D512F0">
        <w:t xml:space="preserve">each year. Figure 1 shows </w:t>
      </w:r>
      <w:r w:rsidR="00C0204A">
        <w:t>how each cost component makes us the total</w:t>
      </w:r>
      <w:r w:rsidR="00BC2E43">
        <w:t xml:space="preserve"> average annual bill for a domestic Victorian Default Offer customer. </w:t>
      </w:r>
    </w:p>
    <w:p w14:paraId="37E63E89" w14:textId="450786B7" w:rsidR="003337CE" w:rsidRDefault="003337CE" w:rsidP="004A0AEF">
      <w:pPr>
        <w:pStyle w:val="Heading5"/>
      </w:pPr>
      <w:r>
        <w:t xml:space="preserve">Figure 1: </w:t>
      </w:r>
      <w:r w:rsidR="008B0FB9">
        <w:t>Cost components</w:t>
      </w:r>
      <w:r>
        <w:t xml:space="preserve"> in annual bills for domestic customers (assuming annual usage of 4,000 kWh) between 2023-24 and 2024-25 Victorian Default Offers</w:t>
      </w:r>
    </w:p>
    <w:p w14:paraId="7D70ED27" w14:textId="446612D8" w:rsidR="003337CE" w:rsidRDefault="00BE37D2" w:rsidP="00C34F0A">
      <w:r>
        <w:rPr>
          <w:noProof/>
        </w:rPr>
        <w:drawing>
          <wp:inline distT="0" distB="0" distL="0" distR="0" wp14:anchorId="1AEDCFCC" wp14:editId="3AD65F4D">
            <wp:extent cx="6120130" cy="3519170"/>
            <wp:effectExtent l="0" t="0" r="0" b="5080"/>
            <wp:docPr id="23303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30481" name=""/>
                    <pic:cNvPicPr/>
                  </pic:nvPicPr>
                  <pic:blipFill>
                    <a:blip r:embed="rId11"/>
                    <a:stretch>
                      <a:fillRect/>
                    </a:stretch>
                  </pic:blipFill>
                  <pic:spPr>
                    <a:xfrm>
                      <a:off x="0" y="0"/>
                      <a:ext cx="6120130" cy="3519170"/>
                    </a:xfrm>
                    <a:prstGeom prst="rect">
                      <a:avLst/>
                    </a:prstGeom>
                  </pic:spPr>
                </pic:pic>
              </a:graphicData>
            </a:graphic>
          </wp:inline>
        </w:drawing>
      </w:r>
    </w:p>
    <w:p w14:paraId="64D5993E" w14:textId="42F46EAF" w:rsidR="00C34F0A" w:rsidRPr="0081656C" w:rsidRDefault="00C34F0A" w:rsidP="00C34F0A">
      <w:r w:rsidRPr="0081656C">
        <w:t>Th</w:t>
      </w:r>
      <w:r w:rsidR="00FF292A">
        <w:t>is</w:t>
      </w:r>
      <w:r w:rsidRPr="0081656C">
        <w:t xml:space="preserve"> paper ask</w:t>
      </w:r>
      <w:r w:rsidR="00FF292A">
        <w:t>s</w:t>
      </w:r>
      <w:r w:rsidRPr="0081656C">
        <w:t xml:space="preserve"> for submissions on </w:t>
      </w:r>
      <w:r w:rsidR="000B523E">
        <w:t xml:space="preserve">select </w:t>
      </w:r>
      <w:r w:rsidRPr="0081656C">
        <w:t xml:space="preserve">matters </w:t>
      </w:r>
      <w:r w:rsidR="00CD736E">
        <w:t>listed in Box 1.1</w:t>
      </w:r>
      <w:r w:rsidR="0092251F">
        <w:t xml:space="preserve"> and discussed in the </w:t>
      </w:r>
      <w:r w:rsidR="002647E2">
        <w:t>following</w:t>
      </w:r>
      <w:r w:rsidR="0092251F">
        <w:t xml:space="preserve"> sections. </w:t>
      </w:r>
      <w:r w:rsidR="00D4299D">
        <w:t>We</w:t>
      </w:r>
      <w:r w:rsidRPr="0081656C">
        <w:t xml:space="preserve"> consider </w:t>
      </w:r>
      <w:r w:rsidR="00D4299D">
        <w:t>our</w:t>
      </w:r>
      <w:r w:rsidR="000B523E">
        <w:t xml:space="preserve"> overall </w:t>
      </w:r>
      <w:r w:rsidR="00D4299D">
        <w:t xml:space="preserve">methodology </w:t>
      </w:r>
      <w:r w:rsidR="00BF4248">
        <w:t xml:space="preserve">used when determining the Victorian Default Offer </w:t>
      </w:r>
      <w:r w:rsidR="001E73BD">
        <w:t>is</w:t>
      </w:r>
      <w:r w:rsidR="00BF4248">
        <w:t xml:space="preserve"> sound, and the purpose of this paper is to seek </w:t>
      </w:r>
      <w:r w:rsidR="00826761">
        <w:t>stakeholders’</w:t>
      </w:r>
      <w:r w:rsidR="00BF4248">
        <w:t xml:space="preserve"> views on areas</w:t>
      </w:r>
      <w:r w:rsidRPr="0081656C">
        <w:t xml:space="preserve"> of </w:t>
      </w:r>
      <w:r w:rsidR="00BF4248">
        <w:t>further refinement</w:t>
      </w:r>
      <w:r w:rsidRPr="0081656C">
        <w:t xml:space="preserve">. </w:t>
      </w:r>
    </w:p>
    <w:p w14:paraId="01027145" w14:textId="49249C90" w:rsidR="00EB5A9E" w:rsidRDefault="002978A0" w:rsidP="002978A0">
      <w:pPr>
        <w:pStyle w:val="Figure-Table-BoxHeading"/>
      </w:pPr>
      <w:r>
        <w:t xml:space="preserve">Box 1.1 </w:t>
      </w:r>
      <w:r w:rsidR="00EB5A9E">
        <w:t>Matters for interested parties</w:t>
      </w:r>
    </w:p>
    <w:p w14:paraId="7A52A6D8" w14:textId="77777777" w:rsidR="00D50827" w:rsidRDefault="00D50827" w:rsidP="00810885">
      <w:pPr>
        <w:pStyle w:val="Pull-outListNumber1"/>
      </w:pPr>
      <w:r>
        <w:rPr>
          <w:shd w:val="clear" w:color="auto" w:fill="B2CFDC"/>
        </w:rPr>
        <w:t xml:space="preserve">Do you support the Victorian Default Offer estimating retail operating costs separately for domestic and small-business customers? </w:t>
      </w:r>
    </w:p>
    <w:p w14:paraId="4FD79D03" w14:textId="27D0F6BE" w:rsidR="00D50827" w:rsidRDefault="00D50827" w:rsidP="00810885">
      <w:pPr>
        <w:pStyle w:val="Pull-outListNumber1"/>
      </w:pPr>
      <w:r>
        <w:rPr>
          <w:shd w:val="clear" w:color="auto" w:fill="B2CFDC"/>
        </w:rPr>
        <w:t>What are your views on the appropriateness of the current retail operating margin</w:t>
      </w:r>
      <w:r w:rsidR="009E7BF5">
        <w:rPr>
          <w:shd w:val="clear" w:color="auto" w:fill="B2CFDC"/>
        </w:rPr>
        <w:t xml:space="preserve"> and where should it sit within the </w:t>
      </w:r>
      <w:r w:rsidR="00670CD3">
        <w:rPr>
          <w:shd w:val="clear" w:color="auto" w:fill="B2CFDC"/>
        </w:rPr>
        <w:t>feasible</w:t>
      </w:r>
      <w:r w:rsidR="009E7BF5">
        <w:rPr>
          <w:shd w:val="clear" w:color="auto" w:fill="B2CFDC"/>
        </w:rPr>
        <w:t xml:space="preserve"> range</w:t>
      </w:r>
      <w:r>
        <w:rPr>
          <w:shd w:val="clear" w:color="auto" w:fill="B2CFDC"/>
        </w:rPr>
        <w:t>?</w:t>
      </w:r>
    </w:p>
    <w:p w14:paraId="1DAF4F56" w14:textId="77777777" w:rsidR="00D50827" w:rsidRDefault="00D50827" w:rsidP="00810885">
      <w:pPr>
        <w:pStyle w:val="Pull-outListNumber1"/>
      </w:pPr>
      <w:r>
        <w:rPr>
          <w:shd w:val="clear" w:color="auto" w:fill="B2CFDC"/>
        </w:rPr>
        <w:lastRenderedPageBreak/>
        <w:t>Are there any other considerations we should have in determining a retail operating margin for an efficient electricity retailer?</w:t>
      </w:r>
    </w:p>
    <w:p w14:paraId="69836883" w14:textId="37571E42" w:rsidR="00D50827" w:rsidRDefault="00D50827" w:rsidP="00810885">
      <w:pPr>
        <w:pStyle w:val="Pull-outListNumber1"/>
      </w:pPr>
      <w:r>
        <w:rPr>
          <w:shd w:val="clear" w:color="auto" w:fill="B2CFDC"/>
        </w:rPr>
        <w:t>Is there a better approach to estimating Victorian Energy Efficiency Certificate prices?</w:t>
      </w:r>
    </w:p>
    <w:p w14:paraId="714D545C" w14:textId="77777777" w:rsidR="00D50827" w:rsidRDefault="00D50827" w:rsidP="00810885">
      <w:pPr>
        <w:pStyle w:val="Pull-outListNumber1"/>
      </w:pPr>
      <w:r>
        <w:rPr>
          <w:shd w:val="clear" w:color="auto" w:fill="B2CFDC"/>
        </w:rPr>
        <w:t>Does the removal of solar exports from the load profile better reflect an efficient retailer’s load profile assumptions?</w:t>
      </w:r>
    </w:p>
    <w:p w14:paraId="3EAA4768" w14:textId="77777777" w:rsidR="00D50827" w:rsidRDefault="00D50827" w:rsidP="00810885">
      <w:pPr>
        <w:pStyle w:val="Pull-outListNumber1"/>
      </w:pPr>
      <w:r>
        <w:rPr>
          <w:shd w:val="clear" w:color="auto" w:fill="B2CFDC"/>
        </w:rPr>
        <w:t>Do electricity retailers exclude solar exports from their load profile when buying future wholesale electricity contracts?</w:t>
      </w:r>
    </w:p>
    <w:p w14:paraId="7D7DE10C" w14:textId="46002D76" w:rsidR="000C7197" w:rsidRPr="0081656C" w:rsidRDefault="00574D7D" w:rsidP="00C34F0A">
      <w:r>
        <w:t>All submissions will be consider</w:t>
      </w:r>
      <w:r w:rsidR="00634D5E">
        <w:t xml:space="preserve">ed and may be adopted into the commissions approach where it is considered its inclusion will best meet the objectives of the Victorian Default Offer legislative framework. </w:t>
      </w:r>
      <w:r w:rsidR="003E3740">
        <w:t xml:space="preserve">Noting the short review period, where appropriate, some suggestions may need to be considered over the course of more than one review. </w:t>
      </w:r>
    </w:p>
    <w:p w14:paraId="1B8E20D5" w14:textId="5BC3A5AB" w:rsidR="00C34F0A" w:rsidRPr="0081656C" w:rsidRDefault="00C34F0A" w:rsidP="00F75A7F">
      <w:r w:rsidRPr="0081656C">
        <w:t xml:space="preserve">Stakeholders </w:t>
      </w:r>
      <w:r w:rsidR="00D34495">
        <w:t>can also</w:t>
      </w:r>
      <w:r w:rsidRPr="0081656C">
        <w:t xml:space="preserve"> make submissions on our draft decision paper, and we will have regard to these submissions when we make our final decision and determination.</w:t>
      </w:r>
    </w:p>
    <w:p w14:paraId="42D667B4" w14:textId="77777777" w:rsidR="00A54A31" w:rsidRPr="00A54A31" w:rsidRDefault="00A54A31" w:rsidP="00180CBE">
      <w:pPr>
        <w:pStyle w:val="Heading3numbered"/>
      </w:pPr>
      <w:r w:rsidRPr="00A54A31">
        <w:t>How to provide submissions</w:t>
      </w:r>
    </w:p>
    <w:p w14:paraId="36554EB7" w14:textId="1ABF3DCE" w:rsidR="00102EA6" w:rsidRPr="00A54A31" w:rsidRDefault="00102EA6" w:rsidP="00A54A31">
      <w:r>
        <w:t xml:space="preserve">We invite stakeholders to make submissions in response to this paper by </w:t>
      </w:r>
      <w:r w:rsidRPr="5AB0397F">
        <w:rPr>
          <w:b/>
          <w:bCs/>
        </w:rPr>
        <w:t>5pm 2</w:t>
      </w:r>
      <w:r w:rsidR="51FEFC08" w:rsidRPr="5AB0397F">
        <w:rPr>
          <w:b/>
          <w:bCs/>
        </w:rPr>
        <w:t>4</w:t>
      </w:r>
      <w:r w:rsidRPr="5AB0397F">
        <w:rPr>
          <w:b/>
          <w:bCs/>
        </w:rPr>
        <w:t xml:space="preserve"> December 2024.</w:t>
      </w:r>
      <w:r>
        <w:t xml:space="preserve"> </w:t>
      </w:r>
    </w:p>
    <w:p w14:paraId="01B992A8" w14:textId="3CC9A03E" w:rsidR="00102EA6" w:rsidRPr="00A54A31" w:rsidRDefault="00102EA6" w:rsidP="00A54A31">
      <w:r w:rsidRPr="00A54A31">
        <w:t>We may not be able to consider submissions received after this date.</w:t>
      </w:r>
    </w:p>
    <w:p w14:paraId="40F160A1" w14:textId="6720BBE1" w:rsidR="59B383D5" w:rsidRDefault="47CF0291" w:rsidP="59B383D5">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accent3" w:themeFillTint="66"/>
        <w:ind w:left="198" w:right="198"/>
        <w:rPr>
          <w:rFonts w:eastAsiaTheme="minorEastAsia"/>
          <w:b/>
          <w:bCs/>
        </w:rPr>
      </w:pPr>
      <w:r w:rsidRPr="1E22EFFC">
        <w:rPr>
          <w:b/>
          <w:bCs/>
        </w:rPr>
        <w:t xml:space="preserve">Visit Engage Victoria's website to make your submission: </w:t>
      </w:r>
      <w:hyperlink r:id="rId12">
        <w:r w:rsidRPr="1E22EFFC">
          <w:rPr>
            <w:rStyle w:val="Hyperlink"/>
            <w:b/>
            <w:bCs/>
          </w:rPr>
          <w:t>www.engage.vic.gov.au</w:t>
        </w:r>
      </w:hyperlink>
    </w:p>
    <w:p w14:paraId="5004032E" w14:textId="77777777" w:rsidR="00A54A31" w:rsidRPr="00A54A31" w:rsidRDefault="00A54A31" w:rsidP="00A54A31">
      <w:r w:rsidRPr="00A54A31">
        <w:t xml:space="preserve">If the deadline for making submissions, or method for making a submission, presents an issue, please email us at </w:t>
      </w:r>
      <w:hyperlink r:id="rId13" w:history="1">
        <w:r w:rsidRPr="00A54A31">
          <w:rPr>
            <w:color w:val="0000FF"/>
            <w:u w:val="single"/>
          </w:rPr>
          <w:t>VDO@esc.vic.gov.au</w:t>
        </w:r>
      </w:hyperlink>
      <w:r w:rsidRPr="00A54A31">
        <w:t xml:space="preserve"> to discuss other options. </w:t>
      </w:r>
    </w:p>
    <w:p w14:paraId="44FAED14" w14:textId="77777777" w:rsidR="00A54A31" w:rsidRPr="00A54A31" w:rsidRDefault="00A54A31" w:rsidP="00A54A31">
      <w:pPr>
        <w:keepNext/>
        <w:keepLines/>
        <w:spacing w:before="200" w:after="120"/>
        <w:outlineLvl w:val="2"/>
        <w:rPr>
          <w:rFonts w:ascii="Tahoma" w:eastAsiaTheme="majorEastAsia" w:hAnsi="Tahoma" w:cstheme="majorBidi"/>
          <w:b/>
          <w:color w:val="4986A0" w:themeColor="text2"/>
          <w:szCs w:val="24"/>
        </w:rPr>
      </w:pPr>
      <w:r w:rsidRPr="00A54A31">
        <w:rPr>
          <w:rFonts w:ascii="Tahoma" w:eastAsiaTheme="majorEastAsia" w:hAnsi="Tahoma" w:cstheme="majorBidi"/>
          <w:b/>
          <w:color w:val="4986A0" w:themeColor="text2"/>
          <w:szCs w:val="24"/>
        </w:rPr>
        <w:t>Sensitive or confidential information</w:t>
      </w:r>
    </w:p>
    <w:p w14:paraId="340BDF73" w14:textId="78FE20B4" w:rsidR="00F91F2A" w:rsidRPr="002B05A4" w:rsidRDefault="00F91F2A" w:rsidP="00180CBE">
      <w:r w:rsidRPr="00A54A31">
        <w:t xml:space="preserve">We encourage transparency in our review processes. It is our policy to publish all submissions on </w:t>
      </w:r>
      <w:r>
        <w:t>our</w:t>
      </w:r>
      <w:r w:rsidRPr="00A54A31">
        <w:t xml:space="preserve"> website unless the submitter has requested</w:t>
      </w:r>
      <w:r w:rsidR="00CA63AE">
        <w:t xml:space="preserve"> part of, or the entire submission is to</w:t>
      </w:r>
      <w:r w:rsidRPr="00A54A31">
        <w:t xml:space="preserve"> </w:t>
      </w:r>
      <w:r w:rsidR="005235D6">
        <w:t xml:space="preserve">be </w:t>
      </w:r>
      <w:r w:rsidRPr="00A54A31">
        <w:t>confidential. When we publish a submission, we will also include some details about the submitter (your name, not your address) unless the submitter has requested anonymity (does not want to be identified).</w:t>
      </w:r>
    </w:p>
    <w:p w14:paraId="113A316B" w14:textId="0284B82B" w:rsidR="009C3E83" w:rsidRPr="009C3E83" w:rsidRDefault="009C3E83" w:rsidP="00180CBE">
      <w:pPr>
        <w:pStyle w:val="Heading2numbered"/>
      </w:pPr>
      <w:r>
        <w:t>Background</w:t>
      </w:r>
      <w:bookmarkEnd w:id="1"/>
    </w:p>
    <w:p w14:paraId="1741B422" w14:textId="2FEDEBEF" w:rsidR="00D732EE" w:rsidRDefault="00D732EE" w:rsidP="00180CBE">
      <w:pPr>
        <w:pStyle w:val="Heading3numbered"/>
      </w:pPr>
      <w:bookmarkStart w:id="2" w:name="_Toc129689691"/>
      <w:bookmarkStart w:id="3" w:name="_Toc135838759"/>
      <w:r>
        <w:t>The Victorian Default Offer provides a safeguard for customers</w:t>
      </w:r>
      <w:bookmarkEnd w:id="2"/>
      <w:bookmarkEnd w:id="3"/>
    </w:p>
    <w:p w14:paraId="4AE50C0B" w14:textId="530C58DA" w:rsidR="00D732EE" w:rsidRPr="00EF6364" w:rsidRDefault="00750E15" w:rsidP="00180CBE">
      <w:r>
        <w:t xml:space="preserve">The Victorian Default Offer is </w:t>
      </w:r>
      <w:r w:rsidR="006C38C5">
        <w:t xml:space="preserve">based on the </w:t>
      </w:r>
      <w:r w:rsidR="002A368A">
        <w:t xml:space="preserve">efficient costs for the sale </w:t>
      </w:r>
      <w:r w:rsidR="00F96283">
        <w:t xml:space="preserve">of electricity. </w:t>
      </w:r>
      <w:r w:rsidR="004C2E31">
        <w:t xml:space="preserve">This </w:t>
      </w:r>
      <w:r w:rsidR="00A538A1">
        <w:t xml:space="preserve">provides an important </w:t>
      </w:r>
      <w:r w:rsidR="001C307E">
        <w:t xml:space="preserve">safeguard </w:t>
      </w:r>
      <w:r w:rsidR="007A6768">
        <w:t>for consumers who</w:t>
      </w:r>
      <w:r w:rsidR="00C53D52">
        <w:t xml:space="preserve"> may be on a standing offer contract </w:t>
      </w:r>
      <w:r w:rsidR="00671CF4">
        <w:t>and</w:t>
      </w:r>
      <w:r w:rsidR="007A6768">
        <w:t xml:space="preserve"> are unable or </w:t>
      </w:r>
      <w:r w:rsidR="007A6768">
        <w:lastRenderedPageBreak/>
        <w:t xml:space="preserve">unwilling to </w:t>
      </w:r>
      <w:r w:rsidR="00A83ED0">
        <w:t>engage in the electricity market.</w:t>
      </w:r>
      <w:r w:rsidR="00924C79">
        <w:t xml:space="preserve"> </w:t>
      </w:r>
      <w:r w:rsidR="00D732EE">
        <w:t>Standing offers are contracts that electricity retailers must make available to domestic and small business customers.</w:t>
      </w:r>
      <w:r w:rsidR="009869C3">
        <w:rPr>
          <w:rStyle w:val="FootnoteReference"/>
        </w:rPr>
        <w:footnoteReference w:id="13"/>
      </w:r>
      <w:r w:rsidR="00D732EE">
        <w:t xml:space="preserve"> </w:t>
      </w:r>
    </w:p>
    <w:p w14:paraId="500BE5CD" w14:textId="4EDA2CAD" w:rsidR="00D732EE" w:rsidRPr="00EF6364" w:rsidRDefault="00D732EE" w:rsidP="00D732EE">
      <w:r w:rsidRPr="00EF6364">
        <w:t xml:space="preserve">The Victorian Default Offer specifies the prices </w:t>
      </w:r>
      <w:r w:rsidR="0020042F">
        <w:t xml:space="preserve">electricity </w:t>
      </w:r>
      <w:r w:rsidR="006E7E4C">
        <w:t>retailers</w:t>
      </w:r>
      <w:r w:rsidRPr="00EF6364">
        <w:t xml:space="preserve"> may</w:t>
      </w:r>
      <w:r w:rsidR="0020042F">
        <w:t xml:space="preserve"> </w:t>
      </w:r>
      <w:r w:rsidRPr="00EF6364">
        <w:t xml:space="preserve">charge for standing offers. </w:t>
      </w:r>
      <w:r w:rsidR="001D569F">
        <w:t>Around</w:t>
      </w:r>
      <w:r w:rsidRPr="00EF6364">
        <w:t xml:space="preserve"> </w:t>
      </w:r>
      <w:r w:rsidR="007E1C5C">
        <w:t>3</w:t>
      </w:r>
      <w:r w:rsidR="00DA1D67">
        <w:t>34</w:t>
      </w:r>
      <w:r w:rsidRPr="00EF6364">
        <w:t xml:space="preserve">,000 households and </w:t>
      </w:r>
      <w:r w:rsidR="007E1C5C" w:rsidRPr="00EF6364">
        <w:t>5</w:t>
      </w:r>
      <w:r w:rsidR="00DA1D67">
        <w:t>7</w:t>
      </w:r>
      <w:r w:rsidRPr="00EF6364">
        <w:t xml:space="preserve">,000 small businesses </w:t>
      </w:r>
      <w:r w:rsidR="001D569F">
        <w:t>are</w:t>
      </w:r>
      <w:r w:rsidRPr="00EF6364">
        <w:t xml:space="preserve"> on standing offers.</w:t>
      </w:r>
      <w:r w:rsidRPr="00EF6364">
        <w:rPr>
          <w:rStyle w:val="FootnoteReference"/>
        </w:rPr>
        <w:footnoteReference w:id="14"/>
      </w:r>
      <w:r w:rsidRPr="00EF6364">
        <w:t xml:space="preserve"> This </w:t>
      </w:r>
      <w:r w:rsidR="00AF2AB1">
        <w:t xml:space="preserve">is </w:t>
      </w:r>
      <w:r w:rsidRPr="00EF6364">
        <w:t>around 1</w:t>
      </w:r>
      <w:r w:rsidR="000D122D">
        <w:t>3</w:t>
      </w:r>
      <w:r w:rsidRPr="00EF6364">
        <w:t xml:space="preserve"> per cent of households and </w:t>
      </w:r>
      <w:r w:rsidR="007E1C5C">
        <w:t>20</w:t>
      </w:r>
      <w:r w:rsidR="007E1C5C" w:rsidRPr="00EF6364">
        <w:t xml:space="preserve"> </w:t>
      </w:r>
      <w:r w:rsidRPr="00EF6364">
        <w:t>per cent of small businesses.</w:t>
      </w:r>
    </w:p>
    <w:p w14:paraId="3DDBA84D" w14:textId="4514157C" w:rsidR="001E1AC8" w:rsidRPr="00977638" w:rsidRDefault="001E1AC8" w:rsidP="00D732EE">
      <w:bookmarkStart w:id="4" w:name="_Toc129689692"/>
      <w:bookmarkStart w:id="5" w:name="_Toc135838760"/>
      <w:r w:rsidRPr="00EF6364">
        <w:t>Since September 2020, the Victorian Default Offer has also applied as a maximum price for most embedded network customers (covering around 1</w:t>
      </w:r>
      <w:r>
        <w:t>8</w:t>
      </w:r>
      <w:r w:rsidRPr="00EF6364">
        <w:t>0,000 customers).</w:t>
      </w:r>
      <w:r w:rsidRPr="00EF6364">
        <w:rPr>
          <w:rStyle w:val="FootnoteReference"/>
        </w:rPr>
        <w:footnoteReference w:id="15"/>
      </w:r>
      <w:r w:rsidRPr="00EF6364">
        <w:t xml:space="preserve"> Electricity providers in embedded networks may set prices below the Victorian Default</w:t>
      </w:r>
      <w:r>
        <w:t xml:space="preserve"> Offer.</w:t>
      </w:r>
    </w:p>
    <w:p w14:paraId="6DB0295A" w14:textId="2E726F1B" w:rsidR="00D732EE" w:rsidRDefault="00D732EE" w:rsidP="00180CBE">
      <w:pPr>
        <w:pStyle w:val="Heading3numbered"/>
      </w:pPr>
      <w:r>
        <w:t>The Victorian Default Offer also acts as a comparison price</w:t>
      </w:r>
      <w:bookmarkEnd w:id="4"/>
      <w:bookmarkEnd w:id="5"/>
    </w:p>
    <w:p w14:paraId="1A2F61E6" w14:textId="3CF89B88" w:rsidR="00D732EE" w:rsidRPr="00BB3FF6" w:rsidRDefault="00D732EE" w:rsidP="00D732EE">
      <w:r w:rsidRPr="00BB3FF6">
        <w:t xml:space="preserve">Most customers are on market contracts, not standing offers. </w:t>
      </w:r>
      <w:r>
        <w:t>M</w:t>
      </w:r>
      <w:r w:rsidRPr="00BB3FF6">
        <w:t xml:space="preserve">arket offers </w:t>
      </w:r>
      <w:r>
        <w:t>often have</w:t>
      </w:r>
      <w:r w:rsidRPr="00BB3FF6">
        <w:t xml:space="preserve"> prices below the Victorian Default Offer. </w:t>
      </w:r>
    </w:p>
    <w:p w14:paraId="6687B94E" w14:textId="4EE701DE" w:rsidR="00426D72" w:rsidRDefault="00426D72" w:rsidP="00D732EE">
      <w:r w:rsidRPr="00BB3FF6">
        <w:t xml:space="preserve">The Victorian Default Offer </w:t>
      </w:r>
      <w:r>
        <w:t>acts</w:t>
      </w:r>
      <w:r w:rsidRPr="00BB3FF6">
        <w:t xml:space="preserve"> </w:t>
      </w:r>
      <w:r>
        <w:t xml:space="preserve">as a benchmark price for </w:t>
      </w:r>
      <w:r w:rsidRPr="00BB3FF6">
        <w:t>market</w:t>
      </w:r>
      <w:r>
        <w:t xml:space="preserve"> offers.</w:t>
      </w:r>
      <w:r w:rsidRPr="00BB3FF6">
        <w:t xml:space="preserve"> </w:t>
      </w:r>
      <w:r>
        <w:t>R</w:t>
      </w:r>
      <w:r w:rsidRPr="00BB3FF6">
        <w:t xml:space="preserve">etailers </w:t>
      </w:r>
      <w:r>
        <w:t>must</w:t>
      </w:r>
      <w:r w:rsidRPr="00BB3FF6">
        <w:t xml:space="preserve"> </w:t>
      </w:r>
      <w:r>
        <w:t>compare their</w:t>
      </w:r>
      <w:r w:rsidRPr="00BB3FF6">
        <w:t xml:space="preserve"> market offers </w:t>
      </w:r>
      <w:r>
        <w:t>to the default offer prices when advertising</w:t>
      </w:r>
      <w:r w:rsidRPr="00BB3FF6">
        <w:t>. This enables customers to compare market offer prices</w:t>
      </w:r>
      <w:r>
        <w:t xml:space="preserve"> with the Victorian Default Offer prices</w:t>
      </w:r>
      <w:r w:rsidRPr="00BB3FF6">
        <w:t xml:space="preserve"> and choose a plan that best suits their needs.</w:t>
      </w:r>
      <w:r>
        <w:t xml:space="preserve"> </w:t>
      </w:r>
    </w:p>
    <w:p w14:paraId="2C918107" w14:textId="2CF9581F" w:rsidR="00E063E7" w:rsidRDefault="00B36985" w:rsidP="00CB0BA2">
      <w:pPr>
        <w:pStyle w:val="Heading2"/>
      </w:pPr>
      <w:r>
        <w:t>W</w:t>
      </w:r>
      <w:r w:rsidR="00E063E7">
        <w:t xml:space="preserve">e propose to use </w:t>
      </w:r>
      <w:r>
        <w:t xml:space="preserve">generally </w:t>
      </w:r>
      <w:r w:rsidR="00E063E7">
        <w:t>the same methodolog</w:t>
      </w:r>
      <w:r>
        <w:t>ies</w:t>
      </w:r>
      <w:r w:rsidR="00E063E7">
        <w:t xml:space="preserve"> </w:t>
      </w:r>
      <w:r w:rsidR="004A7181">
        <w:t>as</w:t>
      </w:r>
      <w:r w:rsidR="00CB0BA2">
        <w:t xml:space="preserve"> in past reviews</w:t>
      </w:r>
    </w:p>
    <w:p w14:paraId="44E79788" w14:textId="328C545C" w:rsidR="007A53F0" w:rsidRDefault="007F0372" w:rsidP="00DE129D">
      <w:r>
        <w:t>O</w:t>
      </w:r>
      <w:r w:rsidR="00E90213">
        <w:t>ur final decision on the 202</w:t>
      </w:r>
      <w:r w:rsidR="0081656C">
        <w:t>4</w:t>
      </w:r>
      <w:r w:rsidR="00A65C2D">
        <w:t>–</w:t>
      </w:r>
      <w:r w:rsidR="00E90213">
        <w:t>2</w:t>
      </w:r>
      <w:r w:rsidR="0081656C">
        <w:t>5</w:t>
      </w:r>
      <w:r w:rsidR="00E90213">
        <w:t xml:space="preserve"> Victorian Default Offer</w:t>
      </w:r>
      <w:r w:rsidRPr="007F0372">
        <w:t xml:space="preserve"> </w:t>
      </w:r>
      <w:r>
        <w:t xml:space="preserve">includes an overview of the methodologies we </w:t>
      </w:r>
      <w:r w:rsidR="0077518B">
        <w:t>use</w:t>
      </w:r>
      <w:r w:rsidR="00845EC2">
        <w:t>d</w:t>
      </w:r>
      <w:r w:rsidR="00E90213">
        <w:t>.</w:t>
      </w:r>
      <w:r w:rsidR="00E90213">
        <w:rPr>
          <w:rStyle w:val="FootnoteReference"/>
        </w:rPr>
        <w:footnoteReference w:id="16"/>
      </w:r>
      <w:r w:rsidR="004E3AC0">
        <w:t xml:space="preserve"> We </w:t>
      </w:r>
      <w:r w:rsidR="001B7E02">
        <w:t xml:space="preserve">are </w:t>
      </w:r>
      <w:r w:rsidR="004E3AC0">
        <w:t>seek</w:t>
      </w:r>
      <w:r w:rsidR="001B7E02">
        <w:t>ing</w:t>
      </w:r>
      <w:r w:rsidR="004E3AC0">
        <w:t xml:space="preserve"> stakeholder</w:t>
      </w:r>
      <w:r w:rsidR="00790378">
        <w:t>s’</w:t>
      </w:r>
      <w:r w:rsidR="004E3AC0">
        <w:t xml:space="preserve"> view</w:t>
      </w:r>
      <w:r w:rsidR="00AF158F">
        <w:t>s</w:t>
      </w:r>
      <w:r w:rsidR="004E3AC0">
        <w:t xml:space="preserve"> </w:t>
      </w:r>
      <w:r w:rsidR="00F84165">
        <w:t xml:space="preserve">on </w:t>
      </w:r>
      <w:r w:rsidR="00B73186">
        <w:t xml:space="preserve">the </w:t>
      </w:r>
      <w:r w:rsidR="0059133F">
        <w:t>topics</w:t>
      </w:r>
      <w:r w:rsidR="0077518B">
        <w:t xml:space="preserve"> </w:t>
      </w:r>
      <w:r w:rsidR="00B73186">
        <w:t>raised in this paper</w:t>
      </w:r>
      <w:r w:rsidR="0077518B">
        <w:t xml:space="preserve">. </w:t>
      </w:r>
      <w:r w:rsidR="0059133F">
        <w:t>We</w:t>
      </w:r>
      <w:r w:rsidR="002F5875">
        <w:t xml:space="preserve"> will consider submissions</w:t>
      </w:r>
      <w:r w:rsidR="0065338E">
        <w:t>,</w:t>
      </w:r>
      <w:r w:rsidR="00AA7851">
        <w:t xml:space="preserve"> along with </w:t>
      </w:r>
      <w:r w:rsidR="000F4A7C">
        <w:t xml:space="preserve">any </w:t>
      </w:r>
      <w:r w:rsidR="006C4AB7">
        <w:t xml:space="preserve">supporting </w:t>
      </w:r>
      <w:r w:rsidR="00AA7851">
        <w:t>evidence</w:t>
      </w:r>
      <w:r w:rsidR="000F4A7C">
        <w:t xml:space="preserve"> provided</w:t>
      </w:r>
      <w:r w:rsidR="0077518B">
        <w:t xml:space="preserve">, </w:t>
      </w:r>
      <w:r w:rsidR="00AA7851">
        <w:t>and how any change will better meet the objectives and requirements of the Victorian Default Offer framework</w:t>
      </w:r>
      <w:r w:rsidR="00B73186">
        <w:t xml:space="preserve">. </w:t>
      </w:r>
    </w:p>
    <w:p w14:paraId="3056D739" w14:textId="7049F903" w:rsidR="00F746CF" w:rsidRPr="0077518B" w:rsidRDefault="00E10AD7" w:rsidP="00DE129D">
      <w:r>
        <w:t>S</w:t>
      </w:r>
      <w:r w:rsidR="00C00CE3">
        <w:t>ubmissions are</w:t>
      </w:r>
      <w:r w:rsidR="00F3413E" w:rsidRPr="003C6CA6">
        <w:t xml:space="preserve"> welcome</w:t>
      </w:r>
      <w:r w:rsidR="00C00CE3">
        <w:t>d</w:t>
      </w:r>
      <w:r>
        <w:t xml:space="preserve"> on how we approach each cost</w:t>
      </w:r>
      <w:r w:rsidR="008E3845">
        <w:t xml:space="preserve"> component of the Victorian Default </w:t>
      </w:r>
      <w:r w:rsidR="00BD73D9">
        <w:t>Offer;</w:t>
      </w:r>
      <w:r w:rsidR="00C00CE3">
        <w:t xml:space="preserve"> </w:t>
      </w:r>
      <w:r w:rsidR="00AD38FE">
        <w:t>however,</w:t>
      </w:r>
      <w:r w:rsidR="00C00CE3">
        <w:t xml:space="preserve"> we have listed</w:t>
      </w:r>
      <w:r w:rsidR="00F3413E" w:rsidRPr="003C6CA6">
        <w:t xml:space="preserve"> </w:t>
      </w:r>
      <w:r w:rsidR="00DA3593" w:rsidRPr="003C6CA6">
        <w:t xml:space="preserve">specific </w:t>
      </w:r>
      <w:r w:rsidR="00D86C83" w:rsidRPr="003C6CA6">
        <w:t xml:space="preserve">topics </w:t>
      </w:r>
      <w:r w:rsidR="00996563">
        <w:t xml:space="preserve">that </w:t>
      </w:r>
      <w:r w:rsidR="00D86C83" w:rsidRPr="003C6CA6">
        <w:t>we are seeking comment on</w:t>
      </w:r>
      <w:r w:rsidR="00F24371" w:rsidRPr="003C6CA6">
        <w:t xml:space="preserve"> which are set out </w:t>
      </w:r>
      <w:r w:rsidR="00996563">
        <w:t>in the blue boxes at the end</w:t>
      </w:r>
      <w:r w:rsidR="003C6CA6" w:rsidRPr="003C6CA6">
        <w:t xml:space="preserve"> of</w:t>
      </w:r>
      <w:r w:rsidR="00F24371" w:rsidRPr="003C6CA6">
        <w:t xml:space="preserve"> each section</w:t>
      </w:r>
      <w:r w:rsidR="00D86C83" w:rsidRPr="003C6CA6">
        <w:t>.</w:t>
      </w:r>
      <w:r w:rsidR="00D86C83">
        <w:t xml:space="preserve"> </w:t>
      </w:r>
    </w:p>
    <w:p w14:paraId="694B5C3C" w14:textId="6B99E11E" w:rsidR="00516E1A" w:rsidRPr="00776C45" w:rsidRDefault="00516E1A" w:rsidP="004B74DA">
      <w:pPr>
        <w:pStyle w:val="Heading3"/>
      </w:pPr>
      <w:r w:rsidRPr="00776C45">
        <w:lastRenderedPageBreak/>
        <w:t xml:space="preserve">Retail operating </w:t>
      </w:r>
      <w:r w:rsidR="5217E9C0" w:rsidRPr="00776C45">
        <w:t>cost</w:t>
      </w:r>
      <w:r w:rsidR="00C8652F" w:rsidRPr="00776C45">
        <w:t xml:space="preserve"> – separation of </w:t>
      </w:r>
      <w:r w:rsidR="009B334D" w:rsidRPr="00776C45">
        <w:t>domestic</w:t>
      </w:r>
      <w:r w:rsidR="00C8652F" w:rsidRPr="00776C45">
        <w:t xml:space="preserve"> and small-business costs</w:t>
      </w:r>
    </w:p>
    <w:p w14:paraId="1E25F279" w14:textId="77777777" w:rsidR="003F082A" w:rsidRPr="00776C45" w:rsidRDefault="00341583" w:rsidP="00184FD0">
      <w:r w:rsidRPr="00341583">
        <w:t>To estimate efficient retail operating costs for electricity retailers, we use a benchmark based on a customer-weighted average of retailers’ actual operating costs, adjusted for inflation. This approach, first adopted in the 2023-24 Victorian Default Offer decision, replaced our previous method, which was based on</w:t>
      </w:r>
      <w:r w:rsidR="003E6956">
        <w:t xml:space="preserve"> </w:t>
      </w:r>
      <w:r w:rsidR="003E6956" w:rsidRPr="00776C45">
        <w:t>Independent Competition and Regulatory Commission</w:t>
      </w:r>
      <w:r w:rsidRPr="00341583">
        <w:t xml:space="preserve"> </w:t>
      </w:r>
      <w:r w:rsidR="003E6956">
        <w:t>(</w:t>
      </w:r>
      <w:r w:rsidRPr="00341583">
        <w:t>ICRC</w:t>
      </w:r>
      <w:r w:rsidR="003E6956">
        <w:t>)</w:t>
      </w:r>
      <w:r w:rsidRPr="00341583">
        <w:t xml:space="preserve"> benchmark </w:t>
      </w:r>
      <w:r w:rsidR="004B0EF4">
        <w:t>adjusted for inflation and</w:t>
      </w:r>
      <w:r w:rsidRPr="00341583">
        <w:t xml:space="preserve"> Victoria-specific operating costs.</w:t>
      </w:r>
    </w:p>
    <w:p w14:paraId="19703281" w14:textId="63EB87EC" w:rsidR="00E94645" w:rsidRPr="00776C45" w:rsidRDefault="00E94645" w:rsidP="00184FD0">
      <w:r>
        <w:t>This approach</w:t>
      </w:r>
      <w:r w:rsidR="00E87A0D">
        <w:t xml:space="preserve"> </w:t>
      </w:r>
      <w:r w:rsidR="00486323">
        <w:t xml:space="preserve">applies the retail operating costs, as reported, </w:t>
      </w:r>
      <w:r w:rsidR="00346659">
        <w:t>evenly to domestic and small business customers. Figure</w:t>
      </w:r>
      <w:r w:rsidR="00B563C8">
        <w:t>s</w:t>
      </w:r>
      <w:r w:rsidR="00346659">
        <w:t xml:space="preserve"> </w:t>
      </w:r>
      <w:r w:rsidR="00960AAE">
        <w:t>2</w:t>
      </w:r>
      <w:r w:rsidR="00346659">
        <w:t xml:space="preserve"> </w:t>
      </w:r>
      <w:r w:rsidR="00B563C8">
        <w:t>and 3</w:t>
      </w:r>
      <w:r w:rsidR="00346659">
        <w:t xml:space="preserve"> show </w:t>
      </w:r>
      <w:r w:rsidR="008D4898">
        <w:t>how much retail operating costs represent as a per cent of a domestic and small business Victorian Default Offer customers bill.</w:t>
      </w:r>
    </w:p>
    <w:p w14:paraId="7DC62A08" w14:textId="2879DFCB" w:rsidR="008D4898" w:rsidRDefault="008D4898" w:rsidP="00843BA5">
      <w:pPr>
        <w:pStyle w:val="Heading5"/>
      </w:pPr>
      <w:r>
        <w:t xml:space="preserve">Figure </w:t>
      </w:r>
      <w:r w:rsidR="00960AAE">
        <w:t>2</w:t>
      </w:r>
      <w:r>
        <w:t xml:space="preserve">: </w:t>
      </w:r>
      <w:r w:rsidR="00B56252">
        <w:t>Retail operating costs as p</w:t>
      </w:r>
      <w:r>
        <w:t>roportion of annual bill (</w:t>
      </w:r>
      <w:r w:rsidR="004753AF">
        <w:t>residential</w:t>
      </w:r>
      <w:r w:rsidR="00402043">
        <w:t>)</w:t>
      </w:r>
      <w:r w:rsidR="00402043">
        <w:rPr>
          <w:rStyle w:val="FootnoteReference"/>
        </w:rPr>
        <w:footnoteReference w:id="17"/>
      </w:r>
      <w:r w:rsidR="00B54AC5">
        <w:t xml:space="preserve"> </w:t>
      </w:r>
    </w:p>
    <w:p w14:paraId="34D8AFDF" w14:textId="4E4DD5E3" w:rsidR="6AA9F3E3" w:rsidRDefault="009A6CCD">
      <w:r>
        <w:rPr>
          <w:noProof/>
        </w:rPr>
        <w:drawing>
          <wp:inline distT="0" distB="0" distL="0" distR="0" wp14:anchorId="1B133351" wp14:editId="1F1D6A7C">
            <wp:extent cx="5842000" cy="2343150"/>
            <wp:effectExtent l="0" t="0" r="6350" b="0"/>
            <wp:docPr id="285014161" name="Chart 1">
              <a:extLst xmlns:a="http://schemas.openxmlformats.org/drawingml/2006/main">
                <a:ext uri="{FF2B5EF4-FFF2-40B4-BE49-F238E27FC236}">
                  <a16:creationId xmlns:a16="http://schemas.microsoft.com/office/drawing/2014/main" id="{7D2B7C90-90BA-FBB6-D520-85DB33556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A18E64" w14:textId="01394E9D" w:rsidR="00BC0803" w:rsidRDefault="00BC0803" w:rsidP="00BC0803">
      <w:pPr>
        <w:pStyle w:val="Heading5"/>
      </w:pPr>
      <w:r>
        <w:t>Figure 3: Retail operating costs as proportion of annual bill (</w:t>
      </w:r>
      <w:proofErr w:type="gramStart"/>
      <w:r>
        <w:t>small-business</w:t>
      </w:r>
      <w:proofErr w:type="gramEnd"/>
      <w:r>
        <w:t>)</w:t>
      </w:r>
      <w:r>
        <w:rPr>
          <w:rStyle w:val="FootnoteReference"/>
        </w:rPr>
        <w:footnoteReference w:id="18"/>
      </w:r>
      <w:r>
        <w:t xml:space="preserve"> </w:t>
      </w:r>
    </w:p>
    <w:p w14:paraId="0AFE304B" w14:textId="27C89583" w:rsidR="231CA81A" w:rsidRDefault="00764746" w:rsidP="07B13B80">
      <w:r>
        <w:rPr>
          <w:noProof/>
        </w:rPr>
        <w:drawing>
          <wp:inline distT="0" distB="0" distL="0" distR="0" wp14:anchorId="551C7970" wp14:editId="358F851A">
            <wp:extent cx="5943600" cy="2216150"/>
            <wp:effectExtent l="0" t="0" r="0" b="12700"/>
            <wp:docPr id="1083987566" name="Chart 1">
              <a:extLst xmlns:a="http://schemas.openxmlformats.org/drawingml/2006/main">
                <a:ext uri="{FF2B5EF4-FFF2-40B4-BE49-F238E27FC236}">
                  <a16:creationId xmlns:a16="http://schemas.microsoft.com/office/drawing/2014/main" id="{C7242CE1-0252-0CC3-5CF7-0C741DD6F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DEDB64" w14:textId="7651F4D2" w:rsidR="00221B0D" w:rsidRDefault="0058697F" w:rsidP="00180CBE">
      <w:pPr>
        <w:pStyle w:val="Heading4"/>
      </w:pPr>
      <w:r>
        <w:lastRenderedPageBreak/>
        <w:t>Evaluating cost differences by customer types</w:t>
      </w:r>
    </w:p>
    <w:p w14:paraId="19EBDDFD" w14:textId="5E1A6ED4" w:rsidR="00E76EEE" w:rsidRDefault="00BD3BAE">
      <w:r>
        <w:t>We are considering whether an efficient electricity retailer would incur different retail operating costs when servicing a domestic or small-business customer</w:t>
      </w:r>
      <w:r w:rsidR="005F5FD1">
        <w:t xml:space="preserve">. </w:t>
      </w:r>
      <w:r w:rsidR="00150625">
        <w:t>This assessment could lead to separate</w:t>
      </w:r>
      <w:r w:rsidR="00EE2258">
        <w:t xml:space="preserve"> estimates of retail operating costs for domestic and small business customers</w:t>
      </w:r>
      <w:r w:rsidR="00EE2258" w:rsidDel="00150625">
        <w:t xml:space="preserve"> </w:t>
      </w:r>
      <w:r w:rsidR="00EE2258">
        <w:t>in</w:t>
      </w:r>
      <w:r>
        <w:t xml:space="preserve"> the 2025-26 </w:t>
      </w:r>
      <w:r w:rsidR="00E76EEE">
        <w:t>Victorian Default Offer.</w:t>
      </w:r>
    </w:p>
    <w:p w14:paraId="74A66896" w14:textId="06CCF82B" w:rsidR="0013525B" w:rsidRDefault="0013525B">
      <w:r>
        <w:t>We acknowledge considering retail operating cost separately for domestic and small business customers</w:t>
      </w:r>
      <w:r w:rsidDel="0027284A">
        <w:t xml:space="preserve"> </w:t>
      </w:r>
      <w:r>
        <w:t>would be consistent with Australian Energy Regulators approach in the DMO.</w:t>
      </w:r>
      <w:r w:rsidR="006A151C">
        <w:t xml:space="preserve"> </w:t>
      </w:r>
      <w:r w:rsidR="001E4FDA">
        <w:t>However</w:t>
      </w:r>
      <w:r w:rsidR="00F0647D">
        <w:t>,</w:t>
      </w:r>
      <w:r w:rsidR="001E4FDA">
        <w:t xml:space="preserve"> their approach estimates retail costs </w:t>
      </w:r>
      <w:r w:rsidR="00EC7184">
        <w:t xml:space="preserve">separately and then adds </w:t>
      </w:r>
      <w:r w:rsidR="00543E22">
        <w:t>a separate cost for bad and doubtful debts</w:t>
      </w:r>
      <w:r w:rsidR="00E56033">
        <w:t xml:space="preserve"> (approximately $30 for domestic customers and </w:t>
      </w:r>
      <w:r w:rsidR="00EC0066">
        <w:t>up to $60 for small business customers)</w:t>
      </w:r>
      <w:r w:rsidR="00A34BA8">
        <w:rPr>
          <w:rStyle w:val="FootnoteReference"/>
        </w:rPr>
        <w:footnoteReference w:id="19"/>
      </w:r>
      <w:r w:rsidR="00543E22">
        <w:t xml:space="preserve">, whereas our approach includes </w:t>
      </w:r>
      <w:r w:rsidR="008E1353">
        <w:t>bad d</w:t>
      </w:r>
      <w:r w:rsidR="00FF742B">
        <w:t>ebts.</w:t>
      </w:r>
      <w:r w:rsidR="008F5388">
        <w:rPr>
          <w:rStyle w:val="FootnoteReference"/>
        </w:rPr>
        <w:footnoteReference w:id="20"/>
      </w:r>
    </w:p>
    <w:p w14:paraId="5E9DD933" w14:textId="5DBADCB6" w:rsidR="00117751" w:rsidRDefault="00117751" w:rsidP="00180CBE">
      <w:pPr>
        <w:pStyle w:val="Heading4"/>
      </w:pPr>
      <w:r>
        <w:t xml:space="preserve">Refining our approach with </w:t>
      </w:r>
      <w:r w:rsidR="00DF548D">
        <w:t>data collection</w:t>
      </w:r>
    </w:p>
    <w:p w14:paraId="71B41BD4" w14:textId="0215BDA1" w:rsidR="00E71235" w:rsidRPr="00776C45" w:rsidRDefault="00236020" w:rsidP="00184FD0">
      <w:r>
        <w:t>Starting with the</w:t>
      </w:r>
      <w:r w:rsidR="00E71235" w:rsidRPr="00776C45">
        <w:t xml:space="preserve"> 2023-24 Victorian Default Offer we have gathered actual retail operating costs from electricity retailers </w:t>
      </w:r>
      <w:r w:rsidR="002676FB" w:rsidRPr="00776C45">
        <w:t>to determine a more recent benchmark</w:t>
      </w:r>
      <w:r w:rsidR="00BD7245" w:rsidRPr="00776C45">
        <w:t xml:space="preserve">. </w:t>
      </w:r>
      <w:r>
        <w:t>In each decision cycle, w</w:t>
      </w:r>
      <w:r w:rsidR="00BD7245" w:rsidRPr="00776C45">
        <w:t xml:space="preserve">e have consulted on this change </w:t>
      </w:r>
      <w:r w:rsidR="00E00456" w:rsidRPr="00776C45">
        <w:t xml:space="preserve">and </w:t>
      </w:r>
      <w:r w:rsidR="00B017D7" w:rsidRPr="00776C45">
        <w:t xml:space="preserve">consider a customer </w:t>
      </w:r>
      <w:r w:rsidR="00D2235E" w:rsidRPr="00776C45">
        <w:t>weighted average</w:t>
      </w:r>
      <w:r w:rsidR="00B017D7" w:rsidRPr="00776C45">
        <w:t xml:space="preserve"> based on retailers actual operating costs </w:t>
      </w:r>
      <w:r w:rsidR="00EA622D">
        <w:t xml:space="preserve">as a robust estimate of </w:t>
      </w:r>
      <w:r w:rsidR="00150DB4" w:rsidRPr="00776C45">
        <w:t>efficient</w:t>
      </w:r>
      <w:r w:rsidR="00B06FC6">
        <w:t xml:space="preserve"> </w:t>
      </w:r>
      <w:r w:rsidR="00D477B9">
        <w:t xml:space="preserve">retail operating </w:t>
      </w:r>
      <w:r w:rsidR="00D2235E" w:rsidRPr="00776C45">
        <w:t>cost</w:t>
      </w:r>
      <w:r w:rsidR="00B06FC6">
        <w:t>s</w:t>
      </w:r>
      <w:r w:rsidR="00D2235E" w:rsidRPr="00776C45">
        <w:t xml:space="preserve">. We will continue </w:t>
      </w:r>
      <w:r w:rsidR="00392849">
        <w:t xml:space="preserve">collecting retailers cost data and continue to apply </w:t>
      </w:r>
      <w:r w:rsidR="00D2235E" w:rsidRPr="00776C45">
        <w:t>this approach for the 2025-2</w:t>
      </w:r>
      <w:r w:rsidR="00B06FC6">
        <w:t>6</w:t>
      </w:r>
      <w:r w:rsidR="00D2235E" w:rsidRPr="00776C45">
        <w:t xml:space="preserve"> Victorian Default Offer.</w:t>
      </w:r>
      <w:r w:rsidR="00F73F0E">
        <w:rPr>
          <w:rStyle w:val="FootnoteReference"/>
        </w:rPr>
        <w:footnoteReference w:id="21"/>
      </w:r>
      <w:r w:rsidR="00D2235E" w:rsidRPr="00776C45">
        <w:t xml:space="preserve"> </w:t>
      </w:r>
    </w:p>
    <w:p w14:paraId="21C4B75D" w14:textId="171889A1" w:rsidR="00484F26" w:rsidRDefault="00467629" w:rsidP="00184FD0">
      <w:r w:rsidRPr="00180CBE">
        <w:rPr>
          <w:rStyle w:val="Heading4Char"/>
        </w:rPr>
        <w:t>T</w:t>
      </w:r>
      <w:r w:rsidR="001A4EBC">
        <w:rPr>
          <w:rStyle w:val="Heading4Char"/>
        </w:rPr>
        <w:t>ypes of retail operating</w:t>
      </w:r>
      <w:r w:rsidRPr="00180CBE">
        <w:rPr>
          <w:rStyle w:val="Heading4Char"/>
        </w:rPr>
        <w:t xml:space="preserve"> expenses</w:t>
      </w:r>
      <w:r w:rsidRPr="00776C45">
        <w:t xml:space="preserve"> </w:t>
      </w:r>
    </w:p>
    <w:p w14:paraId="7015E20C" w14:textId="40477E5D" w:rsidR="00D2235E" w:rsidRPr="00776C45" w:rsidRDefault="001A4EBC" w:rsidP="00184FD0">
      <w:r>
        <w:t>E</w:t>
      </w:r>
      <w:r w:rsidR="00CB0142" w:rsidRPr="00776C45">
        <w:t>lectricity retailer</w:t>
      </w:r>
      <w:r>
        <w:t xml:space="preserve">s incur various </w:t>
      </w:r>
      <w:r w:rsidR="00AA3206">
        <w:t xml:space="preserve">operating </w:t>
      </w:r>
      <w:r>
        <w:t xml:space="preserve">costs </w:t>
      </w:r>
      <w:r w:rsidR="008071B2">
        <w:t>including</w:t>
      </w:r>
      <w:r w:rsidR="00CB0142" w:rsidRPr="00776C45">
        <w:t>:</w:t>
      </w:r>
    </w:p>
    <w:p w14:paraId="0D2653D9" w14:textId="2C0967DB" w:rsidR="006F50FF" w:rsidRDefault="003C2736" w:rsidP="00CB0142">
      <w:pPr>
        <w:pStyle w:val="ListBullet"/>
      </w:pPr>
      <w:r>
        <w:t>c</w:t>
      </w:r>
      <w:r w:rsidR="00A33434">
        <w:t>ost t</w:t>
      </w:r>
      <w:r w:rsidR="006F50FF">
        <w:t>o serve</w:t>
      </w:r>
      <w:r w:rsidR="00700277">
        <w:t xml:space="preserve">, which </w:t>
      </w:r>
      <w:proofErr w:type="gramStart"/>
      <w:r w:rsidR="00700277">
        <w:t>include</w:t>
      </w:r>
      <w:r w:rsidR="006035E0">
        <w:t>;</w:t>
      </w:r>
      <w:proofErr w:type="gramEnd"/>
    </w:p>
    <w:p w14:paraId="128C557A" w14:textId="12576107" w:rsidR="00CB0142" w:rsidRPr="00776C45" w:rsidRDefault="000D6FB2" w:rsidP="00D72D10">
      <w:pPr>
        <w:pStyle w:val="ListBullet2"/>
      </w:pPr>
      <w:r>
        <w:t>b</w:t>
      </w:r>
      <w:r w:rsidR="00CB0142" w:rsidRPr="00776C45">
        <w:t>illing and revenue collection systems</w:t>
      </w:r>
    </w:p>
    <w:p w14:paraId="5992A0B1" w14:textId="40CD459C" w:rsidR="00CB0142" w:rsidRPr="00776C45" w:rsidRDefault="000D6FB2" w:rsidP="00D72D10">
      <w:pPr>
        <w:pStyle w:val="ListBullet2"/>
      </w:pPr>
      <w:r>
        <w:t>i</w:t>
      </w:r>
      <w:r w:rsidR="00CB0142" w:rsidRPr="00776C45">
        <w:t>nformation technology systems</w:t>
      </w:r>
    </w:p>
    <w:p w14:paraId="31288B97" w14:textId="414F2343" w:rsidR="00CB0142" w:rsidRPr="00776C45" w:rsidRDefault="000D6FB2" w:rsidP="00D72D10">
      <w:pPr>
        <w:pStyle w:val="ListBullet2"/>
      </w:pPr>
      <w:r>
        <w:t>c</w:t>
      </w:r>
      <w:r w:rsidR="00CB0142" w:rsidRPr="00776C45">
        <w:t>all centre costs</w:t>
      </w:r>
      <w:r w:rsidR="00556B20">
        <w:t xml:space="preserve"> </w:t>
      </w:r>
    </w:p>
    <w:p w14:paraId="3AB49D53" w14:textId="1345DFF8" w:rsidR="00CB0142" w:rsidRPr="00776C45" w:rsidRDefault="003C2736" w:rsidP="00CB0142">
      <w:pPr>
        <w:pStyle w:val="ListBullet"/>
      </w:pPr>
      <w:r>
        <w:t>b</w:t>
      </w:r>
      <w:r w:rsidR="00CB0142" w:rsidRPr="00776C45">
        <w:t>ad and doubtful debts</w:t>
      </w:r>
    </w:p>
    <w:p w14:paraId="33CCA384" w14:textId="7EBD6DFB" w:rsidR="00CB0142" w:rsidRPr="00776C45" w:rsidRDefault="003C2736" w:rsidP="00CB0142">
      <w:pPr>
        <w:pStyle w:val="ListBullet"/>
      </w:pPr>
      <w:r>
        <w:t>r</w:t>
      </w:r>
      <w:r w:rsidR="00CB0142" w:rsidRPr="00776C45">
        <w:t xml:space="preserve">egulatory compliance costs. </w:t>
      </w:r>
    </w:p>
    <w:p w14:paraId="646BDE75" w14:textId="78306872" w:rsidR="00330BCF" w:rsidRPr="00184FD0" w:rsidRDefault="00330BCF" w:rsidP="00184FD0">
      <w:pPr>
        <w:rPr>
          <w:highlight w:val="yellow"/>
        </w:rPr>
      </w:pPr>
      <w:bookmarkStart w:id="6" w:name="_Ref181005610"/>
      <w:r>
        <w:t>To better understand any cost variations between customer types, we are collecting data from electricity retailers</w:t>
      </w:r>
      <w:r w:rsidR="007328F9">
        <w:t xml:space="preserve"> </w:t>
      </w:r>
      <w:r w:rsidR="00696336">
        <w:t>which requ</w:t>
      </w:r>
      <w:r w:rsidR="0012766B">
        <w:t>ires</w:t>
      </w:r>
      <w:r w:rsidR="00C90B81">
        <w:t xml:space="preserve"> retail costs be </w:t>
      </w:r>
      <w:r w:rsidR="0012766B">
        <w:t>reported</w:t>
      </w:r>
      <w:r w:rsidR="007328F9">
        <w:t xml:space="preserve"> </w:t>
      </w:r>
      <w:r w:rsidR="0023043B">
        <w:t>separately for</w:t>
      </w:r>
      <w:r w:rsidR="007328F9">
        <w:t xml:space="preserve"> domestic and small-</w:t>
      </w:r>
      <w:r w:rsidR="007328F9">
        <w:lastRenderedPageBreak/>
        <w:t>business customers</w:t>
      </w:r>
      <w:r w:rsidR="00F56251">
        <w:t>.</w:t>
      </w:r>
      <w:r>
        <w:t xml:space="preserve"> </w:t>
      </w:r>
      <w:r w:rsidR="00A668FD">
        <w:t>W</w:t>
      </w:r>
      <w:r>
        <w:t xml:space="preserve">e will consider the submissions we receive in response to this Request for Comment paper when making our draft and final decisions on the 2025-26 Victorian Default Offer. </w:t>
      </w:r>
    </w:p>
    <w:p w14:paraId="4F54A7B8" w14:textId="76C4921D" w:rsidR="008E5BB8" w:rsidRPr="00100A54" w:rsidRDefault="008E5BB8" w:rsidP="00810885">
      <w:pPr>
        <w:pStyle w:val="Pull-outListNumber1"/>
        <w:numPr>
          <w:ilvl w:val="2"/>
          <w:numId w:val="48"/>
        </w:numPr>
      </w:pPr>
      <w:r w:rsidRPr="00100A54">
        <w:t xml:space="preserve">Do you support the </w:t>
      </w:r>
      <w:r w:rsidR="00F965FB">
        <w:t xml:space="preserve">Victorian Default Offer </w:t>
      </w:r>
      <w:r w:rsidRPr="00100A54">
        <w:t xml:space="preserve">estimating retail operating costs </w:t>
      </w:r>
      <w:r w:rsidR="009B334D" w:rsidRPr="00100A54">
        <w:t>separately for domestic and small-business customers?</w:t>
      </w:r>
      <w:bookmarkEnd w:id="6"/>
      <w:r w:rsidR="009B334D" w:rsidRPr="00100A54">
        <w:t xml:space="preserve"> </w:t>
      </w:r>
    </w:p>
    <w:p w14:paraId="7233223E" w14:textId="32510519" w:rsidR="00A6520E" w:rsidRPr="002D5F30" w:rsidRDefault="00203AD2" w:rsidP="002D5F30">
      <w:pPr>
        <w:pStyle w:val="Heading3"/>
      </w:pPr>
      <w:r w:rsidRPr="002D5F30">
        <w:t xml:space="preserve">Retail operating margin </w:t>
      </w:r>
    </w:p>
    <w:p w14:paraId="06E478D0" w14:textId="0DD9097A" w:rsidR="004150B4" w:rsidRDefault="00F279A4" w:rsidP="004150B4">
      <w:r>
        <w:t>The</w:t>
      </w:r>
      <w:r w:rsidR="00A975D1">
        <w:t xml:space="preserve"> retail operating margin</w:t>
      </w:r>
      <w:r w:rsidR="0089430F">
        <w:t xml:space="preserve"> in the Victorian Default Offer is expressed as a percentage of the cost stack and represents the </w:t>
      </w:r>
      <w:r w:rsidR="00D50265">
        <w:t xml:space="preserve">operating </w:t>
      </w:r>
      <w:r w:rsidR="00C4038E">
        <w:t>margin required to compensate investors for the capital they provide electricity retailers.</w:t>
      </w:r>
      <w:r w:rsidR="00C4038E">
        <w:rPr>
          <w:rStyle w:val="FootnoteReference"/>
        </w:rPr>
        <w:footnoteReference w:id="22"/>
      </w:r>
      <w:r w:rsidR="00F77264">
        <w:t xml:space="preserve"> </w:t>
      </w:r>
      <w:r w:rsidR="004150B4">
        <w:t>It includes:</w:t>
      </w:r>
    </w:p>
    <w:p w14:paraId="2FB713D6" w14:textId="45DD809F" w:rsidR="004150B4" w:rsidRDefault="00024B2F" w:rsidP="004150B4">
      <w:pPr>
        <w:pStyle w:val="ListParagraph"/>
        <w:numPr>
          <w:ilvl w:val="0"/>
          <w:numId w:val="43"/>
        </w:numPr>
      </w:pPr>
      <w:r>
        <w:t>systemic risk (non-diversifiable)</w:t>
      </w:r>
    </w:p>
    <w:p w14:paraId="27CCF732" w14:textId="674D2E19" w:rsidR="004150B4" w:rsidRDefault="00024B2F" w:rsidP="004150B4">
      <w:pPr>
        <w:pStyle w:val="ListParagraph"/>
        <w:numPr>
          <w:ilvl w:val="0"/>
          <w:numId w:val="43"/>
        </w:numPr>
      </w:pPr>
      <w:r>
        <w:t xml:space="preserve">tax </w:t>
      </w:r>
    </w:p>
    <w:p w14:paraId="735E1BB7" w14:textId="77777777" w:rsidR="004150B4" w:rsidRDefault="00024B2F" w:rsidP="004150B4">
      <w:pPr>
        <w:pStyle w:val="ListParagraph"/>
        <w:numPr>
          <w:ilvl w:val="0"/>
          <w:numId w:val="43"/>
        </w:numPr>
      </w:pPr>
      <w:r>
        <w:t xml:space="preserve">depreciation and </w:t>
      </w:r>
      <w:r w:rsidR="001F4827">
        <w:t xml:space="preserve">amortisation. </w:t>
      </w:r>
    </w:p>
    <w:p w14:paraId="2BA8DC62" w14:textId="150AFA32" w:rsidR="00AC545C" w:rsidRDefault="00AC545C" w:rsidP="00AC545C">
      <w:r>
        <w:t>The pricing order notes that risks accounted for in other components of the cost stack (such as wholesale electricity market price risk) must not be included (to avoid double counting).</w:t>
      </w:r>
      <w:r>
        <w:rPr>
          <w:rStyle w:val="FootnoteReference"/>
        </w:rPr>
        <w:footnoteReference w:id="23"/>
      </w:r>
      <w:r>
        <w:t xml:space="preserve"> We are not required to base our estimate of the retail operating margin on retailers actual operating margins.</w:t>
      </w:r>
      <w:r>
        <w:rPr>
          <w:rStyle w:val="FootnoteReference"/>
        </w:rPr>
        <w:footnoteReference w:id="24"/>
      </w:r>
      <w:r>
        <w:t xml:space="preserve"> In addition, our price determinations must not include headroom.</w:t>
      </w:r>
      <w:r>
        <w:rPr>
          <w:rStyle w:val="FootnoteReference"/>
        </w:rPr>
        <w:footnoteReference w:id="25"/>
      </w:r>
    </w:p>
    <w:p w14:paraId="3C2207A6" w14:textId="0B093584" w:rsidR="006644A1" w:rsidRDefault="006644A1" w:rsidP="00AC545C">
      <w:r>
        <w:t xml:space="preserve">The </w:t>
      </w:r>
      <w:r w:rsidR="00E236FE">
        <w:t>retail operating margin represented</w:t>
      </w:r>
      <w:r w:rsidR="00D946EA">
        <w:t xml:space="preserve"> 5.3 per cent or</w:t>
      </w:r>
      <w:r w:rsidR="00E236FE">
        <w:t xml:space="preserve"> $80 in the average </w:t>
      </w:r>
      <w:r w:rsidR="00240C5E">
        <w:t xml:space="preserve">domestic </w:t>
      </w:r>
      <w:r>
        <w:t xml:space="preserve">Victorian Default Offer </w:t>
      </w:r>
      <w:r w:rsidR="00240C5E">
        <w:t>customers for 2024-25.</w:t>
      </w:r>
    </w:p>
    <w:p w14:paraId="1B352A27" w14:textId="0166F6A2" w:rsidR="00C13A88" w:rsidRDefault="00C13A88" w:rsidP="00180CBE">
      <w:pPr>
        <w:pStyle w:val="Heading4"/>
      </w:pPr>
      <w:r>
        <w:t>Historical context and adjustments</w:t>
      </w:r>
    </w:p>
    <w:p w14:paraId="13415101" w14:textId="2B0B1570" w:rsidR="00FF13E9" w:rsidRDefault="00FF13E9" w:rsidP="00846EF6">
      <w:r>
        <w:t>In 2019, we recommend</w:t>
      </w:r>
      <w:r w:rsidR="00F4498A">
        <w:t>ed a retail operating margin of 5.7 per cent based on a regulatory benchmark</w:t>
      </w:r>
      <w:r w:rsidR="00E16DE3">
        <w:t xml:space="preserve">. </w:t>
      </w:r>
      <w:r w:rsidR="00C37E89">
        <w:t>This recommendation was supported by Frontier Economics, which employed two approaches:</w:t>
      </w:r>
    </w:p>
    <w:p w14:paraId="76E81862" w14:textId="7E20C6CD" w:rsidR="00C37E89" w:rsidRDefault="00B97884" w:rsidP="00030A4F">
      <w:pPr>
        <w:pStyle w:val="ListBullet"/>
      </w:pPr>
      <w:r>
        <w:t>r</w:t>
      </w:r>
      <w:r w:rsidR="00C37E89">
        <w:t>egulatory benchmark approach</w:t>
      </w:r>
    </w:p>
    <w:p w14:paraId="05289C85" w14:textId="6D2AB69B" w:rsidR="00C37E89" w:rsidRDefault="00B97884" w:rsidP="00030A4F">
      <w:pPr>
        <w:pStyle w:val="ListBullet"/>
      </w:pPr>
      <w:r>
        <w:t>e</w:t>
      </w:r>
      <w:r w:rsidR="00B060DC">
        <w:t>xpected returns approach</w:t>
      </w:r>
      <w:r w:rsidR="00FA31CD">
        <w:t xml:space="preserve"> (4.8 to 6.1 per cent</w:t>
      </w:r>
      <w:r w:rsidR="00785235">
        <w:t>)</w:t>
      </w:r>
      <w:r w:rsidR="00FA31CD">
        <w:t>.</w:t>
      </w:r>
      <w:r w:rsidR="00FA31CD">
        <w:rPr>
          <w:rStyle w:val="FootnoteReference"/>
        </w:rPr>
        <w:footnoteReference w:id="26"/>
      </w:r>
    </w:p>
    <w:p w14:paraId="4CC4068B" w14:textId="654013C5" w:rsidR="00A513B2" w:rsidRDefault="00923363" w:rsidP="00846EF6">
      <w:r>
        <w:t>For the 2023-24 and 2024-25 Victorian Default Offer decisions</w:t>
      </w:r>
      <w:r w:rsidR="009C0715">
        <w:t>,</w:t>
      </w:r>
      <w:r>
        <w:t xml:space="preserve"> </w:t>
      </w:r>
      <w:r w:rsidR="00141C82">
        <w:t xml:space="preserve">we reduced </w:t>
      </w:r>
      <w:r>
        <w:t xml:space="preserve">the retail operating margin </w:t>
      </w:r>
      <w:r w:rsidR="00141C82">
        <w:t>to</w:t>
      </w:r>
      <w:r>
        <w:t xml:space="preserve"> 5.3 per cent, from 5.7 per cent</w:t>
      </w:r>
      <w:r w:rsidR="00A513B2">
        <w:t>. This adjustment reflects:</w:t>
      </w:r>
    </w:p>
    <w:p w14:paraId="46C83A2F" w14:textId="05337AC3" w:rsidR="002F69EA" w:rsidRDefault="000F30AD" w:rsidP="00030A4F">
      <w:pPr>
        <w:pStyle w:val="ListBullet"/>
      </w:pPr>
      <w:r>
        <w:lastRenderedPageBreak/>
        <w:t>decreasing</w:t>
      </w:r>
      <w:r w:rsidR="00923363">
        <w:t xml:space="preserve"> </w:t>
      </w:r>
      <w:r>
        <w:t xml:space="preserve">actual </w:t>
      </w:r>
      <w:r w:rsidR="00923363">
        <w:t>margins</w:t>
      </w:r>
    </w:p>
    <w:p w14:paraId="468AD9AD" w14:textId="22F936FA" w:rsidR="002F69EA" w:rsidRDefault="00533315" w:rsidP="00030A4F">
      <w:pPr>
        <w:pStyle w:val="ListBullet"/>
      </w:pPr>
      <w:r>
        <w:t xml:space="preserve">improvement in </w:t>
      </w:r>
      <w:r w:rsidR="005961A8">
        <w:t>market competition</w:t>
      </w:r>
      <w:r w:rsidR="00923363">
        <w:t xml:space="preserve"> </w:t>
      </w:r>
    </w:p>
    <w:p w14:paraId="5C5C4690" w14:textId="2B02BE30" w:rsidR="00D42392" w:rsidRDefault="00E17E20" w:rsidP="00030A4F">
      <w:pPr>
        <w:pStyle w:val="ListBullet"/>
      </w:pPr>
      <w:r>
        <w:t>r</w:t>
      </w:r>
      <w:r w:rsidR="005961A8">
        <w:t xml:space="preserve">etail </w:t>
      </w:r>
      <w:r w:rsidR="00923363">
        <w:t>market offers below the Victorian Default Offer.</w:t>
      </w:r>
      <w:r w:rsidR="00923363">
        <w:rPr>
          <w:rStyle w:val="FootnoteReference"/>
        </w:rPr>
        <w:footnoteReference w:id="27"/>
      </w:r>
      <w:r w:rsidR="005961A8">
        <w:t xml:space="preserve"> </w:t>
      </w:r>
    </w:p>
    <w:p w14:paraId="192D6782" w14:textId="6B075B93" w:rsidR="00F25F00" w:rsidRDefault="00F25F00" w:rsidP="00180CBE">
      <w:pPr>
        <w:pStyle w:val="Heading4"/>
      </w:pPr>
      <w:r>
        <w:t>Latest developments</w:t>
      </w:r>
    </w:p>
    <w:p w14:paraId="52F65B4A" w14:textId="60C5ED4F" w:rsidR="000077DC" w:rsidRDefault="00F25F00" w:rsidP="00030A4F">
      <w:r>
        <w:t xml:space="preserve">In 2024 </w:t>
      </w:r>
      <w:r w:rsidR="00E17E20" w:rsidRPr="00ED1E77">
        <w:t>Independent Competition and Regulatory Commission</w:t>
      </w:r>
      <w:r w:rsidR="00E17E20">
        <w:t xml:space="preserve"> (</w:t>
      </w:r>
      <w:r>
        <w:t>ICRC</w:t>
      </w:r>
      <w:r w:rsidR="00E17E20">
        <w:t>)</w:t>
      </w:r>
      <w:r w:rsidR="00EE600A" w:rsidRPr="00EE600A">
        <w:t xml:space="preserve"> </w:t>
      </w:r>
      <w:r w:rsidR="00EE600A">
        <w:t>used an expected returns and regulatory benchmark</w:t>
      </w:r>
      <w:r>
        <w:t xml:space="preserve"> </w:t>
      </w:r>
      <w:r w:rsidR="00EE600A">
        <w:t xml:space="preserve">to </w:t>
      </w:r>
      <w:r w:rsidR="000077DC">
        <w:t>set a retail margin</w:t>
      </w:r>
      <w:r w:rsidR="00EE600A">
        <w:t xml:space="preserve"> for 2024-27</w:t>
      </w:r>
      <w:r w:rsidR="000077DC">
        <w:t xml:space="preserve"> at </w:t>
      </w:r>
      <w:r w:rsidR="00EE600A">
        <w:t>5.2 per cent (a midpoint of 4.5 per cent and 5.9 per cent of the cost stack)</w:t>
      </w:r>
      <w:r w:rsidR="006D6AFE">
        <w:t>.</w:t>
      </w:r>
      <w:r w:rsidR="00EE600A">
        <w:rPr>
          <w:rStyle w:val="FootnoteReference"/>
        </w:rPr>
        <w:footnoteReference w:id="28"/>
      </w:r>
    </w:p>
    <w:p w14:paraId="01DE716B" w14:textId="5C9CA8CC" w:rsidR="00A74EFD" w:rsidRDefault="005258EA" w:rsidP="00030A4F">
      <w:r>
        <w:t>The range of the ICRC’s 2024 final report closely aligns with the expected returns approach from 2019</w:t>
      </w:r>
      <w:r w:rsidR="00A74EFD">
        <w:t xml:space="preserve">. </w:t>
      </w:r>
      <w:r w:rsidR="00AA24F6" w:rsidRPr="00AA24F6" w:rsidDel="006D12D9">
        <w:t>In our 2023-24 Victorian Default Offer final decision we observed retailers average retail operating margins have been decreasing since we recommended prices in 2019</w:t>
      </w:r>
      <w:r w:rsidR="00AA24F6" w:rsidRPr="00AA24F6">
        <w:t>. This</w:t>
      </w:r>
      <w:r w:rsidR="00AA24F6" w:rsidRPr="00AA24F6" w:rsidDel="006D12D9">
        <w:t xml:space="preserve"> supported our approach to lower the margin to 5.3 per cent.</w:t>
      </w:r>
      <w:r w:rsidR="00AA24F6">
        <w:t xml:space="preserve"> </w:t>
      </w:r>
      <w:r w:rsidR="00A74EFD">
        <w:t xml:space="preserve">We are seeking views on the </w:t>
      </w:r>
      <w:r w:rsidR="006C244A">
        <w:t>where</w:t>
      </w:r>
      <w:r w:rsidR="00A74EFD">
        <w:t xml:space="preserve"> our margin</w:t>
      </w:r>
      <w:r w:rsidR="006C244A">
        <w:t xml:space="preserve"> should sit within this range, noting </w:t>
      </w:r>
      <w:r w:rsidR="00343BBC">
        <w:t xml:space="preserve">our current retail operating margin </w:t>
      </w:r>
      <w:r w:rsidR="008E6F6D">
        <w:t>is an approximate midpoint</w:t>
      </w:r>
      <w:r w:rsidR="00A74EFD">
        <w:t>.</w:t>
      </w:r>
    </w:p>
    <w:p w14:paraId="08387402" w14:textId="2E54B778" w:rsidR="00A6520E" w:rsidRPr="00FA5F65" w:rsidRDefault="0038707F" w:rsidP="00F76950">
      <w:pPr>
        <w:pStyle w:val="Pull-outListNumber1"/>
      </w:pPr>
      <w:bookmarkStart w:id="7" w:name="_Ref181005613"/>
      <w:r w:rsidRPr="00FA5F65">
        <w:t>What are your views on the appropriateness of the</w:t>
      </w:r>
      <w:r w:rsidR="006F4C9E">
        <w:t xml:space="preserve"> </w:t>
      </w:r>
      <w:r w:rsidR="009B03D4" w:rsidRPr="00FA5F65">
        <w:t>current retail operating margin</w:t>
      </w:r>
      <w:r w:rsidR="000D1B02">
        <w:t xml:space="preserve"> and </w:t>
      </w:r>
      <w:bookmarkEnd w:id="7"/>
      <w:r w:rsidR="00670CD3">
        <w:t xml:space="preserve">where should it </w:t>
      </w:r>
      <w:r w:rsidR="00207E92">
        <w:t xml:space="preserve">sit </w:t>
      </w:r>
      <w:r w:rsidR="00670CD3">
        <w:t>within a feasible range</w:t>
      </w:r>
      <w:r w:rsidR="003E605B" w:rsidRPr="00FA5F65">
        <w:t>?</w:t>
      </w:r>
    </w:p>
    <w:p w14:paraId="43DEDFD6" w14:textId="1672FF54" w:rsidR="00AD3665" w:rsidRPr="00FA5F65" w:rsidRDefault="00B1790A" w:rsidP="00F76950">
      <w:pPr>
        <w:pStyle w:val="Pull-outListNumber1"/>
      </w:pPr>
      <w:bookmarkStart w:id="8" w:name="_Ref181191733"/>
      <w:r w:rsidRPr="00FA5F65">
        <w:t xml:space="preserve">Are there any other considerations we should have in determining </w:t>
      </w:r>
      <w:r w:rsidR="001B1A6A">
        <w:t xml:space="preserve">a </w:t>
      </w:r>
      <w:r w:rsidRPr="00FA5F65">
        <w:t>retail operating margin</w:t>
      </w:r>
      <w:r w:rsidR="00AA28BB">
        <w:t xml:space="preserve"> for an efficient electricity retailer</w:t>
      </w:r>
      <w:r w:rsidRPr="00FA5F65">
        <w:t>?</w:t>
      </w:r>
      <w:bookmarkEnd w:id="8"/>
    </w:p>
    <w:p w14:paraId="786A2E70" w14:textId="18B747E7" w:rsidR="5217E9C0" w:rsidRPr="001B23F7" w:rsidRDefault="5217E9C0" w:rsidP="002247F7">
      <w:pPr>
        <w:pStyle w:val="Heading3"/>
        <w:rPr>
          <w:lang w:val="en-US"/>
        </w:rPr>
      </w:pPr>
      <w:r w:rsidRPr="07F88043">
        <w:rPr>
          <w:lang w:val="en-US"/>
        </w:rPr>
        <w:t xml:space="preserve">Environmental </w:t>
      </w:r>
      <w:r w:rsidR="006B426E">
        <w:rPr>
          <w:lang w:val="en-US"/>
        </w:rPr>
        <w:t xml:space="preserve">costs </w:t>
      </w:r>
      <w:r w:rsidR="00371487" w:rsidRPr="07F88043">
        <w:rPr>
          <w:lang w:val="en-US"/>
        </w:rPr>
        <w:t>–</w:t>
      </w:r>
      <w:r w:rsidRPr="07F88043">
        <w:rPr>
          <w:lang w:val="en-US"/>
        </w:rPr>
        <w:t xml:space="preserve"> </w:t>
      </w:r>
      <w:r w:rsidR="005541C8" w:rsidRPr="07F88043">
        <w:rPr>
          <w:lang w:val="en-US"/>
        </w:rPr>
        <w:t xml:space="preserve">estimating </w:t>
      </w:r>
      <w:r w:rsidRPr="07F88043">
        <w:rPr>
          <w:lang w:val="en-US"/>
        </w:rPr>
        <w:t>V</w:t>
      </w:r>
      <w:r w:rsidR="001E7098" w:rsidRPr="07F88043">
        <w:rPr>
          <w:lang w:val="en-US"/>
        </w:rPr>
        <w:t xml:space="preserve">ictorian </w:t>
      </w:r>
      <w:r w:rsidRPr="07F88043">
        <w:rPr>
          <w:lang w:val="en-US"/>
        </w:rPr>
        <w:t>E</w:t>
      </w:r>
      <w:r w:rsidR="001828F0" w:rsidRPr="07F88043">
        <w:rPr>
          <w:lang w:val="en-US"/>
        </w:rPr>
        <w:t xml:space="preserve">nergy </w:t>
      </w:r>
      <w:r w:rsidR="001B1A6A" w:rsidRPr="07F88043">
        <w:rPr>
          <w:lang w:val="en-US"/>
        </w:rPr>
        <w:t>Efficiency</w:t>
      </w:r>
      <w:r w:rsidR="00EF4011" w:rsidRPr="07F88043">
        <w:rPr>
          <w:lang w:val="en-US"/>
        </w:rPr>
        <w:t xml:space="preserve"> </w:t>
      </w:r>
      <w:r w:rsidR="00371487" w:rsidRPr="07F88043">
        <w:rPr>
          <w:lang w:val="en-US"/>
        </w:rPr>
        <w:t>C</w:t>
      </w:r>
      <w:r w:rsidR="00EF4011" w:rsidRPr="07F88043">
        <w:rPr>
          <w:lang w:val="en-US"/>
        </w:rPr>
        <w:t xml:space="preserve">ertificate </w:t>
      </w:r>
      <w:r w:rsidR="00371487" w:rsidRPr="07F88043">
        <w:rPr>
          <w:lang w:val="en-US"/>
        </w:rPr>
        <w:t>prices</w:t>
      </w:r>
    </w:p>
    <w:p w14:paraId="398C98D8" w14:textId="21FCA93A" w:rsidR="008B20D2" w:rsidRDefault="000A03F3" w:rsidP="00FA5F65">
      <w:r w:rsidRPr="000A03F3">
        <w:t>Since 2019, our method for estimating costs for retailers to comply with the Victorian Energy Upgrades program has remained consistent. We base our estimates on the latest 12-month trade-weighted average spot price of Victorian Energy Efficiency Certificates (VEECs), multiplied by the electricity greenhouse gas reduction rate</w:t>
      </w:r>
      <w:r w:rsidR="00F80AF6">
        <w:t xml:space="preserve">. </w:t>
      </w:r>
    </w:p>
    <w:p w14:paraId="4017AB18" w14:textId="69E6242D" w:rsidR="00492827" w:rsidRDefault="00C96CC6" w:rsidP="00FA5F65">
      <w:r>
        <w:t>Using this</w:t>
      </w:r>
      <w:r w:rsidR="00AA7911">
        <w:t xml:space="preserve"> approach the</w:t>
      </w:r>
      <w:r w:rsidR="00492827">
        <w:t xml:space="preserve"> cost </w:t>
      </w:r>
      <w:r w:rsidR="00817660">
        <w:t>to comply with this program</w:t>
      </w:r>
      <w:r>
        <w:t xml:space="preserve"> was $53.04 a year</w:t>
      </w:r>
      <w:r w:rsidR="00817660">
        <w:t>, as</w:t>
      </w:r>
      <w:r w:rsidR="00492827">
        <w:t xml:space="preserve"> estimated in the 2024-25 Victorian Default Offer </w:t>
      </w:r>
      <w:r w:rsidR="006B2527">
        <w:t xml:space="preserve">for a </w:t>
      </w:r>
      <w:r w:rsidR="00785C51">
        <w:t xml:space="preserve">typical </w:t>
      </w:r>
      <w:r w:rsidR="002175D4">
        <w:t xml:space="preserve">domestic </w:t>
      </w:r>
      <w:r w:rsidR="00785C51">
        <w:t>Victorian Default Offer customer</w:t>
      </w:r>
      <w:r w:rsidR="001247CB">
        <w:t xml:space="preserve">. </w:t>
      </w:r>
      <w:r>
        <w:t>T</w:t>
      </w:r>
      <w:r w:rsidR="00821D22">
        <w:t>his</w:t>
      </w:r>
      <w:r w:rsidR="001314C0">
        <w:t xml:space="preserve"> environmental cost</w:t>
      </w:r>
      <w:r w:rsidR="008621C2">
        <w:t xml:space="preserve"> component </w:t>
      </w:r>
      <w:r w:rsidR="001314C0">
        <w:t>represents 3 per cent of</w:t>
      </w:r>
      <w:r w:rsidR="008621C2">
        <w:t xml:space="preserve"> the </w:t>
      </w:r>
      <w:r w:rsidR="0078648B">
        <w:t xml:space="preserve">average domestic </w:t>
      </w:r>
      <w:r w:rsidR="008621C2">
        <w:t>Victorian Default Offer</w:t>
      </w:r>
      <w:r w:rsidR="00492827">
        <w:t xml:space="preserve"> </w:t>
      </w:r>
      <w:r w:rsidR="0078648B">
        <w:t xml:space="preserve">bill. </w:t>
      </w:r>
    </w:p>
    <w:p w14:paraId="03EA135C" w14:textId="3CDACB1A" w:rsidR="008B20D2" w:rsidRPr="001B23F7" w:rsidRDefault="008B20D2" w:rsidP="00180CBE">
      <w:pPr>
        <w:pStyle w:val="Heading4"/>
      </w:pPr>
      <w:r>
        <w:t>Feedback on the 2024-25 decision</w:t>
      </w:r>
    </w:p>
    <w:p w14:paraId="2DFC7838" w14:textId="5393FE47" w:rsidR="00003993" w:rsidRPr="001B23F7" w:rsidRDefault="00505262" w:rsidP="00FA5F65">
      <w:r w:rsidRPr="001B23F7">
        <w:t>In response to the 2024-25 Victorian Default Offer</w:t>
      </w:r>
      <w:r w:rsidR="000623D9" w:rsidRPr="001B23F7">
        <w:t xml:space="preserve"> draft decision</w:t>
      </w:r>
      <w:r w:rsidR="00F8789D">
        <w:t>,</w:t>
      </w:r>
      <w:r w:rsidRPr="001B23F7">
        <w:t xml:space="preserve"> retailers and retailer groups expressed concern </w:t>
      </w:r>
      <w:r w:rsidR="00877F3D">
        <w:t>that</w:t>
      </w:r>
      <w:r w:rsidRPr="001B23F7">
        <w:t xml:space="preserve"> our approach </w:t>
      </w:r>
      <w:r w:rsidR="007403CB">
        <w:t xml:space="preserve">did </w:t>
      </w:r>
      <w:r w:rsidRPr="001B23F7">
        <w:t xml:space="preserve">not reflect </w:t>
      </w:r>
      <w:r w:rsidR="006A1F26">
        <w:t xml:space="preserve">their </w:t>
      </w:r>
      <w:r w:rsidR="005258C6">
        <w:t xml:space="preserve">actual costs. </w:t>
      </w:r>
      <w:r w:rsidR="000F216D" w:rsidRPr="000F216D">
        <w:t xml:space="preserve">They noted that a lag in spot prices might not capture recent increases in VEEC prices and </w:t>
      </w:r>
      <w:r w:rsidR="000F216D">
        <w:t>some ret</w:t>
      </w:r>
      <w:r w:rsidR="00E00E66">
        <w:t xml:space="preserve">ailers </w:t>
      </w:r>
      <w:r w:rsidR="000F216D" w:rsidRPr="000F216D">
        <w:t xml:space="preserve">suggested shortening </w:t>
      </w:r>
      <w:r w:rsidR="000F216D" w:rsidRPr="000F216D">
        <w:lastRenderedPageBreak/>
        <w:t>the averaging period</w:t>
      </w:r>
      <w:r w:rsidR="00E00E66">
        <w:t>.</w:t>
      </w:r>
      <w:r w:rsidR="00BF42E8">
        <w:t xml:space="preserve"> </w:t>
      </w:r>
      <w:r w:rsidR="007366C6">
        <w:t xml:space="preserve">On the other hand, some stakeholders raised </w:t>
      </w:r>
      <w:r w:rsidR="006778BD">
        <w:t xml:space="preserve">that </w:t>
      </w:r>
      <w:r w:rsidR="00BF42E8">
        <w:t xml:space="preserve">longer term contracts may be obtained at lower prices. </w:t>
      </w:r>
    </w:p>
    <w:p w14:paraId="4C3F23FE" w14:textId="19449304" w:rsidR="00A80820" w:rsidRPr="001B23F7" w:rsidRDefault="006B2B44" w:rsidP="00FA5F65">
      <w:r>
        <w:t xml:space="preserve">We considered our approach in sourcing VEEC prices from an open certificate market was transparent, </w:t>
      </w:r>
      <w:r w:rsidR="00A45E69">
        <w:t xml:space="preserve">consistent and </w:t>
      </w:r>
      <w:r w:rsidR="00A80820">
        <w:t xml:space="preserve">replicable. </w:t>
      </w:r>
      <w:r w:rsidR="00A80820" w:rsidRPr="001B23F7">
        <w:t>We d</w:t>
      </w:r>
      <w:r w:rsidR="00A80820">
        <w:t>o</w:t>
      </w:r>
      <w:r w:rsidR="00A80820" w:rsidRPr="001B23F7">
        <w:t xml:space="preserve"> not consider a shorter average period would reflect efficient costs, and </w:t>
      </w:r>
      <w:r w:rsidR="00A80820">
        <w:t>that</w:t>
      </w:r>
      <w:r w:rsidR="00A80820" w:rsidRPr="001B23F7">
        <w:t xml:space="preserve"> current high VEEC prices would be reflect</w:t>
      </w:r>
      <w:r w:rsidR="00A80820">
        <w:t>ed</w:t>
      </w:r>
      <w:r w:rsidR="00A80820" w:rsidRPr="001B23F7">
        <w:t xml:space="preserve"> in the upcoming 2025-26 Victorian Default Offer review. </w:t>
      </w:r>
    </w:p>
    <w:p w14:paraId="2D54A157" w14:textId="59E5E70F" w:rsidR="00A80820" w:rsidRDefault="00A80820" w:rsidP="00180CBE">
      <w:pPr>
        <w:pStyle w:val="Heading4"/>
      </w:pPr>
      <w:r>
        <w:t xml:space="preserve">Data collection and </w:t>
      </w:r>
      <w:r w:rsidR="00A57835">
        <w:t>approach</w:t>
      </w:r>
    </w:p>
    <w:p w14:paraId="3695B439" w14:textId="2D2CBAE7" w:rsidR="005B7FC8" w:rsidRDefault="005B7FC8" w:rsidP="005B7FC8">
      <w:r w:rsidRPr="001B23F7">
        <w:t xml:space="preserve">In our 2024-25 Victorian Default Offer final decision we acknowledged electricity retailers may </w:t>
      </w:r>
      <w:r w:rsidR="00712FC8">
        <w:t>be meeting</w:t>
      </w:r>
      <w:r w:rsidRPr="001B23F7">
        <w:t xml:space="preserve"> their obligations under the Victorian Energy Upgrades program by purchasing a mix of VEECs from the market or via contracts.</w:t>
      </w:r>
      <w:r w:rsidR="00982C31">
        <w:t xml:space="preserve"> A mixture of spot market and future contract certificates could result in </w:t>
      </w:r>
      <w:r w:rsidR="002918B4">
        <w:t xml:space="preserve">a lower </w:t>
      </w:r>
      <w:r w:rsidR="00C9780D">
        <w:t xml:space="preserve">environmental </w:t>
      </w:r>
      <w:r w:rsidR="002918B4">
        <w:t xml:space="preserve">cost to the retailer and therefore a potential saving for their customers. </w:t>
      </w:r>
    </w:p>
    <w:p w14:paraId="22BE46D2" w14:textId="17321634" w:rsidR="00A80820" w:rsidRPr="001B23F7" w:rsidRDefault="00A80820" w:rsidP="00FA5F65">
      <w:r w:rsidRPr="009047D7">
        <w:t>To better understand retailer costs in meeting these program obligations, we are collecting additional data</w:t>
      </w:r>
      <w:r w:rsidR="009C64B2">
        <w:t xml:space="preserve"> for a cross check with our estimate</w:t>
      </w:r>
      <w:r w:rsidRPr="009047D7">
        <w:t>.</w:t>
      </w:r>
      <w:r>
        <w:t xml:space="preserve"> </w:t>
      </w:r>
      <w:r w:rsidR="00C9780D">
        <w:t xml:space="preserve">This will enable us to benchmark our estimate with the actual cost retailers are facing. </w:t>
      </w:r>
      <w:r w:rsidRPr="001B23F7">
        <w:t xml:space="preserve">We are </w:t>
      </w:r>
      <w:r>
        <w:t xml:space="preserve">also </w:t>
      </w:r>
      <w:r w:rsidRPr="001B23F7">
        <w:t xml:space="preserve">seeking views on approaches </w:t>
      </w:r>
      <w:r>
        <w:t>to</w:t>
      </w:r>
      <w:r w:rsidRPr="001B23F7">
        <w:t xml:space="preserve"> estimating VEEC prices that better meets our objectives</w:t>
      </w:r>
      <w:r w:rsidR="00BB5B70">
        <w:t xml:space="preserve"> for determining Victorian Default Offer prices</w:t>
      </w:r>
      <w:r w:rsidRPr="001B23F7">
        <w:t xml:space="preserve"> and remains transparent and replicable. </w:t>
      </w:r>
    </w:p>
    <w:p w14:paraId="47D03AB8" w14:textId="37253AA7" w:rsidR="00EF7C04" w:rsidRDefault="00C90AF5" w:rsidP="00F76950">
      <w:pPr>
        <w:pStyle w:val="Pull-outListNumber1"/>
      </w:pPr>
      <w:bookmarkStart w:id="9" w:name="_Ref181005617"/>
      <w:r w:rsidRPr="00332504">
        <w:t>Is there a</w:t>
      </w:r>
      <w:r w:rsidR="00502800">
        <w:t xml:space="preserve"> better </w:t>
      </w:r>
      <w:r w:rsidRPr="00332504">
        <w:t xml:space="preserve">approach to estimating </w:t>
      </w:r>
      <w:r w:rsidR="008E5BB8" w:rsidRPr="00332504">
        <w:t>V</w:t>
      </w:r>
      <w:r w:rsidR="00D72D10">
        <w:t xml:space="preserve">ictorian </w:t>
      </w:r>
      <w:r w:rsidR="008E5BB8" w:rsidRPr="00332504">
        <w:t>E</w:t>
      </w:r>
      <w:r w:rsidR="00D72D10">
        <w:t xml:space="preserve">nergy </w:t>
      </w:r>
      <w:r w:rsidR="008E5BB8" w:rsidRPr="00332504">
        <w:t>E</w:t>
      </w:r>
      <w:r w:rsidR="00D72D10">
        <w:t>fficien</w:t>
      </w:r>
      <w:r w:rsidR="00EF42E6">
        <w:t>cy</w:t>
      </w:r>
      <w:r w:rsidR="00D72D10">
        <w:t xml:space="preserve"> </w:t>
      </w:r>
      <w:r w:rsidR="008E5BB8" w:rsidRPr="00332504">
        <w:t>C</w:t>
      </w:r>
      <w:r w:rsidR="00D72D10">
        <w:t>ertificate</w:t>
      </w:r>
      <w:r w:rsidR="008E5BB8" w:rsidRPr="00332504">
        <w:t xml:space="preserve"> prices?</w:t>
      </w:r>
      <w:bookmarkEnd w:id="9"/>
    </w:p>
    <w:p w14:paraId="5B209955" w14:textId="77777777" w:rsidR="000D56E0" w:rsidRDefault="000D56E0" w:rsidP="000D56E0">
      <w:pPr>
        <w:pStyle w:val="Heading3"/>
      </w:pPr>
      <w:r w:rsidRPr="00B50EA5">
        <w:t xml:space="preserve">Wholesale </w:t>
      </w:r>
      <w:r>
        <w:t xml:space="preserve">electricity </w:t>
      </w:r>
      <w:r w:rsidRPr="00B50EA5">
        <w:t>cost</w:t>
      </w:r>
      <w:r>
        <w:t>s</w:t>
      </w:r>
      <w:r w:rsidRPr="00B50EA5">
        <w:t xml:space="preserve"> – treatment of solar exports in load profile</w:t>
      </w:r>
    </w:p>
    <w:p w14:paraId="0CA73D08" w14:textId="77777777" w:rsidR="000D56E0" w:rsidRDefault="000D56E0" w:rsidP="000D56E0">
      <w:r>
        <w:t xml:space="preserve">To forecast wholesale electricity costs, we estimate customer load profiles by using the most recent three years of customer metered usage data provided by the Australian Energy Market Operator. Our approach has always been to uses interval meter data at a net position (the balance of customers consumption and exports). We receive this usage data as recorded at the end of each thirty-minute interval. </w:t>
      </w:r>
    </w:p>
    <w:p w14:paraId="06DD05A5" w14:textId="77777777" w:rsidR="000D56E0" w:rsidRDefault="000D56E0" w:rsidP="000D56E0">
      <w:r>
        <w:t xml:space="preserve">Following our final decision on the 2024-25 Victorian Default Offer, we have obtained customers usage split by consumption (customer demand for electricity) and exports (from sources like rooftop solar). This data will enable better visibility of the impact of excluding exports on our wholesale electricity cost forecasts. We will analyse the appropriateness and robustness of this new data set. We are considering whether to continue with our current approach (basing our estimate on a net position) or to exclude solar exports when estimating a customer’s future load profile. </w:t>
      </w:r>
    </w:p>
    <w:p w14:paraId="682E4515" w14:textId="4AE6075D" w:rsidR="000D56E0" w:rsidRDefault="000D56E0" w:rsidP="000D56E0">
      <w:bookmarkStart w:id="10" w:name="_Ref181005602"/>
      <w:r>
        <w:t xml:space="preserve">We note the Australian Energy Regulator (AER), in setting the Default Market Offer for 2024-25 (DMO6), has excluded customers exports from their load profile. The AER applied a blended </w:t>
      </w:r>
      <w:r>
        <w:lastRenderedPageBreak/>
        <w:t>profile that included net system load profile and for the first time, interval meter data.</w:t>
      </w:r>
      <w:r>
        <w:rPr>
          <w:rStyle w:val="FootnoteReference"/>
        </w:rPr>
        <w:footnoteReference w:id="29"/>
      </w:r>
      <w:r>
        <w:t xml:space="preserve"> Within the interval meter data, the AER excluded all exports and only uses recorded consumption to estimate future customers usage patterns. The AER’s DMO7 issues paper </w:t>
      </w:r>
      <w:r w:rsidR="006036F4">
        <w:t xml:space="preserve">indicated </w:t>
      </w:r>
      <w:r>
        <w:t>its plans to continue excluding solar exports from their load profile assumptions.</w:t>
      </w:r>
    </w:p>
    <w:p w14:paraId="521D3508" w14:textId="77777777" w:rsidR="000D56E0" w:rsidRPr="00B12D18" w:rsidRDefault="000D56E0" w:rsidP="000D56E0">
      <w:pPr>
        <w:pStyle w:val="Pull-outListNumber1"/>
      </w:pPr>
      <w:r w:rsidRPr="00B12D18">
        <w:t>Does the removal of solar exports from</w:t>
      </w:r>
      <w:r>
        <w:t xml:space="preserve"> the</w:t>
      </w:r>
      <w:r w:rsidRPr="00B12D18">
        <w:t xml:space="preserve"> load profile better reflect an efficient retailer’s load profile assumptions?</w:t>
      </w:r>
      <w:bookmarkEnd w:id="10"/>
    </w:p>
    <w:p w14:paraId="45885E28" w14:textId="77777777" w:rsidR="000D56E0" w:rsidRPr="00B12D18" w:rsidRDefault="000D56E0" w:rsidP="000D56E0">
      <w:pPr>
        <w:pStyle w:val="Pull-outListNumber1"/>
      </w:pPr>
      <w:bookmarkStart w:id="11" w:name="_Ref181005606"/>
      <w:r w:rsidRPr="00B12D18">
        <w:t>Do electricity retailers exclude solar exports from their load profile when buying future wholesale electricity contracts?</w:t>
      </w:r>
      <w:bookmarkEnd w:id="11"/>
    </w:p>
    <w:p w14:paraId="2EA67CFF" w14:textId="77777777" w:rsidR="000D56E0" w:rsidRDefault="000D56E0">
      <w:pPr>
        <w:spacing w:before="0" w:line="259" w:lineRule="auto"/>
        <w:rPr>
          <w:lang w:val="en-US"/>
        </w:rPr>
      </w:pPr>
    </w:p>
    <w:sectPr w:rsidR="000D56E0" w:rsidSect="000E4F95">
      <w:headerReference w:type="even" r:id="rId16"/>
      <w:headerReference w:type="default" r:id="rId17"/>
      <w:footerReference w:type="default" r:id="rId18"/>
      <w:headerReference w:type="first" r:id="rId19"/>
      <w:foot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21C2" w14:textId="77777777" w:rsidR="005A269D" w:rsidRDefault="005A269D" w:rsidP="00AE03FA">
      <w:pPr>
        <w:spacing w:after="0"/>
      </w:pPr>
      <w:r>
        <w:separator/>
      </w:r>
    </w:p>
    <w:p w14:paraId="463BD533" w14:textId="77777777" w:rsidR="005A269D" w:rsidRDefault="005A269D"/>
  </w:endnote>
  <w:endnote w:type="continuationSeparator" w:id="0">
    <w:p w14:paraId="35B47ACB" w14:textId="77777777" w:rsidR="005A269D" w:rsidRDefault="005A269D" w:rsidP="00AE03FA">
      <w:pPr>
        <w:spacing w:after="0"/>
      </w:pPr>
      <w:r>
        <w:continuationSeparator/>
      </w:r>
    </w:p>
    <w:p w14:paraId="67D783CE" w14:textId="77777777" w:rsidR="005A269D" w:rsidRDefault="005A269D"/>
  </w:endnote>
  <w:endnote w:type="continuationNotice" w:id="1">
    <w:p w14:paraId="5908E8B9" w14:textId="77777777" w:rsidR="005A269D" w:rsidRDefault="005A26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E129D" w14:paraId="55788325"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E672161" w14:textId="77777777" w:rsidR="00DE129D" w:rsidRPr="009E15D6" w:rsidRDefault="00DE129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2</w:t>
          </w:r>
          <w:r w:rsidRPr="009E15D6">
            <w:rPr>
              <w:rStyle w:val="PageNumber"/>
            </w:rPr>
            <w:fldChar w:fldCharType="end"/>
          </w:r>
        </w:p>
      </w:tc>
    </w:tr>
  </w:tbl>
  <w:p w14:paraId="0B4BF47E" w14:textId="064B65EC" w:rsidR="00F06B55" w:rsidRPr="00DE129D" w:rsidRDefault="00DE129D" w:rsidP="008E5CAD">
    <w:pPr>
      <w:pStyle w:val="Footer"/>
      <w:ind w:right="707"/>
      <w:rPr>
        <w:b/>
      </w:rPr>
    </w:pPr>
    <w:r>
      <w:t xml:space="preserve">Essential Services Commission </w:t>
    </w:r>
    <w:r w:rsidR="00A6459D">
      <w:rPr>
        <w:b/>
      </w:rPr>
      <w:t>202</w:t>
    </w:r>
    <w:r w:rsidR="003C3B17">
      <w:rPr>
        <w:b/>
      </w:rPr>
      <w:t>5</w:t>
    </w:r>
    <w:r w:rsidR="00A6459D">
      <w:rPr>
        <w:b/>
      </w:rPr>
      <w:t>–2</w:t>
    </w:r>
    <w:r w:rsidR="003C3B17">
      <w:rPr>
        <w:b/>
      </w:rPr>
      <w:t>6</w:t>
    </w:r>
    <w:r w:rsidR="00A6459D">
      <w:rPr>
        <w:b/>
      </w:rPr>
      <w:t xml:space="preserve"> </w:t>
    </w:r>
    <w:r w:rsidR="003A46E4">
      <w:rPr>
        <w:b/>
      </w:rPr>
      <w:t>Victorian Default Offer</w:t>
    </w:r>
    <w:r w:rsidR="000C6B67">
      <w:rPr>
        <w:b/>
      </w:rPr>
      <w:t xml:space="preserve">: </w:t>
    </w:r>
    <w:r w:rsidR="003A46E4">
      <w:rPr>
        <w:b/>
      </w:rPr>
      <w:t xml:space="preserve">Request for </w:t>
    </w:r>
    <w:r w:rsidR="000C6B67">
      <w:rPr>
        <w:b/>
      </w:rPr>
      <w:t>C</w:t>
    </w:r>
    <w:r w:rsidR="003A46E4">
      <w:rPr>
        <w:b/>
      </w:rPr>
      <w:t>omment</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B7573" w14:paraId="65A49F48"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99EFA" w14:textId="77777777" w:rsidR="006B7573" w:rsidRPr="009E15D6" w:rsidRDefault="006B757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1</w:t>
          </w:r>
          <w:r w:rsidRPr="009E15D6">
            <w:rPr>
              <w:rStyle w:val="PageNumber"/>
            </w:rPr>
            <w:fldChar w:fldCharType="end"/>
          </w:r>
        </w:p>
      </w:tc>
    </w:tr>
  </w:tbl>
  <w:p w14:paraId="777F6B6A" w14:textId="36B3577B" w:rsidR="000E4F95" w:rsidRPr="006B7573" w:rsidRDefault="006B7573" w:rsidP="008E5CAD">
    <w:pPr>
      <w:pStyle w:val="Footer"/>
      <w:ind w:right="707"/>
      <w:rPr>
        <w:b/>
      </w:rPr>
    </w:pPr>
    <w:r>
      <w:t xml:space="preserve">Essential Services Commission </w:t>
    </w:r>
    <w:r w:rsidR="00A6459D">
      <w:rPr>
        <w:b/>
      </w:rPr>
      <w:t>202</w:t>
    </w:r>
    <w:r w:rsidR="003C3B17">
      <w:rPr>
        <w:b/>
      </w:rPr>
      <w:t>5</w:t>
    </w:r>
    <w:r w:rsidR="00A6459D">
      <w:rPr>
        <w:b/>
      </w:rPr>
      <w:t>–2</w:t>
    </w:r>
    <w:r w:rsidR="003C3B17">
      <w:rPr>
        <w:b/>
      </w:rPr>
      <w:t>6</w:t>
    </w:r>
    <w:r w:rsidR="00A6459D">
      <w:rPr>
        <w:b/>
      </w:rPr>
      <w:t xml:space="preserve"> Victorian Default Offer: Request for Comment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7CE0" w14:textId="77777777" w:rsidR="005A269D" w:rsidRPr="00CF33F6" w:rsidRDefault="005A269D" w:rsidP="00AE03FA">
      <w:pPr>
        <w:spacing w:after="0"/>
        <w:rPr>
          <w:color w:val="75787B" w:themeColor="background2"/>
        </w:rPr>
      </w:pPr>
      <w:bookmarkStart w:id="0" w:name="_Hlk480978878"/>
      <w:bookmarkEnd w:id="0"/>
      <w:r w:rsidRPr="00CF33F6">
        <w:rPr>
          <w:color w:val="75787B" w:themeColor="background2"/>
        </w:rPr>
        <w:separator/>
      </w:r>
    </w:p>
    <w:p w14:paraId="7702891E" w14:textId="77777777" w:rsidR="005A269D" w:rsidRDefault="005A269D" w:rsidP="00CF33F6">
      <w:pPr>
        <w:pStyle w:val="NoSpacing"/>
      </w:pPr>
    </w:p>
  </w:footnote>
  <w:footnote w:type="continuationSeparator" w:id="0">
    <w:p w14:paraId="11935DBF" w14:textId="77777777" w:rsidR="005A269D" w:rsidRDefault="005A269D" w:rsidP="00AE03FA">
      <w:pPr>
        <w:spacing w:after="0"/>
      </w:pPr>
      <w:r>
        <w:continuationSeparator/>
      </w:r>
    </w:p>
    <w:p w14:paraId="5D801BC9" w14:textId="77777777" w:rsidR="005A269D" w:rsidRDefault="005A269D"/>
  </w:footnote>
  <w:footnote w:type="continuationNotice" w:id="1">
    <w:p w14:paraId="00992C82" w14:textId="77777777" w:rsidR="005A269D" w:rsidRDefault="005A269D">
      <w:pPr>
        <w:spacing w:before="0" w:after="0" w:line="240" w:lineRule="auto"/>
      </w:pPr>
    </w:p>
  </w:footnote>
  <w:footnote w:id="2">
    <w:p w14:paraId="4CE3320D" w14:textId="714BE9C1" w:rsidR="00F05381" w:rsidRPr="00540A08" w:rsidRDefault="00F05381" w:rsidP="00F05381">
      <w:pPr>
        <w:pStyle w:val="FootnoteText"/>
        <w:rPr>
          <w:lang w:val="en-US"/>
        </w:rPr>
      </w:pPr>
      <w:r>
        <w:rPr>
          <w:rStyle w:val="FootnoteReference"/>
        </w:rPr>
        <w:footnoteRef/>
      </w:r>
      <w:r w:rsidRPr="009C7164">
        <w:rPr>
          <w:szCs w:val="18"/>
        </w:rPr>
        <w:t>.</w:t>
      </w:r>
      <w:r>
        <w:rPr>
          <w:szCs w:val="18"/>
        </w:rPr>
        <w:t xml:space="preserve"> </w:t>
      </w:r>
      <w:r w:rsidRPr="0076039E">
        <w:rPr>
          <w:szCs w:val="18"/>
        </w:rPr>
        <w:t>The Order in Council was published in the Victorian Government Gazette No. S 208 on Thursday 30 May 2019. Minor amendments to this Order have subsequently been made by Orders in Council made under section 13 of the Act and respectively published in the Victorian Government Gazette No. S208 Thursday 30 May 2019 and the Victorian Government Gazette No. G50 14 December 2023.</w:t>
      </w:r>
      <w:r>
        <w:rPr>
          <w:szCs w:val="18"/>
        </w:rPr>
        <w:t xml:space="preserve"> </w:t>
      </w:r>
      <w:r w:rsidRPr="00493DB7">
        <w:rPr>
          <w:szCs w:val="18"/>
        </w:rPr>
        <w:t>The original Order in Council as amended is referred to in this paper as the ‘pricing order’.</w:t>
      </w:r>
    </w:p>
  </w:footnote>
  <w:footnote w:id="3">
    <w:p w14:paraId="0C360B8C" w14:textId="28291FEF" w:rsidR="00F05381" w:rsidRDefault="00F05381" w:rsidP="00773521">
      <w:pPr>
        <w:spacing w:after="0" w:line="240" w:lineRule="auto"/>
      </w:pPr>
      <w:r w:rsidRPr="00AC4606">
        <w:rPr>
          <w:rStyle w:val="FootnoteReference"/>
          <w:sz w:val="18"/>
          <w:szCs w:val="18"/>
        </w:rPr>
        <w:footnoteRef/>
      </w:r>
      <w:r w:rsidRPr="00AC4606">
        <w:rPr>
          <w:sz w:val="18"/>
          <w:szCs w:val="18"/>
        </w:rPr>
        <w:t xml:space="preserve"> The first Victorian Default Offer was set by the Victorian Government in 2019 based on advice prepared by the Essential Services Commission. Our first determination of Victorian Default Offer prices came into effect 1 January 2020. We have been responsible for setting Victorian Default Offer prices since then.</w:t>
      </w:r>
      <w:r w:rsidR="00D1639D">
        <w:rPr>
          <w:sz w:val="18"/>
          <w:szCs w:val="18"/>
        </w:rPr>
        <w:t xml:space="preserve"> </w:t>
      </w:r>
      <w:r w:rsidR="00D1639D" w:rsidRPr="007535AF">
        <w:rPr>
          <w:sz w:val="18"/>
          <w:szCs w:val="18"/>
        </w:rPr>
        <w:t xml:space="preserve">Essential Services </w:t>
      </w:r>
      <w:r w:rsidR="00D1639D">
        <w:rPr>
          <w:sz w:val="18"/>
          <w:szCs w:val="18"/>
        </w:rPr>
        <w:t>C</w:t>
      </w:r>
      <w:r w:rsidR="00D1639D" w:rsidRPr="007535AF">
        <w:rPr>
          <w:sz w:val="18"/>
          <w:szCs w:val="18"/>
        </w:rPr>
        <w:t>ommission</w:t>
      </w:r>
      <w:r w:rsidR="00666BA5">
        <w:rPr>
          <w:sz w:val="18"/>
          <w:szCs w:val="18"/>
        </w:rPr>
        <w:t xml:space="preserve"> 2019</w:t>
      </w:r>
      <w:r w:rsidR="00D1639D" w:rsidRPr="007535AF">
        <w:rPr>
          <w:sz w:val="18"/>
          <w:szCs w:val="18"/>
        </w:rPr>
        <w:t>, Victorian Default Offer to apply from 1 January 2020: final decision</w:t>
      </w:r>
      <w:r w:rsidR="00D1639D">
        <w:t xml:space="preserve">   </w:t>
      </w:r>
    </w:p>
  </w:footnote>
  <w:footnote w:id="4">
    <w:p w14:paraId="1065A146" w14:textId="77777777" w:rsidR="00F05381" w:rsidRDefault="00F05381" w:rsidP="00FB2E32">
      <w:pPr>
        <w:pStyle w:val="FootnoteText"/>
        <w:spacing w:before="120"/>
      </w:pPr>
      <w:r>
        <w:rPr>
          <w:rStyle w:val="FootnoteReference"/>
        </w:rPr>
        <w:footnoteRef/>
      </w:r>
      <w:r>
        <w:t xml:space="preserve"> Essential Services commission, Victorian Default Offer to apply from 1 January 2020: final decision   </w:t>
      </w:r>
    </w:p>
  </w:footnote>
  <w:footnote w:id="5">
    <w:p w14:paraId="6BA43656" w14:textId="55724DA5" w:rsidR="005A004F" w:rsidRDefault="005A004F">
      <w:pPr>
        <w:pStyle w:val="FootnoteText"/>
      </w:pPr>
      <w:r>
        <w:rPr>
          <w:rStyle w:val="FootnoteReference"/>
        </w:rPr>
        <w:footnoteRef/>
      </w:r>
      <w:r>
        <w:t xml:space="preserve"> Clause 10(1) of the pricing order. </w:t>
      </w:r>
    </w:p>
  </w:footnote>
  <w:footnote w:id="6">
    <w:p w14:paraId="6A6B2605" w14:textId="77777777" w:rsidR="00DE5622" w:rsidRDefault="00DE5622">
      <w:pPr>
        <w:pStyle w:val="FootnoteText"/>
      </w:pPr>
      <w:r>
        <w:rPr>
          <w:rStyle w:val="FootnoteReference"/>
        </w:rPr>
        <w:footnoteRef/>
      </w:r>
      <w:r>
        <w:t xml:space="preserve"> </w:t>
      </w:r>
      <w:r w:rsidRPr="002C5670">
        <w:t>To promote the long-term interests of Victorian consumers having regard to the price, quality and reliability of retail electricity services. See the Essential Services Commission Act 2001, s8.</w:t>
      </w:r>
    </w:p>
  </w:footnote>
  <w:footnote w:id="7">
    <w:p w14:paraId="2B9E7C0A" w14:textId="77777777" w:rsidR="00DE5622" w:rsidRDefault="00DE5622">
      <w:pPr>
        <w:pStyle w:val="FootnoteText"/>
      </w:pPr>
      <w:r>
        <w:rPr>
          <w:rStyle w:val="FootnoteReference"/>
        </w:rPr>
        <w:footnoteRef/>
      </w:r>
      <w:r>
        <w:t xml:space="preserve"> T</w:t>
      </w:r>
      <w:r w:rsidRPr="001E469E">
        <w:t xml:space="preserve">o facilitate the development of full retail competition, and to promote protections for customers including in relation to assisting customers who face payment difficulties. See the Electricity Industry Act 2000, s10.  </w:t>
      </w:r>
    </w:p>
  </w:footnote>
  <w:footnote w:id="8">
    <w:p w14:paraId="7A094686" w14:textId="77777777" w:rsidR="00DE5622" w:rsidRDefault="00DE5622">
      <w:pPr>
        <w:pStyle w:val="FootnoteText"/>
      </w:pPr>
      <w:r>
        <w:rPr>
          <w:rStyle w:val="FootnoteReference"/>
        </w:rPr>
        <w:footnoteRef/>
      </w:r>
      <w:r>
        <w:t xml:space="preserve"> Essential Services Commission Act 2001, s 33(2).</w:t>
      </w:r>
    </w:p>
  </w:footnote>
  <w:footnote w:id="9">
    <w:p w14:paraId="0C433B18" w14:textId="77777777" w:rsidR="00DE5622" w:rsidRDefault="00DE5622" w:rsidP="00C34F0A">
      <w:pPr>
        <w:pStyle w:val="FootnoteText"/>
      </w:pPr>
      <w:r>
        <w:rPr>
          <w:rStyle w:val="FootnoteReference"/>
        </w:rPr>
        <w:footnoteRef/>
      </w:r>
      <w:r>
        <w:t xml:space="preserve"> To provide a simple trusted and reasonably priced electricity option that safeguards consumers unable or unwilling to engage in the electricity retail market. See clause 12.2 and clause 3 of the pricing order.</w:t>
      </w:r>
    </w:p>
  </w:footnote>
  <w:footnote w:id="10">
    <w:p w14:paraId="0A3ECBFB" w14:textId="77777777" w:rsidR="00DE5622" w:rsidRDefault="00DE5622">
      <w:pPr>
        <w:pStyle w:val="FootnoteText"/>
      </w:pPr>
      <w:r>
        <w:rPr>
          <w:rStyle w:val="FootnoteReference"/>
        </w:rPr>
        <w:footnoteRef/>
      </w:r>
      <w:r>
        <w:t xml:space="preserve"> Clause 12.3 of the pricing order.</w:t>
      </w:r>
    </w:p>
  </w:footnote>
  <w:footnote w:id="11">
    <w:p w14:paraId="50431FA2" w14:textId="77777777" w:rsidR="00207A99" w:rsidRDefault="00207A99" w:rsidP="00207A99">
      <w:pPr>
        <w:pStyle w:val="FootnoteText"/>
      </w:pPr>
      <w:r>
        <w:rPr>
          <w:rStyle w:val="FootnoteReference"/>
        </w:rPr>
        <w:footnoteRef/>
      </w:r>
      <w:r>
        <w:t xml:space="preserve"> Essential Services Commission, Victorian Default Offer 2023–24: Final Decision Paper, pp. 11-55, 25 May 2023.</w:t>
      </w:r>
    </w:p>
  </w:footnote>
  <w:footnote w:id="12">
    <w:p w14:paraId="47193008" w14:textId="5880831A" w:rsidR="008D7BBE" w:rsidRDefault="008D7BBE">
      <w:pPr>
        <w:pStyle w:val="FootnoteText"/>
      </w:pPr>
      <w:r>
        <w:rPr>
          <w:rStyle w:val="FootnoteReference"/>
        </w:rPr>
        <w:footnoteRef/>
      </w:r>
      <w:r>
        <w:t xml:space="preserve"> For more information see the </w:t>
      </w:r>
      <w:hyperlink r:id="rId1" w:anchor="tabs-container2" w:history="1">
        <w:r w:rsidRPr="008D7BBE">
          <w:rPr>
            <w:rStyle w:val="Hyperlink"/>
          </w:rPr>
          <w:t>Essential Services Commission website</w:t>
        </w:r>
      </w:hyperlink>
    </w:p>
  </w:footnote>
  <w:footnote w:id="13">
    <w:p w14:paraId="707C709D" w14:textId="77777777" w:rsidR="009869C3" w:rsidRDefault="009869C3" w:rsidP="00180CBE">
      <w:pPr>
        <w:pStyle w:val="FootnoteText"/>
        <w:spacing w:before="0"/>
      </w:pPr>
      <w:r>
        <w:rPr>
          <w:rStyle w:val="FootnoteReference"/>
        </w:rPr>
        <w:footnoteRef/>
      </w:r>
      <w:r>
        <w:t xml:space="preserve"> A standing offer will apply if the customer has: </w:t>
      </w:r>
    </w:p>
    <w:p w14:paraId="70F92F1B" w14:textId="5D42847F" w:rsidR="009869C3" w:rsidRDefault="009869C3" w:rsidP="00CC70FB">
      <w:pPr>
        <w:pStyle w:val="FootnoteText"/>
      </w:pPr>
      <w:r>
        <w:t>•</w:t>
      </w:r>
      <w:r w:rsidR="00CC70FB">
        <w:t xml:space="preserve"> </w:t>
      </w:r>
      <w:r>
        <w:t>never signed up for an electricity contract</w:t>
      </w:r>
    </w:p>
    <w:p w14:paraId="22910EFA" w14:textId="0356186D" w:rsidR="009869C3" w:rsidRDefault="009869C3" w:rsidP="00180CBE">
      <w:pPr>
        <w:pStyle w:val="FootnoteText"/>
        <w:spacing w:before="0"/>
      </w:pPr>
      <w:r>
        <w:t>•</w:t>
      </w:r>
      <w:r w:rsidR="00CC70FB">
        <w:t xml:space="preserve"> </w:t>
      </w:r>
      <w:proofErr w:type="gramStart"/>
      <w:r>
        <w:t>entered into</w:t>
      </w:r>
      <w:proofErr w:type="gramEnd"/>
      <w:r>
        <w:t xml:space="preserve"> an electricity contract, cancelled the contract within the cooling-off period, but continues to use electricity without entering into a new contract</w:t>
      </w:r>
    </w:p>
    <w:p w14:paraId="31F86383" w14:textId="5929143F" w:rsidR="009869C3" w:rsidRDefault="009869C3" w:rsidP="00180CBE">
      <w:pPr>
        <w:pStyle w:val="FootnoteText"/>
        <w:spacing w:before="0"/>
      </w:pPr>
      <w:r>
        <w:t>•</w:t>
      </w:r>
      <w:r w:rsidR="00CC70FB">
        <w:t xml:space="preserve"> </w:t>
      </w:r>
      <w:r>
        <w:t xml:space="preserve">moved into a new address and uses electricity without </w:t>
      </w:r>
      <w:proofErr w:type="gramStart"/>
      <w:r>
        <w:t>entering into</w:t>
      </w:r>
      <w:proofErr w:type="gramEnd"/>
      <w:r>
        <w:t xml:space="preserve"> a contract</w:t>
      </w:r>
    </w:p>
    <w:p w14:paraId="210E7880" w14:textId="0539251B" w:rsidR="009869C3" w:rsidRDefault="009869C3" w:rsidP="00180CBE">
      <w:pPr>
        <w:pStyle w:val="FootnoteText"/>
        <w:spacing w:before="0"/>
      </w:pPr>
      <w:r>
        <w:t>•</w:t>
      </w:r>
      <w:r w:rsidR="00CC70FB">
        <w:t xml:space="preserve"> </w:t>
      </w:r>
      <w:r>
        <w:t>specifically asked for a standing offer</w:t>
      </w:r>
    </w:p>
    <w:p w14:paraId="0C965F87" w14:textId="7D6DC3F6" w:rsidR="009869C3" w:rsidRDefault="009869C3" w:rsidP="00180CBE">
      <w:pPr>
        <w:pStyle w:val="FootnoteText"/>
        <w:spacing w:before="0"/>
      </w:pPr>
      <w:r>
        <w:t>•</w:t>
      </w:r>
      <w:r w:rsidR="00CC70FB">
        <w:t xml:space="preserve">  </w:t>
      </w:r>
      <w:r>
        <w:t>moved onto a standing offer after their market offer contract came to an end.</w:t>
      </w:r>
    </w:p>
  </w:footnote>
  <w:footnote w:id="14">
    <w:p w14:paraId="092097C8" w14:textId="69D63FBA" w:rsidR="00D732EE" w:rsidRPr="00946888" w:rsidRDefault="00D732EE" w:rsidP="00D732EE">
      <w:pPr>
        <w:pStyle w:val="FootnoteText"/>
        <w:rPr>
          <w:lang w:val="en-US"/>
        </w:rPr>
      </w:pPr>
      <w:r>
        <w:rPr>
          <w:rStyle w:val="FootnoteReference"/>
        </w:rPr>
        <w:footnoteRef/>
      </w:r>
      <w:r>
        <w:t xml:space="preserve"> </w:t>
      </w:r>
      <w:r w:rsidR="005C4003">
        <w:t>Figure</w:t>
      </w:r>
      <w:r w:rsidR="00274BA5">
        <w:t xml:space="preserve">s reflect </w:t>
      </w:r>
      <w:r w:rsidR="00C70EE5">
        <w:t>contract type recorded through National Meter Identifier,</w:t>
      </w:r>
      <w:r w:rsidR="005C4003">
        <w:t xml:space="preserve"> as of June 2024. </w:t>
      </w:r>
      <w:r w:rsidR="001C61AC">
        <w:rPr>
          <w:lang w:val="en-US"/>
        </w:rPr>
        <w:t xml:space="preserve">Essential Services Commission, Energy Market Dashboard, available at: </w:t>
      </w:r>
      <w:hyperlink r:id="rId2" w:history="1">
        <w:r w:rsidR="001C61AC" w:rsidRPr="00D027A3">
          <w:rPr>
            <w:rStyle w:val="Hyperlink"/>
            <w:lang w:val="en-US"/>
          </w:rPr>
          <w:t>https://www.esc.vic.gov.au/electricity-and-gas/market-performance-and-reporting/victorian-energy-market-report/energy-market-dashboard</w:t>
        </w:r>
      </w:hyperlink>
      <w:r w:rsidR="001C61AC">
        <w:rPr>
          <w:lang w:val="en-US"/>
        </w:rPr>
        <w:t xml:space="preserve"> .</w:t>
      </w:r>
    </w:p>
  </w:footnote>
  <w:footnote w:id="15">
    <w:p w14:paraId="39476D56" w14:textId="77777777" w:rsidR="001E1AC8" w:rsidRPr="002C47DA" w:rsidRDefault="001E1AC8" w:rsidP="00D732EE">
      <w:pPr>
        <w:spacing w:after="0" w:line="240" w:lineRule="auto"/>
        <w:rPr>
          <w:sz w:val="18"/>
          <w:szCs w:val="18"/>
        </w:rPr>
      </w:pPr>
      <w:r w:rsidRPr="009C7164">
        <w:rPr>
          <w:rStyle w:val="FootnoteReference"/>
          <w:sz w:val="18"/>
          <w:szCs w:val="18"/>
        </w:rPr>
        <w:footnoteRef/>
      </w:r>
      <w:r w:rsidRPr="002C47DA">
        <w:rPr>
          <w:sz w:val="18"/>
          <w:szCs w:val="18"/>
        </w:rPr>
        <w:t xml:space="preserve"> </w:t>
      </w:r>
      <w:r>
        <w:rPr>
          <w:sz w:val="18"/>
          <w:szCs w:val="18"/>
        </w:rPr>
        <w:t xml:space="preserve">Figure as of May 2024. </w:t>
      </w:r>
      <w:r w:rsidRPr="002C47DA">
        <w:rPr>
          <w:sz w:val="18"/>
          <w:szCs w:val="18"/>
        </w:rPr>
        <w:t>Embedded networks supply electricity for many domestic and small business customers in apartment buildings, caravan parks or office blocks.</w:t>
      </w:r>
    </w:p>
  </w:footnote>
  <w:footnote w:id="16">
    <w:p w14:paraId="47704281" w14:textId="77777777" w:rsidR="00E90213" w:rsidRDefault="00E90213" w:rsidP="00E90213">
      <w:pPr>
        <w:pStyle w:val="FootnoteText"/>
      </w:pPr>
      <w:r>
        <w:rPr>
          <w:rStyle w:val="FootnoteReference"/>
        </w:rPr>
        <w:footnoteRef/>
      </w:r>
      <w:r>
        <w:t xml:space="preserve"> Essential Services Commission, Victorian Default Offer 2023–24: Final Decision Paper, pp. 11-55, 25 May 2023.</w:t>
      </w:r>
    </w:p>
  </w:footnote>
  <w:footnote w:id="17">
    <w:p w14:paraId="16C14120" w14:textId="6D898D3D" w:rsidR="00402043" w:rsidRDefault="00402043">
      <w:pPr>
        <w:pStyle w:val="FootnoteText"/>
      </w:pPr>
      <w:r>
        <w:rPr>
          <w:rStyle w:val="FootnoteReference"/>
        </w:rPr>
        <w:footnoteRef/>
      </w:r>
      <w:r>
        <w:t xml:space="preserve"> </w:t>
      </w:r>
      <w:r w:rsidR="00242534">
        <w:t xml:space="preserve">Residential bills assume annual usage </w:t>
      </w:r>
      <w:r w:rsidR="003B05C2">
        <w:t>of</w:t>
      </w:r>
      <w:r w:rsidR="00242534">
        <w:t xml:space="preserve"> 4,</w:t>
      </w:r>
      <w:r w:rsidR="003B05C2">
        <w:t>000 kilowatt</w:t>
      </w:r>
      <w:r w:rsidR="00A71372">
        <w:t xml:space="preserve"> hours a year</w:t>
      </w:r>
      <w:r w:rsidR="00B4204F">
        <w:t xml:space="preserve"> and average across five distribution zones. </w:t>
      </w:r>
    </w:p>
  </w:footnote>
  <w:footnote w:id="18">
    <w:p w14:paraId="3AE07875" w14:textId="764FD637" w:rsidR="00BC0803" w:rsidRDefault="00BC0803" w:rsidP="00BC0803">
      <w:pPr>
        <w:pStyle w:val="FootnoteText"/>
      </w:pPr>
      <w:r>
        <w:rPr>
          <w:rStyle w:val="FootnoteReference"/>
        </w:rPr>
        <w:footnoteRef/>
      </w:r>
      <w:r>
        <w:t xml:space="preserve"> Small business bills assume annual usage of 10,000 kilowatt hours a year and average across five distribution zones. </w:t>
      </w:r>
    </w:p>
  </w:footnote>
  <w:footnote w:id="19">
    <w:p w14:paraId="21406652" w14:textId="491E0745" w:rsidR="00A34BA8" w:rsidRDefault="00A34BA8">
      <w:pPr>
        <w:pStyle w:val="FootnoteText"/>
      </w:pPr>
      <w:r>
        <w:rPr>
          <w:rStyle w:val="FootnoteReference"/>
        </w:rPr>
        <w:footnoteRef/>
      </w:r>
      <w:r>
        <w:t xml:space="preserve"> Australian Energy Regulator 2024, </w:t>
      </w:r>
      <w:r w:rsidR="005C5FCD">
        <w:t>Default market offer prices 2024-25: final determination, p. 52</w:t>
      </w:r>
      <w:r w:rsidR="00A51007">
        <w:t>, 23 May 2024</w:t>
      </w:r>
    </w:p>
  </w:footnote>
  <w:footnote w:id="20">
    <w:p w14:paraId="272A6716" w14:textId="75EA13DE" w:rsidR="008F5388" w:rsidRDefault="008F5388">
      <w:pPr>
        <w:pStyle w:val="FootnoteText"/>
      </w:pPr>
      <w:r>
        <w:rPr>
          <w:rStyle w:val="FootnoteReference"/>
        </w:rPr>
        <w:footnoteRef/>
      </w:r>
      <w:r>
        <w:t xml:space="preserve"> It should be noted that D</w:t>
      </w:r>
      <w:r w:rsidR="008D051A">
        <w:t>MO, also including additional cost items such as smart meter c</w:t>
      </w:r>
      <w:r w:rsidR="00FC4893">
        <w:t>ost</w:t>
      </w:r>
      <w:r w:rsidR="008D051A">
        <w:t xml:space="preserve">s and capital allowance </w:t>
      </w:r>
      <w:r w:rsidR="008202C6">
        <w:t>related</w:t>
      </w:r>
      <w:r w:rsidR="00F216C0">
        <w:t xml:space="preserve"> to smart meters. </w:t>
      </w:r>
      <w:r w:rsidR="008202C6">
        <w:t>However,</w:t>
      </w:r>
      <w:r w:rsidR="00F216C0">
        <w:t xml:space="preserve"> these items are not relevant to Victorian Default Offer. </w:t>
      </w:r>
    </w:p>
  </w:footnote>
  <w:footnote w:id="21">
    <w:p w14:paraId="69757607" w14:textId="4AA2AB48" w:rsidR="00F73F0E" w:rsidRDefault="00F73F0E">
      <w:pPr>
        <w:pStyle w:val="FootnoteText"/>
      </w:pPr>
      <w:r>
        <w:rPr>
          <w:rStyle w:val="FootnoteReference"/>
        </w:rPr>
        <w:footnoteRef/>
      </w:r>
      <w:r>
        <w:t xml:space="preserve"> We collect </w:t>
      </w:r>
      <w:r w:rsidR="004103DA">
        <w:t>cost data through statutory information gathering notices issued under section 36 of the Essential Services Commission Act</w:t>
      </w:r>
      <w:r w:rsidR="00742646">
        <w:t>,</w:t>
      </w:r>
      <w:r w:rsidR="005032D9">
        <w:t xml:space="preserve"> from a sample of retailers. </w:t>
      </w:r>
      <w:r w:rsidR="00742646">
        <w:t>The sample reflects electricity retailers</w:t>
      </w:r>
      <w:r w:rsidR="005032D9">
        <w:t xml:space="preserve"> with over 10,000 customers making up close to 98 per cent of market share in Victoria. </w:t>
      </w:r>
    </w:p>
  </w:footnote>
  <w:footnote w:id="22">
    <w:p w14:paraId="77558B4C" w14:textId="18DAD9F5" w:rsidR="00C4038E" w:rsidRDefault="00C4038E">
      <w:pPr>
        <w:pStyle w:val="FootnoteText"/>
      </w:pPr>
      <w:r>
        <w:rPr>
          <w:rStyle w:val="FootnoteReference"/>
        </w:rPr>
        <w:footnoteRef/>
      </w:r>
      <w:r>
        <w:t xml:space="preserve"> The term ‘margin’ is used as an estimate of profit divided by sales. Holding the percentage</w:t>
      </w:r>
      <w:r w:rsidR="005D0402">
        <w:t xml:space="preserve"> of earnings before interest, taxes, depreciation and </w:t>
      </w:r>
      <w:r w:rsidR="004D0F17">
        <w:t>amorti</w:t>
      </w:r>
      <w:r w:rsidR="001F4827">
        <w:t>s</w:t>
      </w:r>
      <w:r w:rsidR="004D0F17">
        <w:t>ation</w:t>
      </w:r>
      <w:r w:rsidR="003509A9">
        <w:t xml:space="preserve"> margin constant means that if energy</w:t>
      </w:r>
      <w:r w:rsidR="009768A2">
        <w:t>, network and operating costs rise over time the dollar margin will also rise</w:t>
      </w:r>
      <w:r w:rsidR="004D0F17">
        <w:t xml:space="preserve">, reflecting an increase in the required capital in dollar terms. </w:t>
      </w:r>
    </w:p>
  </w:footnote>
  <w:footnote w:id="23">
    <w:p w14:paraId="612D16AB" w14:textId="77777777" w:rsidR="00AC545C" w:rsidRDefault="00AC545C" w:rsidP="00AC545C">
      <w:pPr>
        <w:pStyle w:val="FootnoteText"/>
      </w:pPr>
      <w:r>
        <w:rPr>
          <w:rStyle w:val="FootnoteReference"/>
        </w:rPr>
        <w:footnoteRef/>
      </w:r>
      <w:r>
        <w:t xml:space="preserve"> Clause 12(7) of the pricing order</w:t>
      </w:r>
    </w:p>
  </w:footnote>
  <w:footnote w:id="24">
    <w:p w14:paraId="19CB9B67" w14:textId="77777777" w:rsidR="00AC545C" w:rsidRDefault="00AC545C" w:rsidP="00AC545C">
      <w:pPr>
        <w:pStyle w:val="FootnoteText"/>
      </w:pPr>
      <w:r>
        <w:rPr>
          <w:rStyle w:val="FootnoteReference"/>
        </w:rPr>
        <w:footnoteRef/>
      </w:r>
      <w:r>
        <w:t xml:space="preserve"> Clause 12(9) of the pricing order.</w:t>
      </w:r>
    </w:p>
  </w:footnote>
  <w:footnote w:id="25">
    <w:p w14:paraId="33158CDE" w14:textId="77777777" w:rsidR="00AC545C" w:rsidRDefault="00AC545C" w:rsidP="00AC545C">
      <w:pPr>
        <w:pStyle w:val="FootnoteText"/>
      </w:pPr>
      <w:r>
        <w:rPr>
          <w:rStyle w:val="FootnoteReference"/>
        </w:rPr>
        <w:footnoteRef/>
      </w:r>
      <w:r>
        <w:t xml:space="preserve"> Clause 10 of the pricing order.</w:t>
      </w:r>
    </w:p>
  </w:footnote>
  <w:footnote w:id="26">
    <w:p w14:paraId="7EFB8AA0" w14:textId="77777777" w:rsidR="00FA31CD" w:rsidRDefault="00FA31CD" w:rsidP="00FA31CD">
      <w:pPr>
        <w:pStyle w:val="FootnoteText"/>
      </w:pPr>
      <w:r>
        <w:rPr>
          <w:rStyle w:val="FootnoteReference"/>
        </w:rPr>
        <w:footnoteRef/>
      </w:r>
      <w:r>
        <w:t xml:space="preserve"> Frontier Economics, Retail costs and margin, a report for the Essential Services Commission, April 2019, p. 29</w:t>
      </w:r>
    </w:p>
  </w:footnote>
  <w:footnote w:id="27">
    <w:p w14:paraId="459F606C" w14:textId="77777777" w:rsidR="00923363" w:rsidRDefault="00923363" w:rsidP="00923363">
      <w:pPr>
        <w:pStyle w:val="FootnoteText"/>
      </w:pPr>
      <w:r>
        <w:rPr>
          <w:rStyle w:val="FootnoteReference"/>
        </w:rPr>
        <w:footnoteRef/>
      </w:r>
      <w:r>
        <w:t xml:space="preserve"> Essential Services Commission 2023, Victorian Default Offer 2023-24: Final Decision Paper, 25 May, pp. 47-55</w:t>
      </w:r>
    </w:p>
  </w:footnote>
  <w:footnote w:id="28">
    <w:p w14:paraId="138B2F2E" w14:textId="77777777" w:rsidR="00EE600A" w:rsidRDefault="00EE600A" w:rsidP="00EE600A">
      <w:pPr>
        <w:pStyle w:val="FootnoteText"/>
      </w:pPr>
      <w:r>
        <w:rPr>
          <w:rStyle w:val="FootnoteReference"/>
        </w:rPr>
        <w:footnoteRef/>
      </w:r>
      <w:r>
        <w:t xml:space="preserve"> Independent Competition and Regulatory Commission 2024, Retail electricity price investigation 2024-27: Final Report, 23 May, p. 45</w:t>
      </w:r>
    </w:p>
  </w:footnote>
  <w:footnote w:id="29">
    <w:p w14:paraId="094994BD" w14:textId="77777777" w:rsidR="000D56E0" w:rsidRDefault="000D56E0" w:rsidP="000D56E0">
      <w:pPr>
        <w:pStyle w:val="FootnoteText"/>
      </w:pPr>
      <w:r>
        <w:rPr>
          <w:rStyle w:val="FootnoteReference"/>
        </w:rPr>
        <w:footnoteRef/>
      </w:r>
      <w:r>
        <w:t xml:space="preserve"> Australian Energy Regulator, Default market offer prices: Final determination, pp. 18-40, 23 May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8834" w14:textId="05C28933" w:rsidR="007C0047" w:rsidRDefault="007C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1C5A" w14:textId="234A648B"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C4C7" w14:textId="73F021E3" w:rsidR="000E4F95" w:rsidRDefault="000E4F95">
    <w:pPr>
      <w:pStyle w:val="Header"/>
    </w:pPr>
    <w:r>
      <w:rPr>
        <w:noProof/>
        <w:lang w:eastAsia="en-AU"/>
      </w:rPr>
      <w:drawing>
        <wp:anchor distT="0" distB="180340" distL="114300" distR="114300" simplePos="0" relativeHeight="251658240" behindDoc="0" locked="0" layoutInCell="1" allowOverlap="1" wp14:anchorId="4EE7D27D" wp14:editId="5E50E98A">
          <wp:simplePos x="0" y="0"/>
          <wp:positionH relativeFrom="column">
            <wp:posOffset>8890</wp:posOffset>
          </wp:positionH>
          <wp:positionV relativeFrom="paragraph">
            <wp:posOffset>276860</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BE5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204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E7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6A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AC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01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83E7F"/>
    <w:multiLevelType w:val="hybridMultilevel"/>
    <w:tmpl w:val="A91A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433042"/>
    <w:multiLevelType w:val="hybridMultilevel"/>
    <w:tmpl w:val="D1DA1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B051DF"/>
    <w:multiLevelType w:val="multilevel"/>
    <w:tmpl w:val="67CC693C"/>
    <w:lvl w:ilvl="0">
      <w:start w:val="1"/>
      <w:numFmt w:val="decimal"/>
      <w:lvlText w:val="%1."/>
      <w:lvlJc w:val="left"/>
      <w:pPr>
        <w:ind w:left="568" w:hanging="284"/>
      </w:pPr>
      <w:rPr>
        <w:rFonts w:hint="default"/>
      </w:rPr>
    </w:lvl>
    <w:lvl w:ilvl="1">
      <w:start w:val="1"/>
      <w:numFmt w:val="bullet"/>
      <w:lvlText w:val="–"/>
      <w:lvlJc w:val="left"/>
      <w:pPr>
        <w:ind w:left="851" w:hanging="283"/>
      </w:pPr>
      <w:rPr>
        <w:rFonts w:ascii="Times New Roman" w:hAnsi="Times New Roman" w:cs="Times New Roman" w:hint="default"/>
      </w:rPr>
    </w:lvl>
    <w:lvl w:ilvl="2">
      <w:start w:val="1"/>
      <w:numFmt w:val="decimal"/>
      <w:lvlText w:val="%3."/>
      <w:lvlJc w:val="left"/>
      <w:pPr>
        <w:ind w:left="644" w:hanging="360"/>
      </w:pPr>
    </w:lvl>
    <w:lvl w:ilvl="3">
      <w:start w:val="1"/>
      <w:numFmt w:val="decimal"/>
      <w:lvlText w:val="%3.%4."/>
      <w:lvlJc w:val="left"/>
      <w:pPr>
        <w:ind w:left="851" w:hanging="56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B3C049B"/>
    <w:multiLevelType w:val="multilevel"/>
    <w:tmpl w:val="6D9A2BC2"/>
    <w:numStyleLink w:val="NumberedHeadings"/>
  </w:abstractNum>
  <w:abstractNum w:abstractNumId="18" w15:restartNumberingAfterBreak="0">
    <w:nsid w:val="1B9C7094"/>
    <w:multiLevelType w:val="hybridMultilevel"/>
    <w:tmpl w:val="4E6A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391238"/>
    <w:multiLevelType w:val="multilevel"/>
    <w:tmpl w:val="6D9A2BC2"/>
    <w:numStyleLink w:val="NumberedHeadings"/>
  </w:abstractNum>
  <w:abstractNum w:abstractNumId="22" w15:restartNumberingAfterBreak="0">
    <w:nsid w:val="273726E2"/>
    <w:multiLevelType w:val="hybridMultilevel"/>
    <w:tmpl w:val="B9B61F02"/>
    <w:lvl w:ilvl="0" w:tplc="2BF48B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807907"/>
    <w:multiLevelType w:val="hybridMultilevel"/>
    <w:tmpl w:val="2BB66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CAA0575"/>
    <w:multiLevelType w:val="hybridMultilevel"/>
    <w:tmpl w:val="F9D0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85E19"/>
    <w:multiLevelType w:val="hybridMultilevel"/>
    <w:tmpl w:val="7A0EFB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88721B7"/>
    <w:multiLevelType w:val="hybridMultilevel"/>
    <w:tmpl w:val="89A2A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A8B0109"/>
    <w:multiLevelType w:val="multilevel"/>
    <w:tmpl w:val="3D66CBA2"/>
    <w:numStyleLink w:val="CustomNumberlist"/>
  </w:abstractNum>
  <w:abstractNum w:abstractNumId="33"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05317"/>
    <w:multiLevelType w:val="multilevel"/>
    <w:tmpl w:val="3D66CBA2"/>
    <w:numStyleLink w:val="CustomNumberlist"/>
  </w:abstractNum>
  <w:abstractNum w:abstractNumId="36" w15:restartNumberingAfterBreak="0">
    <w:nsid w:val="6ACB3BBC"/>
    <w:multiLevelType w:val="multilevel"/>
    <w:tmpl w:val="214CA514"/>
    <w:numStyleLink w:val="Pull-outlists"/>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732D36"/>
    <w:multiLevelType w:val="multilevel"/>
    <w:tmpl w:val="214CA51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360" w:hanging="360"/>
      </w:p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A430A3"/>
    <w:multiLevelType w:val="hybridMultilevel"/>
    <w:tmpl w:val="5260B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951ED4"/>
    <w:multiLevelType w:val="hybridMultilevel"/>
    <w:tmpl w:val="AE081C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04021846">
    <w:abstractNumId w:val="9"/>
  </w:num>
  <w:num w:numId="2" w16cid:durableId="570775768">
    <w:abstractNumId w:val="7"/>
  </w:num>
  <w:num w:numId="3" w16cid:durableId="992568886">
    <w:abstractNumId w:val="6"/>
  </w:num>
  <w:num w:numId="4" w16cid:durableId="1836727432">
    <w:abstractNumId w:val="5"/>
  </w:num>
  <w:num w:numId="5" w16cid:durableId="595286853">
    <w:abstractNumId w:val="4"/>
  </w:num>
  <w:num w:numId="6" w16cid:durableId="1961496164">
    <w:abstractNumId w:val="8"/>
  </w:num>
  <w:num w:numId="7" w16cid:durableId="1261252494">
    <w:abstractNumId w:val="3"/>
  </w:num>
  <w:num w:numId="8" w16cid:durableId="1250040568">
    <w:abstractNumId w:val="2"/>
  </w:num>
  <w:num w:numId="9" w16cid:durableId="813910626">
    <w:abstractNumId w:val="1"/>
  </w:num>
  <w:num w:numId="10" w16cid:durableId="388723752">
    <w:abstractNumId w:val="28"/>
  </w:num>
  <w:num w:numId="11" w16cid:durableId="406609160">
    <w:abstractNumId w:val="20"/>
  </w:num>
  <w:num w:numId="12" w16cid:durableId="1186478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750093">
    <w:abstractNumId w:val="0"/>
  </w:num>
  <w:num w:numId="14" w16cid:durableId="1996492004">
    <w:abstractNumId w:val="20"/>
  </w:num>
  <w:num w:numId="15" w16cid:durableId="173541814">
    <w:abstractNumId w:val="21"/>
  </w:num>
  <w:num w:numId="16" w16cid:durableId="1832714891">
    <w:abstractNumId w:val="13"/>
  </w:num>
  <w:num w:numId="17" w16cid:durableId="141435587">
    <w:abstractNumId w:val="31"/>
  </w:num>
  <w:num w:numId="18" w16cid:durableId="454254816">
    <w:abstractNumId w:val="31"/>
  </w:num>
  <w:num w:numId="19" w16cid:durableId="1335181189">
    <w:abstractNumId w:val="24"/>
  </w:num>
  <w:num w:numId="20" w16cid:durableId="159002358">
    <w:abstractNumId w:val="16"/>
  </w:num>
  <w:num w:numId="21" w16cid:durableId="70741885">
    <w:abstractNumId w:val="33"/>
  </w:num>
  <w:num w:numId="22" w16cid:durableId="305404126">
    <w:abstractNumId w:val="35"/>
  </w:num>
  <w:num w:numId="23" w16cid:durableId="1927759707">
    <w:abstractNumId w:val="14"/>
  </w:num>
  <w:num w:numId="24" w16cid:durableId="782191927">
    <w:abstractNumId w:val="39"/>
  </w:num>
  <w:num w:numId="25" w16cid:durableId="800416629">
    <w:abstractNumId w:val="34"/>
  </w:num>
  <w:num w:numId="26" w16cid:durableId="831222159">
    <w:abstractNumId w:val="37"/>
  </w:num>
  <w:num w:numId="27" w16cid:durableId="1945573502">
    <w:abstractNumId w:val="19"/>
  </w:num>
  <w:num w:numId="28" w16cid:durableId="1416129120">
    <w:abstractNumId w:val="26"/>
  </w:num>
  <w:num w:numId="29" w16cid:durableId="162009473">
    <w:abstractNumId w:val="25"/>
  </w:num>
  <w:num w:numId="30" w16cid:durableId="801770326">
    <w:abstractNumId w:val="17"/>
  </w:num>
  <w:num w:numId="31" w16cid:durableId="950627612">
    <w:abstractNumId w:val="32"/>
  </w:num>
  <w:num w:numId="32" w16cid:durableId="317269041">
    <w:abstractNumId w:val="12"/>
  </w:num>
  <w:num w:numId="33" w16cid:durableId="944000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2149185">
    <w:abstractNumId w:val="38"/>
  </w:num>
  <w:num w:numId="35" w16cid:durableId="1992057455">
    <w:abstractNumId w:val="18"/>
  </w:num>
  <w:num w:numId="36" w16cid:durableId="197470361">
    <w:abstractNumId w:val="22"/>
  </w:num>
  <w:num w:numId="37" w16cid:durableId="1150830518">
    <w:abstractNumId w:val="38"/>
  </w:num>
  <w:num w:numId="38" w16cid:durableId="1795366365">
    <w:abstractNumId w:val="36"/>
  </w:num>
  <w:num w:numId="39" w16cid:durableId="823667625">
    <w:abstractNumId w:val="15"/>
  </w:num>
  <w:num w:numId="40" w16cid:durableId="2069843772">
    <w:abstractNumId w:val="40"/>
  </w:num>
  <w:num w:numId="41" w16cid:durableId="2059744111">
    <w:abstractNumId w:val="41"/>
  </w:num>
  <w:num w:numId="42" w16cid:durableId="1992059625">
    <w:abstractNumId w:val="27"/>
  </w:num>
  <w:num w:numId="43" w16cid:durableId="1430544657">
    <w:abstractNumId w:val="10"/>
  </w:num>
  <w:num w:numId="44" w16cid:durableId="464155130">
    <w:abstractNumId w:val="30"/>
  </w:num>
  <w:num w:numId="45" w16cid:durableId="1271625943">
    <w:abstractNumId w:val="23"/>
  </w:num>
  <w:num w:numId="46" w16cid:durableId="165101747">
    <w:abstractNumId w:val="29"/>
  </w:num>
  <w:num w:numId="47" w16cid:durableId="759330240">
    <w:abstractNumId w:val="11"/>
  </w:num>
  <w:num w:numId="48" w16cid:durableId="1965544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3B"/>
    <w:rsid w:val="00000217"/>
    <w:rsid w:val="00002BF0"/>
    <w:rsid w:val="00003993"/>
    <w:rsid w:val="00003D50"/>
    <w:rsid w:val="000046BD"/>
    <w:rsid w:val="00005A5E"/>
    <w:rsid w:val="000067DD"/>
    <w:rsid w:val="00006852"/>
    <w:rsid w:val="00007339"/>
    <w:rsid w:val="000077DC"/>
    <w:rsid w:val="00010042"/>
    <w:rsid w:val="000104E9"/>
    <w:rsid w:val="00011988"/>
    <w:rsid w:val="00011FA2"/>
    <w:rsid w:val="0001337B"/>
    <w:rsid w:val="000145B2"/>
    <w:rsid w:val="0001477F"/>
    <w:rsid w:val="00014B19"/>
    <w:rsid w:val="00015588"/>
    <w:rsid w:val="0001595D"/>
    <w:rsid w:val="00015982"/>
    <w:rsid w:val="00015FB2"/>
    <w:rsid w:val="00016040"/>
    <w:rsid w:val="00016352"/>
    <w:rsid w:val="000171A2"/>
    <w:rsid w:val="00017318"/>
    <w:rsid w:val="00020D3F"/>
    <w:rsid w:val="00021D25"/>
    <w:rsid w:val="00024B2F"/>
    <w:rsid w:val="00030A4F"/>
    <w:rsid w:val="00031AF7"/>
    <w:rsid w:val="00032320"/>
    <w:rsid w:val="000337A0"/>
    <w:rsid w:val="000344AC"/>
    <w:rsid w:val="00034CC7"/>
    <w:rsid w:val="00034D55"/>
    <w:rsid w:val="00035BAB"/>
    <w:rsid w:val="00035CCB"/>
    <w:rsid w:val="00035F1B"/>
    <w:rsid w:val="000379B4"/>
    <w:rsid w:val="00041B80"/>
    <w:rsid w:val="0004215C"/>
    <w:rsid w:val="00042614"/>
    <w:rsid w:val="00042C19"/>
    <w:rsid w:val="00043109"/>
    <w:rsid w:val="00044B5C"/>
    <w:rsid w:val="0004616C"/>
    <w:rsid w:val="000470D5"/>
    <w:rsid w:val="00050E77"/>
    <w:rsid w:val="000518F3"/>
    <w:rsid w:val="00051CD3"/>
    <w:rsid w:val="00053D17"/>
    <w:rsid w:val="00054060"/>
    <w:rsid w:val="00056310"/>
    <w:rsid w:val="000565B9"/>
    <w:rsid w:val="000566E0"/>
    <w:rsid w:val="00056AE8"/>
    <w:rsid w:val="000572B4"/>
    <w:rsid w:val="0005772E"/>
    <w:rsid w:val="0005790D"/>
    <w:rsid w:val="00061637"/>
    <w:rsid w:val="00061FD2"/>
    <w:rsid w:val="000623D9"/>
    <w:rsid w:val="00062AE4"/>
    <w:rsid w:val="0006387B"/>
    <w:rsid w:val="000638B9"/>
    <w:rsid w:val="00064D5E"/>
    <w:rsid w:val="00065FF3"/>
    <w:rsid w:val="0006743D"/>
    <w:rsid w:val="00067DD9"/>
    <w:rsid w:val="00070380"/>
    <w:rsid w:val="000708F6"/>
    <w:rsid w:val="0007399E"/>
    <w:rsid w:val="00073DA2"/>
    <w:rsid w:val="00073DB1"/>
    <w:rsid w:val="00074C3F"/>
    <w:rsid w:val="00074CDF"/>
    <w:rsid w:val="000753A0"/>
    <w:rsid w:val="00081BA2"/>
    <w:rsid w:val="00082B14"/>
    <w:rsid w:val="00082E95"/>
    <w:rsid w:val="000844A7"/>
    <w:rsid w:val="00084955"/>
    <w:rsid w:val="00085EA6"/>
    <w:rsid w:val="000874EC"/>
    <w:rsid w:val="00087A5C"/>
    <w:rsid w:val="00087A8A"/>
    <w:rsid w:val="00087FB4"/>
    <w:rsid w:val="00093ED4"/>
    <w:rsid w:val="00094790"/>
    <w:rsid w:val="00097261"/>
    <w:rsid w:val="00097B35"/>
    <w:rsid w:val="000A03F3"/>
    <w:rsid w:val="000A0D2E"/>
    <w:rsid w:val="000A1292"/>
    <w:rsid w:val="000A1560"/>
    <w:rsid w:val="000A231A"/>
    <w:rsid w:val="000A2679"/>
    <w:rsid w:val="000A2E3F"/>
    <w:rsid w:val="000A38D4"/>
    <w:rsid w:val="000A67B4"/>
    <w:rsid w:val="000A719A"/>
    <w:rsid w:val="000A72B7"/>
    <w:rsid w:val="000A759D"/>
    <w:rsid w:val="000A7A1E"/>
    <w:rsid w:val="000A7FD9"/>
    <w:rsid w:val="000B0B7C"/>
    <w:rsid w:val="000B431A"/>
    <w:rsid w:val="000B523E"/>
    <w:rsid w:val="000B6D7A"/>
    <w:rsid w:val="000B7205"/>
    <w:rsid w:val="000B7C12"/>
    <w:rsid w:val="000C1FB8"/>
    <w:rsid w:val="000C28E9"/>
    <w:rsid w:val="000C6B67"/>
    <w:rsid w:val="000C70F3"/>
    <w:rsid w:val="000C7197"/>
    <w:rsid w:val="000C7603"/>
    <w:rsid w:val="000C779A"/>
    <w:rsid w:val="000D051A"/>
    <w:rsid w:val="000D122D"/>
    <w:rsid w:val="000D13DE"/>
    <w:rsid w:val="000D1B02"/>
    <w:rsid w:val="000D297B"/>
    <w:rsid w:val="000D34DD"/>
    <w:rsid w:val="000D4298"/>
    <w:rsid w:val="000D4547"/>
    <w:rsid w:val="000D4C7F"/>
    <w:rsid w:val="000D56E0"/>
    <w:rsid w:val="000D6B5E"/>
    <w:rsid w:val="000D6F22"/>
    <w:rsid w:val="000D6FB2"/>
    <w:rsid w:val="000D7E55"/>
    <w:rsid w:val="000E0553"/>
    <w:rsid w:val="000E4F95"/>
    <w:rsid w:val="000E5ABD"/>
    <w:rsid w:val="000E5E76"/>
    <w:rsid w:val="000E678E"/>
    <w:rsid w:val="000E75EF"/>
    <w:rsid w:val="000E76BA"/>
    <w:rsid w:val="000F108C"/>
    <w:rsid w:val="000F1E89"/>
    <w:rsid w:val="000F216D"/>
    <w:rsid w:val="000F30AD"/>
    <w:rsid w:val="000F3328"/>
    <w:rsid w:val="000F370F"/>
    <w:rsid w:val="000F3B59"/>
    <w:rsid w:val="000F4A7C"/>
    <w:rsid w:val="000F51DF"/>
    <w:rsid w:val="000F5C63"/>
    <w:rsid w:val="00100A54"/>
    <w:rsid w:val="00101075"/>
    <w:rsid w:val="00101893"/>
    <w:rsid w:val="00101D1B"/>
    <w:rsid w:val="00102044"/>
    <w:rsid w:val="00102EA6"/>
    <w:rsid w:val="00105220"/>
    <w:rsid w:val="0010561A"/>
    <w:rsid w:val="001060C0"/>
    <w:rsid w:val="00106608"/>
    <w:rsid w:val="0010665D"/>
    <w:rsid w:val="00110D36"/>
    <w:rsid w:val="001114C3"/>
    <w:rsid w:val="00111E0E"/>
    <w:rsid w:val="00112003"/>
    <w:rsid w:val="00112BB7"/>
    <w:rsid w:val="00113338"/>
    <w:rsid w:val="00115204"/>
    <w:rsid w:val="00116B7A"/>
    <w:rsid w:val="00117751"/>
    <w:rsid w:val="00120402"/>
    <w:rsid w:val="00121274"/>
    <w:rsid w:val="00121B53"/>
    <w:rsid w:val="00123A15"/>
    <w:rsid w:val="001244D8"/>
    <w:rsid w:val="001245B5"/>
    <w:rsid w:val="001247CB"/>
    <w:rsid w:val="001253EF"/>
    <w:rsid w:val="001272CB"/>
    <w:rsid w:val="001272CD"/>
    <w:rsid w:val="0012766B"/>
    <w:rsid w:val="00127D45"/>
    <w:rsid w:val="00127EA7"/>
    <w:rsid w:val="0013035D"/>
    <w:rsid w:val="0013137B"/>
    <w:rsid w:val="001314C0"/>
    <w:rsid w:val="001316C4"/>
    <w:rsid w:val="00133D3A"/>
    <w:rsid w:val="001345FE"/>
    <w:rsid w:val="001350A3"/>
    <w:rsid w:val="0013525B"/>
    <w:rsid w:val="00135527"/>
    <w:rsid w:val="00135F4B"/>
    <w:rsid w:val="00136BF4"/>
    <w:rsid w:val="00136E4E"/>
    <w:rsid w:val="0013736C"/>
    <w:rsid w:val="0013773C"/>
    <w:rsid w:val="001417E5"/>
    <w:rsid w:val="00141C82"/>
    <w:rsid w:val="00141D65"/>
    <w:rsid w:val="00141F50"/>
    <w:rsid w:val="001433F2"/>
    <w:rsid w:val="0014439C"/>
    <w:rsid w:val="001443F2"/>
    <w:rsid w:val="00146216"/>
    <w:rsid w:val="0014636E"/>
    <w:rsid w:val="00146514"/>
    <w:rsid w:val="001466BA"/>
    <w:rsid w:val="00147626"/>
    <w:rsid w:val="00147C21"/>
    <w:rsid w:val="00147FD7"/>
    <w:rsid w:val="00150625"/>
    <w:rsid w:val="00150808"/>
    <w:rsid w:val="0015097F"/>
    <w:rsid w:val="00150DB4"/>
    <w:rsid w:val="00153081"/>
    <w:rsid w:val="00153249"/>
    <w:rsid w:val="001571EA"/>
    <w:rsid w:val="00157354"/>
    <w:rsid w:val="00160510"/>
    <w:rsid w:val="00160F48"/>
    <w:rsid w:val="00162F57"/>
    <w:rsid w:val="00164475"/>
    <w:rsid w:val="00167612"/>
    <w:rsid w:val="00167F22"/>
    <w:rsid w:val="00171285"/>
    <w:rsid w:val="00172BE4"/>
    <w:rsid w:val="00173C89"/>
    <w:rsid w:val="0017451F"/>
    <w:rsid w:val="00174DB8"/>
    <w:rsid w:val="00175742"/>
    <w:rsid w:val="00176EF1"/>
    <w:rsid w:val="00177004"/>
    <w:rsid w:val="00177497"/>
    <w:rsid w:val="00180CBE"/>
    <w:rsid w:val="0018126B"/>
    <w:rsid w:val="001828F0"/>
    <w:rsid w:val="00182B5E"/>
    <w:rsid w:val="001839F6"/>
    <w:rsid w:val="00184212"/>
    <w:rsid w:val="0018487E"/>
    <w:rsid w:val="00184CEF"/>
    <w:rsid w:val="00184FD0"/>
    <w:rsid w:val="00185285"/>
    <w:rsid w:val="0018628E"/>
    <w:rsid w:val="001869B0"/>
    <w:rsid w:val="00187ACF"/>
    <w:rsid w:val="00191920"/>
    <w:rsid w:val="00193067"/>
    <w:rsid w:val="001933E1"/>
    <w:rsid w:val="00196866"/>
    <w:rsid w:val="00196C12"/>
    <w:rsid w:val="001977AD"/>
    <w:rsid w:val="001A02AA"/>
    <w:rsid w:val="001A0FDA"/>
    <w:rsid w:val="001A1671"/>
    <w:rsid w:val="001A2E14"/>
    <w:rsid w:val="001A3401"/>
    <w:rsid w:val="001A49BB"/>
    <w:rsid w:val="001A4ACF"/>
    <w:rsid w:val="001A4CD3"/>
    <w:rsid w:val="001A4EBC"/>
    <w:rsid w:val="001B011D"/>
    <w:rsid w:val="001B0CB6"/>
    <w:rsid w:val="001B1075"/>
    <w:rsid w:val="001B1A6A"/>
    <w:rsid w:val="001B2393"/>
    <w:rsid w:val="001B23F7"/>
    <w:rsid w:val="001B2DAC"/>
    <w:rsid w:val="001B32C3"/>
    <w:rsid w:val="001B4048"/>
    <w:rsid w:val="001B4CF7"/>
    <w:rsid w:val="001B6229"/>
    <w:rsid w:val="001B6F2F"/>
    <w:rsid w:val="001B7E02"/>
    <w:rsid w:val="001C0CAA"/>
    <w:rsid w:val="001C230D"/>
    <w:rsid w:val="001C307E"/>
    <w:rsid w:val="001C428A"/>
    <w:rsid w:val="001C61AC"/>
    <w:rsid w:val="001C750A"/>
    <w:rsid w:val="001C7739"/>
    <w:rsid w:val="001D07CD"/>
    <w:rsid w:val="001D1051"/>
    <w:rsid w:val="001D274C"/>
    <w:rsid w:val="001D2EE8"/>
    <w:rsid w:val="001D3546"/>
    <w:rsid w:val="001D4C3D"/>
    <w:rsid w:val="001D5594"/>
    <w:rsid w:val="001D569F"/>
    <w:rsid w:val="001D5A6C"/>
    <w:rsid w:val="001D6839"/>
    <w:rsid w:val="001D777A"/>
    <w:rsid w:val="001D7BF8"/>
    <w:rsid w:val="001E1AC8"/>
    <w:rsid w:val="001E1B8D"/>
    <w:rsid w:val="001E2A10"/>
    <w:rsid w:val="001E2C36"/>
    <w:rsid w:val="001E3CE3"/>
    <w:rsid w:val="001E3EE7"/>
    <w:rsid w:val="001E44E6"/>
    <w:rsid w:val="001E4FDA"/>
    <w:rsid w:val="001E5A72"/>
    <w:rsid w:val="001E619E"/>
    <w:rsid w:val="001E6B24"/>
    <w:rsid w:val="001E7098"/>
    <w:rsid w:val="001E73BD"/>
    <w:rsid w:val="001F1EF2"/>
    <w:rsid w:val="001F3055"/>
    <w:rsid w:val="001F3997"/>
    <w:rsid w:val="001F44FB"/>
    <w:rsid w:val="001F4827"/>
    <w:rsid w:val="001F5A35"/>
    <w:rsid w:val="001F62F3"/>
    <w:rsid w:val="001F64A3"/>
    <w:rsid w:val="001F668F"/>
    <w:rsid w:val="001F7CE4"/>
    <w:rsid w:val="001F7CE6"/>
    <w:rsid w:val="00200089"/>
    <w:rsid w:val="0020042F"/>
    <w:rsid w:val="0020143B"/>
    <w:rsid w:val="00201702"/>
    <w:rsid w:val="0020187B"/>
    <w:rsid w:val="0020279D"/>
    <w:rsid w:val="00203AD2"/>
    <w:rsid w:val="00204527"/>
    <w:rsid w:val="00204668"/>
    <w:rsid w:val="00204C88"/>
    <w:rsid w:val="002056BA"/>
    <w:rsid w:val="00205C69"/>
    <w:rsid w:val="00206B79"/>
    <w:rsid w:val="00207A99"/>
    <w:rsid w:val="00207E92"/>
    <w:rsid w:val="0021138F"/>
    <w:rsid w:val="00213DF3"/>
    <w:rsid w:val="00213F0D"/>
    <w:rsid w:val="002142D7"/>
    <w:rsid w:val="002164D1"/>
    <w:rsid w:val="002175D4"/>
    <w:rsid w:val="0022064E"/>
    <w:rsid w:val="00220E3F"/>
    <w:rsid w:val="00221B0D"/>
    <w:rsid w:val="00221F4F"/>
    <w:rsid w:val="002222E9"/>
    <w:rsid w:val="00222629"/>
    <w:rsid w:val="0022263D"/>
    <w:rsid w:val="002247F7"/>
    <w:rsid w:val="00224DC9"/>
    <w:rsid w:val="002251BF"/>
    <w:rsid w:val="0022708E"/>
    <w:rsid w:val="00227803"/>
    <w:rsid w:val="0023043B"/>
    <w:rsid w:val="00230FE9"/>
    <w:rsid w:val="002318A5"/>
    <w:rsid w:val="00232581"/>
    <w:rsid w:val="002337C3"/>
    <w:rsid w:val="00234C21"/>
    <w:rsid w:val="002357DF"/>
    <w:rsid w:val="00236020"/>
    <w:rsid w:val="002371C6"/>
    <w:rsid w:val="00240C5E"/>
    <w:rsid w:val="002413AE"/>
    <w:rsid w:val="00241F0C"/>
    <w:rsid w:val="00242534"/>
    <w:rsid w:val="002432D0"/>
    <w:rsid w:val="002454BF"/>
    <w:rsid w:val="00250A24"/>
    <w:rsid w:val="00251145"/>
    <w:rsid w:val="002539D1"/>
    <w:rsid w:val="0025573F"/>
    <w:rsid w:val="002575FA"/>
    <w:rsid w:val="0026073A"/>
    <w:rsid w:val="0026137E"/>
    <w:rsid w:val="00263CAC"/>
    <w:rsid w:val="002647E2"/>
    <w:rsid w:val="00264BDE"/>
    <w:rsid w:val="002676FB"/>
    <w:rsid w:val="0027184C"/>
    <w:rsid w:val="002719F4"/>
    <w:rsid w:val="00271FAD"/>
    <w:rsid w:val="002724B6"/>
    <w:rsid w:val="0027284A"/>
    <w:rsid w:val="00273448"/>
    <w:rsid w:val="00274BA5"/>
    <w:rsid w:val="002750C4"/>
    <w:rsid w:val="002752A8"/>
    <w:rsid w:val="0027532A"/>
    <w:rsid w:val="00276753"/>
    <w:rsid w:val="00276E55"/>
    <w:rsid w:val="00277910"/>
    <w:rsid w:val="00280754"/>
    <w:rsid w:val="00280B5B"/>
    <w:rsid w:val="00280F70"/>
    <w:rsid w:val="00281906"/>
    <w:rsid w:val="00281A18"/>
    <w:rsid w:val="002821DA"/>
    <w:rsid w:val="00282710"/>
    <w:rsid w:val="002827CD"/>
    <w:rsid w:val="002852E9"/>
    <w:rsid w:val="002869B1"/>
    <w:rsid w:val="00287276"/>
    <w:rsid w:val="00290EBE"/>
    <w:rsid w:val="00290EE9"/>
    <w:rsid w:val="002918B4"/>
    <w:rsid w:val="00291BA7"/>
    <w:rsid w:val="00292177"/>
    <w:rsid w:val="002922CE"/>
    <w:rsid w:val="00292854"/>
    <w:rsid w:val="00293391"/>
    <w:rsid w:val="00296539"/>
    <w:rsid w:val="002966CE"/>
    <w:rsid w:val="002978A0"/>
    <w:rsid w:val="00297988"/>
    <w:rsid w:val="002A059D"/>
    <w:rsid w:val="002A1FC8"/>
    <w:rsid w:val="002A2926"/>
    <w:rsid w:val="002A31D6"/>
    <w:rsid w:val="002A3290"/>
    <w:rsid w:val="002A368A"/>
    <w:rsid w:val="002A396C"/>
    <w:rsid w:val="002A3DE1"/>
    <w:rsid w:val="002A3ED7"/>
    <w:rsid w:val="002A4487"/>
    <w:rsid w:val="002A5019"/>
    <w:rsid w:val="002A5AED"/>
    <w:rsid w:val="002A5E42"/>
    <w:rsid w:val="002A611B"/>
    <w:rsid w:val="002A66DE"/>
    <w:rsid w:val="002A6F84"/>
    <w:rsid w:val="002A77AD"/>
    <w:rsid w:val="002A7F5A"/>
    <w:rsid w:val="002B05A4"/>
    <w:rsid w:val="002B2D26"/>
    <w:rsid w:val="002B44E1"/>
    <w:rsid w:val="002B4786"/>
    <w:rsid w:val="002B5D82"/>
    <w:rsid w:val="002C06AC"/>
    <w:rsid w:val="002C0A75"/>
    <w:rsid w:val="002C10B4"/>
    <w:rsid w:val="002C1497"/>
    <w:rsid w:val="002C2ADF"/>
    <w:rsid w:val="002C2D52"/>
    <w:rsid w:val="002C33CD"/>
    <w:rsid w:val="002C3F33"/>
    <w:rsid w:val="002C4F94"/>
    <w:rsid w:val="002C676F"/>
    <w:rsid w:val="002C7769"/>
    <w:rsid w:val="002C7F94"/>
    <w:rsid w:val="002D0A13"/>
    <w:rsid w:val="002D1EC8"/>
    <w:rsid w:val="002D2954"/>
    <w:rsid w:val="002D3990"/>
    <w:rsid w:val="002D3B02"/>
    <w:rsid w:val="002D5F30"/>
    <w:rsid w:val="002D624B"/>
    <w:rsid w:val="002D682B"/>
    <w:rsid w:val="002E3A10"/>
    <w:rsid w:val="002E48AC"/>
    <w:rsid w:val="002E7F76"/>
    <w:rsid w:val="002F2939"/>
    <w:rsid w:val="002F5875"/>
    <w:rsid w:val="002F5DF8"/>
    <w:rsid w:val="002F6922"/>
    <w:rsid w:val="002F69EA"/>
    <w:rsid w:val="002F6C09"/>
    <w:rsid w:val="00301035"/>
    <w:rsid w:val="00301872"/>
    <w:rsid w:val="003020D4"/>
    <w:rsid w:val="00302904"/>
    <w:rsid w:val="003037DF"/>
    <w:rsid w:val="003041FE"/>
    <w:rsid w:val="00304A6B"/>
    <w:rsid w:val="00305157"/>
    <w:rsid w:val="00306812"/>
    <w:rsid w:val="00306F31"/>
    <w:rsid w:val="00307CE5"/>
    <w:rsid w:val="003123DA"/>
    <w:rsid w:val="003136AF"/>
    <w:rsid w:val="00314C61"/>
    <w:rsid w:val="00315AAE"/>
    <w:rsid w:val="00317C67"/>
    <w:rsid w:val="003205D2"/>
    <w:rsid w:val="003220C0"/>
    <w:rsid w:val="00322FEA"/>
    <w:rsid w:val="00324A4E"/>
    <w:rsid w:val="003276ED"/>
    <w:rsid w:val="003302D8"/>
    <w:rsid w:val="00330BCF"/>
    <w:rsid w:val="0033137A"/>
    <w:rsid w:val="0033189E"/>
    <w:rsid w:val="00332504"/>
    <w:rsid w:val="0033367A"/>
    <w:rsid w:val="003337CE"/>
    <w:rsid w:val="003354B4"/>
    <w:rsid w:val="003355C5"/>
    <w:rsid w:val="00336D41"/>
    <w:rsid w:val="0034003D"/>
    <w:rsid w:val="003406F4"/>
    <w:rsid w:val="00340896"/>
    <w:rsid w:val="00341227"/>
    <w:rsid w:val="00341583"/>
    <w:rsid w:val="00343BBC"/>
    <w:rsid w:val="00344D56"/>
    <w:rsid w:val="003460F4"/>
    <w:rsid w:val="00346659"/>
    <w:rsid w:val="00347018"/>
    <w:rsid w:val="00347805"/>
    <w:rsid w:val="00350907"/>
    <w:rsid w:val="003509A9"/>
    <w:rsid w:val="00351747"/>
    <w:rsid w:val="003526EB"/>
    <w:rsid w:val="00353622"/>
    <w:rsid w:val="00353663"/>
    <w:rsid w:val="00354514"/>
    <w:rsid w:val="00354D93"/>
    <w:rsid w:val="003556BF"/>
    <w:rsid w:val="0035665E"/>
    <w:rsid w:val="003567E6"/>
    <w:rsid w:val="003569FB"/>
    <w:rsid w:val="00357017"/>
    <w:rsid w:val="0035771D"/>
    <w:rsid w:val="003577EF"/>
    <w:rsid w:val="00360763"/>
    <w:rsid w:val="0036114F"/>
    <w:rsid w:val="00363204"/>
    <w:rsid w:val="00366ED7"/>
    <w:rsid w:val="00367C7F"/>
    <w:rsid w:val="00370D4D"/>
    <w:rsid w:val="00370DA8"/>
    <w:rsid w:val="00371151"/>
    <w:rsid w:val="00371235"/>
    <w:rsid w:val="00371273"/>
    <w:rsid w:val="00371487"/>
    <w:rsid w:val="003748AB"/>
    <w:rsid w:val="00375CBF"/>
    <w:rsid w:val="00375EFC"/>
    <w:rsid w:val="00376429"/>
    <w:rsid w:val="003774D8"/>
    <w:rsid w:val="0038012C"/>
    <w:rsid w:val="0038013C"/>
    <w:rsid w:val="003810CF"/>
    <w:rsid w:val="00381ADD"/>
    <w:rsid w:val="003826B7"/>
    <w:rsid w:val="003828B5"/>
    <w:rsid w:val="003837CC"/>
    <w:rsid w:val="0038394C"/>
    <w:rsid w:val="003843E1"/>
    <w:rsid w:val="00384931"/>
    <w:rsid w:val="00384F43"/>
    <w:rsid w:val="00385F5E"/>
    <w:rsid w:val="00385FEA"/>
    <w:rsid w:val="00386668"/>
    <w:rsid w:val="0038707F"/>
    <w:rsid w:val="00387206"/>
    <w:rsid w:val="00387C26"/>
    <w:rsid w:val="00387DE5"/>
    <w:rsid w:val="003904B9"/>
    <w:rsid w:val="003905BA"/>
    <w:rsid w:val="00392849"/>
    <w:rsid w:val="00393455"/>
    <w:rsid w:val="0039360B"/>
    <w:rsid w:val="00393C25"/>
    <w:rsid w:val="00394187"/>
    <w:rsid w:val="0039441E"/>
    <w:rsid w:val="00395CFE"/>
    <w:rsid w:val="003A0609"/>
    <w:rsid w:val="003A0B6C"/>
    <w:rsid w:val="003A16E1"/>
    <w:rsid w:val="003A18DE"/>
    <w:rsid w:val="003A2748"/>
    <w:rsid w:val="003A30F3"/>
    <w:rsid w:val="003A3853"/>
    <w:rsid w:val="003A3F60"/>
    <w:rsid w:val="003A46E4"/>
    <w:rsid w:val="003A5C2A"/>
    <w:rsid w:val="003A5DEC"/>
    <w:rsid w:val="003A7AF6"/>
    <w:rsid w:val="003A7CA2"/>
    <w:rsid w:val="003B05C2"/>
    <w:rsid w:val="003B10B9"/>
    <w:rsid w:val="003B10E7"/>
    <w:rsid w:val="003B2901"/>
    <w:rsid w:val="003B2EFC"/>
    <w:rsid w:val="003B459F"/>
    <w:rsid w:val="003B5AB1"/>
    <w:rsid w:val="003B7C41"/>
    <w:rsid w:val="003B7F5B"/>
    <w:rsid w:val="003C0A49"/>
    <w:rsid w:val="003C2176"/>
    <w:rsid w:val="003C23E6"/>
    <w:rsid w:val="003C2736"/>
    <w:rsid w:val="003C39AA"/>
    <w:rsid w:val="003C39F4"/>
    <w:rsid w:val="003C3B17"/>
    <w:rsid w:val="003C48AE"/>
    <w:rsid w:val="003C6CA6"/>
    <w:rsid w:val="003C6D3B"/>
    <w:rsid w:val="003D093F"/>
    <w:rsid w:val="003D1383"/>
    <w:rsid w:val="003D39AD"/>
    <w:rsid w:val="003D5D52"/>
    <w:rsid w:val="003D69B9"/>
    <w:rsid w:val="003D6D5B"/>
    <w:rsid w:val="003D6E50"/>
    <w:rsid w:val="003E001D"/>
    <w:rsid w:val="003E1C90"/>
    <w:rsid w:val="003E1FA7"/>
    <w:rsid w:val="003E2533"/>
    <w:rsid w:val="003E25EC"/>
    <w:rsid w:val="003E3220"/>
    <w:rsid w:val="003E3740"/>
    <w:rsid w:val="003E3898"/>
    <w:rsid w:val="003E3D3C"/>
    <w:rsid w:val="003E5E46"/>
    <w:rsid w:val="003E605B"/>
    <w:rsid w:val="003E6956"/>
    <w:rsid w:val="003F082A"/>
    <w:rsid w:val="003F1961"/>
    <w:rsid w:val="003F1966"/>
    <w:rsid w:val="003F2B46"/>
    <w:rsid w:val="003F3C47"/>
    <w:rsid w:val="003F4D38"/>
    <w:rsid w:val="003F5A48"/>
    <w:rsid w:val="003F7899"/>
    <w:rsid w:val="003F7A4E"/>
    <w:rsid w:val="00401286"/>
    <w:rsid w:val="004014E9"/>
    <w:rsid w:val="00401663"/>
    <w:rsid w:val="004016C4"/>
    <w:rsid w:val="00402043"/>
    <w:rsid w:val="00402A91"/>
    <w:rsid w:val="00404DB5"/>
    <w:rsid w:val="00405582"/>
    <w:rsid w:val="004061FA"/>
    <w:rsid w:val="00406305"/>
    <w:rsid w:val="004063DC"/>
    <w:rsid w:val="004064CD"/>
    <w:rsid w:val="00407DC6"/>
    <w:rsid w:val="004103DA"/>
    <w:rsid w:val="0041175D"/>
    <w:rsid w:val="00412069"/>
    <w:rsid w:val="00412D75"/>
    <w:rsid w:val="00413302"/>
    <w:rsid w:val="0041357C"/>
    <w:rsid w:val="004145A1"/>
    <w:rsid w:val="00414AB9"/>
    <w:rsid w:val="004150B4"/>
    <w:rsid w:val="00416FB5"/>
    <w:rsid w:val="0042283E"/>
    <w:rsid w:val="004232B2"/>
    <w:rsid w:val="0042379D"/>
    <w:rsid w:val="004248B1"/>
    <w:rsid w:val="004256F7"/>
    <w:rsid w:val="004257F1"/>
    <w:rsid w:val="00425E5C"/>
    <w:rsid w:val="00426D72"/>
    <w:rsid w:val="0043066B"/>
    <w:rsid w:val="004309BF"/>
    <w:rsid w:val="00431FCA"/>
    <w:rsid w:val="00432E50"/>
    <w:rsid w:val="00433DA4"/>
    <w:rsid w:val="0043547D"/>
    <w:rsid w:val="00436314"/>
    <w:rsid w:val="004368B6"/>
    <w:rsid w:val="00437F6B"/>
    <w:rsid w:val="0044062D"/>
    <w:rsid w:val="00440B1D"/>
    <w:rsid w:val="0044366C"/>
    <w:rsid w:val="00444A67"/>
    <w:rsid w:val="00444F92"/>
    <w:rsid w:val="00451DF6"/>
    <w:rsid w:val="00452A58"/>
    <w:rsid w:val="00453EA5"/>
    <w:rsid w:val="00454AE2"/>
    <w:rsid w:val="00454DAA"/>
    <w:rsid w:val="004556E0"/>
    <w:rsid w:val="004558CC"/>
    <w:rsid w:val="00456A3A"/>
    <w:rsid w:val="004609D7"/>
    <w:rsid w:val="00460B88"/>
    <w:rsid w:val="004622EE"/>
    <w:rsid w:val="004626B0"/>
    <w:rsid w:val="0046312A"/>
    <w:rsid w:val="00463A14"/>
    <w:rsid w:val="004653EE"/>
    <w:rsid w:val="00466663"/>
    <w:rsid w:val="00467629"/>
    <w:rsid w:val="00467EC3"/>
    <w:rsid w:val="004709BD"/>
    <w:rsid w:val="00470E7F"/>
    <w:rsid w:val="0047120E"/>
    <w:rsid w:val="004712BE"/>
    <w:rsid w:val="004717FC"/>
    <w:rsid w:val="0047199F"/>
    <w:rsid w:val="004725F3"/>
    <w:rsid w:val="004731F8"/>
    <w:rsid w:val="00473DB8"/>
    <w:rsid w:val="00474670"/>
    <w:rsid w:val="004753AF"/>
    <w:rsid w:val="00475AF6"/>
    <w:rsid w:val="00476541"/>
    <w:rsid w:val="00476CEE"/>
    <w:rsid w:val="00477522"/>
    <w:rsid w:val="00480DB1"/>
    <w:rsid w:val="00481907"/>
    <w:rsid w:val="004837EB"/>
    <w:rsid w:val="0048392C"/>
    <w:rsid w:val="00484F26"/>
    <w:rsid w:val="00484F2D"/>
    <w:rsid w:val="00485011"/>
    <w:rsid w:val="004855CE"/>
    <w:rsid w:val="00485877"/>
    <w:rsid w:val="00486323"/>
    <w:rsid w:val="0048638F"/>
    <w:rsid w:val="00486674"/>
    <w:rsid w:val="00486F0F"/>
    <w:rsid w:val="004875DA"/>
    <w:rsid w:val="004876B4"/>
    <w:rsid w:val="0049091E"/>
    <w:rsid w:val="004912B3"/>
    <w:rsid w:val="00491388"/>
    <w:rsid w:val="00491C01"/>
    <w:rsid w:val="00492490"/>
    <w:rsid w:val="00492827"/>
    <w:rsid w:val="00493DB7"/>
    <w:rsid w:val="00493DD0"/>
    <w:rsid w:val="00495E2E"/>
    <w:rsid w:val="00495F38"/>
    <w:rsid w:val="004964DE"/>
    <w:rsid w:val="00496CF9"/>
    <w:rsid w:val="00497302"/>
    <w:rsid w:val="004979E4"/>
    <w:rsid w:val="00497D58"/>
    <w:rsid w:val="004A0AEF"/>
    <w:rsid w:val="004A243D"/>
    <w:rsid w:val="004A34E6"/>
    <w:rsid w:val="004A3CCB"/>
    <w:rsid w:val="004A4119"/>
    <w:rsid w:val="004A4F0D"/>
    <w:rsid w:val="004A676A"/>
    <w:rsid w:val="004A7144"/>
    <w:rsid w:val="004A7181"/>
    <w:rsid w:val="004A7F22"/>
    <w:rsid w:val="004B07D5"/>
    <w:rsid w:val="004B0EF4"/>
    <w:rsid w:val="004B1D6F"/>
    <w:rsid w:val="004B1FA7"/>
    <w:rsid w:val="004B1FF8"/>
    <w:rsid w:val="004B214B"/>
    <w:rsid w:val="004B5197"/>
    <w:rsid w:val="004B5A4B"/>
    <w:rsid w:val="004B72A9"/>
    <w:rsid w:val="004B74DA"/>
    <w:rsid w:val="004B7A82"/>
    <w:rsid w:val="004C0D3F"/>
    <w:rsid w:val="004C1628"/>
    <w:rsid w:val="004C1BEB"/>
    <w:rsid w:val="004C2266"/>
    <w:rsid w:val="004C2E31"/>
    <w:rsid w:val="004C3478"/>
    <w:rsid w:val="004C3A30"/>
    <w:rsid w:val="004C51F0"/>
    <w:rsid w:val="004C52B5"/>
    <w:rsid w:val="004C53F5"/>
    <w:rsid w:val="004C5E62"/>
    <w:rsid w:val="004C6CB3"/>
    <w:rsid w:val="004C74D2"/>
    <w:rsid w:val="004C75B4"/>
    <w:rsid w:val="004D0F17"/>
    <w:rsid w:val="004D12FE"/>
    <w:rsid w:val="004D1C62"/>
    <w:rsid w:val="004D301F"/>
    <w:rsid w:val="004D3FD8"/>
    <w:rsid w:val="004D6293"/>
    <w:rsid w:val="004D6F0A"/>
    <w:rsid w:val="004E0FF2"/>
    <w:rsid w:val="004E2BF2"/>
    <w:rsid w:val="004E3AC0"/>
    <w:rsid w:val="004E3BB8"/>
    <w:rsid w:val="004E4D5A"/>
    <w:rsid w:val="004E5DD0"/>
    <w:rsid w:val="004E6412"/>
    <w:rsid w:val="004F2C65"/>
    <w:rsid w:val="004F3532"/>
    <w:rsid w:val="004F59C7"/>
    <w:rsid w:val="004F5E41"/>
    <w:rsid w:val="004F665B"/>
    <w:rsid w:val="004F6C56"/>
    <w:rsid w:val="004F6EB2"/>
    <w:rsid w:val="004F6FF3"/>
    <w:rsid w:val="0050064B"/>
    <w:rsid w:val="00500878"/>
    <w:rsid w:val="005011C1"/>
    <w:rsid w:val="005013BA"/>
    <w:rsid w:val="005014C6"/>
    <w:rsid w:val="00502800"/>
    <w:rsid w:val="00502B5E"/>
    <w:rsid w:val="00502C60"/>
    <w:rsid w:val="005032D9"/>
    <w:rsid w:val="00504A85"/>
    <w:rsid w:val="00505262"/>
    <w:rsid w:val="00506603"/>
    <w:rsid w:val="00510B23"/>
    <w:rsid w:val="00510E06"/>
    <w:rsid w:val="00510FFE"/>
    <w:rsid w:val="005117E7"/>
    <w:rsid w:val="00513199"/>
    <w:rsid w:val="00513340"/>
    <w:rsid w:val="0051452B"/>
    <w:rsid w:val="00515177"/>
    <w:rsid w:val="00516E1A"/>
    <w:rsid w:val="00517C72"/>
    <w:rsid w:val="00520B14"/>
    <w:rsid w:val="00521576"/>
    <w:rsid w:val="005235D6"/>
    <w:rsid w:val="0052412D"/>
    <w:rsid w:val="00524709"/>
    <w:rsid w:val="00524782"/>
    <w:rsid w:val="0052483D"/>
    <w:rsid w:val="005252B0"/>
    <w:rsid w:val="005258C6"/>
    <w:rsid w:val="005258EA"/>
    <w:rsid w:val="005261A4"/>
    <w:rsid w:val="00526D21"/>
    <w:rsid w:val="005317CA"/>
    <w:rsid w:val="005325D3"/>
    <w:rsid w:val="00533315"/>
    <w:rsid w:val="00534F99"/>
    <w:rsid w:val="00537CC3"/>
    <w:rsid w:val="00541F9A"/>
    <w:rsid w:val="00543E22"/>
    <w:rsid w:val="00544F36"/>
    <w:rsid w:val="00545E3C"/>
    <w:rsid w:val="0054693A"/>
    <w:rsid w:val="005473BE"/>
    <w:rsid w:val="005475F4"/>
    <w:rsid w:val="005541C8"/>
    <w:rsid w:val="00554B93"/>
    <w:rsid w:val="0055507E"/>
    <w:rsid w:val="005565A3"/>
    <w:rsid w:val="00556B20"/>
    <w:rsid w:val="00556FDF"/>
    <w:rsid w:val="00561781"/>
    <w:rsid w:val="00561DBC"/>
    <w:rsid w:val="00562423"/>
    <w:rsid w:val="00562B7E"/>
    <w:rsid w:val="00563AD8"/>
    <w:rsid w:val="00564B89"/>
    <w:rsid w:val="00564BE8"/>
    <w:rsid w:val="00564F60"/>
    <w:rsid w:val="00565D5D"/>
    <w:rsid w:val="005661F8"/>
    <w:rsid w:val="0056653A"/>
    <w:rsid w:val="00566F5D"/>
    <w:rsid w:val="00567A68"/>
    <w:rsid w:val="00570D9A"/>
    <w:rsid w:val="00570E5B"/>
    <w:rsid w:val="00571B7E"/>
    <w:rsid w:val="0057246B"/>
    <w:rsid w:val="005733F7"/>
    <w:rsid w:val="00573FD8"/>
    <w:rsid w:val="00574D7D"/>
    <w:rsid w:val="0057653A"/>
    <w:rsid w:val="00580023"/>
    <w:rsid w:val="005805AE"/>
    <w:rsid w:val="0058453D"/>
    <w:rsid w:val="00584622"/>
    <w:rsid w:val="0058697F"/>
    <w:rsid w:val="00587F9B"/>
    <w:rsid w:val="005902CB"/>
    <w:rsid w:val="00590466"/>
    <w:rsid w:val="0059133F"/>
    <w:rsid w:val="005913BC"/>
    <w:rsid w:val="00592A7E"/>
    <w:rsid w:val="00594697"/>
    <w:rsid w:val="005959AD"/>
    <w:rsid w:val="00595CB5"/>
    <w:rsid w:val="005961A8"/>
    <w:rsid w:val="005A004F"/>
    <w:rsid w:val="005A02D4"/>
    <w:rsid w:val="005A1443"/>
    <w:rsid w:val="005A20BE"/>
    <w:rsid w:val="005A269D"/>
    <w:rsid w:val="005A347D"/>
    <w:rsid w:val="005A3633"/>
    <w:rsid w:val="005A3C0D"/>
    <w:rsid w:val="005A7383"/>
    <w:rsid w:val="005B01DF"/>
    <w:rsid w:val="005B07CC"/>
    <w:rsid w:val="005B20CC"/>
    <w:rsid w:val="005B27C4"/>
    <w:rsid w:val="005B2FF2"/>
    <w:rsid w:val="005B7B3C"/>
    <w:rsid w:val="005B7FC8"/>
    <w:rsid w:val="005C1909"/>
    <w:rsid w:val="005C32F1"/>
    <w:rsid w:val="005C3CB1"/>
    <w:rsid w:val="005C4003"/>
    <w:rsid w:val="005C4E04"/>
    <w:rsid w:val="005C5FCD"/>
    <w:rsid w:val="005C609F"/>
    <w:rsid w:val="005C6654"/>
    <w:rsid w:val="005C6E04"/>
    <w:rsid w:val="005C7005"/>
    <w:rsid w:val="005D0402"/>
    <w:rsid w:val="005D0C1D"/>
    <w:rsid w:val="005D1310"/>
    <w:rsid w:val="005D186F"/>
    <w:rsid w:val="005D19D6"/>
    <w:rsid w:val="005D1CF2"/>
    <w:rsid w:val="005D5184"/>
    <w:rsid w:val="005D5889"/>
    <w:rsid w:val="005D6CB4"/>
    <w:rsid w:val="005E153E"/>
    <w:rsid w:val="005E16CD"/>
    <w:rsid w:val="005E2A78"/>
    <w:rsid w:val="005E2E03"/>
    <w:rsid w:val="005E353C"/>
    <w:rsid w:val="005E5FCE"/>
    <w:rsid w:val="005E65B9"/>
    <w:rsid w:val="005F1460"/>
    <w:rsid w:val="005F17F3"/>
    <w:rsid w:val="005F35D4"/>
    <w:rsid w:val="005F3D90"/>
    <w:rsid w:val="005F49E6"/>
    <w:rsid w:val="005F5578"/>
    <w:rsid w:val="005F5FD1"/>
    <w:rsid w:val="005F6231"/>
    <w:rsid w:val="006008E1"/>
    <w:rsid w:val="006018B8"/>
    <w:rsid w:val="00601E5B"/>
    <w:rsid w:val="006035E0"/>
    <w:rsid w:val="006036F4"/>
    <w:rsid w:val="006037D7"/>
    <w:rsid w:val="00604AEB"/>
    <w:rsid w:val="006050F6"/>
    <w:rsid w:val="00610755"/>
    <w:rsid w:val="006109D3"/>
    <w:rsid w:val="006114C1"/>
    <w:rsid w:val="00611599"/>
    <w:rsid w:val="006123EF"/>
    <w:rsid w:val="00612850"/>
    <w:rsid w:val="0061478C"/>
    <w:rsid w:val="00614F32"/>
    <w:rsid w:val="00615551"/>
    <w:rsid w:val="00615C49"/>
    <w:rsid w:val="00615D10"/>
    <w:rsid w:val="006160FD"/>
    <w:rsid w:val="006215BC"/>
    <w:rsid w:val="00623537"/>
    <w:rsid w:val="00623A39"/>
    <w:rsid w:val="00625B38"/>
    <w:rsid w:val="0062641C"/>
    <w:rsid w:val="0062771C"/>
    <w:rsid w:val="0063003F"/>
    <w:rsid w:val="00633068"/>
    <w:rsid w:val="00633A4E"/>
    <w:rsid w:val="0063494B"/>
    <w:rsid w:val="00634D5E"/>
    <w:rsid w:val="00635490"/>
    <w:rsid w:val="0063635F"/>
    <w:rsid w:val="0063797A"/>
    <w:rsid w:val="00640C3C"/>
    <w:rsid w:val="00641923"/>
    <w:rsid w:val="00642B6B"/>
    <w:rsid w:val="00642ECE"/>
    <w:rsid w:val="00645426"/>
    <w:rsid w:val="00646420"/>
    <w:rsid w:val="006465B7"/>
    <w:rsid w:val="0064762F"/>
    <w:rsid w:val="0065050D"/>
    <w:rsid w:val="00650B65"/>
    <w:rsid w:val="00651A49"/>
    <w:rsid w:val="006526EF"/>
    <w:rsid w:val="00652C87"/>
    <w:rsid w:val="0065338E"/>
    <w:rsid w:val="0065396A"/>
    <w:rsid w:val="0065423D"/>
    <w:rsid w:val="00654ACA"/>
    <w:rsid w:val="006600E4"/>
    <w:rsid w:val="006606FF"/>
    <w:rsid w:val="006627C3"/>
    <w:rsid w:val="00662EC1"/>
    <w:rsid w:val="00663531"/>
    <w:rsid w:val="00663DB0"/>
    <w:rsid w:val="00664016"/>
    <w:rsid w:val="006644A1"/>
    <w:rsid w:val="00665B68"/>
    <w:rsid w:val="00666190"/>
    <w:rsid w:val="00666BA5"/>
    <w:rsid w:val="00667014"/>
    <w:rsid w:val="00670CD3"/>
    <w:rsid w:val="00671283"/>
    <w:rsid w:val="00671CF4"/>
    <w:rsid w:val="0067212B"/>
    <w:rsid w:val="00673CB4"/>
    <w:rsid w:val="00674D4D"/>
    <w:rsid w:val="006778BD"/>
    <w:rsid w:val="00680094"/>
    <w:rsid w:val="00680B41"/>
    <w:rsid w:val="006817B0"/>
    <w:rsid w:val="006819B7"/>
    <w:rsid w:val="00681D8C"/>
    <w:rsid w:val="006820F9"/>
    <w:rsid w:val="00683B92"/>
    <w:rsid w:val="00684F54"/>
    <w:rsid w:val="0068621C"/>
    <w:rsid w:val="006863A6"/>
    <w:rsid w:val="006876A8"/>
    <w:rsid w:val="00687B57"/>
    <w:rsid w:val="00690F6D"/>
    <w:rsid w:val="006916B7"/>
    <w:rsid w:val="00691A14"/>
    <w:rsid w:val="0069324D"/>
    <w:rsid w:val="006941F4"/>
    <w:rsid w:val="00694226"/>
    <w:rsid w:val="006950FC"/>
    <w:rsid w:val="00696336"/>
    <w:rsid w:val="00696E99"/>
    <w:rsid w:val="00697F67"/>
    <w:rsid w:val="006A03B9"/>
    <w:rsid w:val="006A0900"/>
    <w:rsid w:val="006A0912"/>
    <w:rsid w:val="006A151C"/>
    <w:rsid w:val="006A1F26"/>
    <w:rsid w:val="006A2D58"/>
    <w:rsid w:val="006A42A1"/>
    <w:rsid w:val="006A4380"/>
    <w:rsid w:val="006A4428"/>
    <w:rsid w:val="006A4BF2"/>
    <w:rsid w:val="006A741C"/>
    <w:rsid w:val="006A7A44"/>
    <w:rsid w:val="006B018E"/>
    <w:rsid w:val="006B0602"/>
    <w:rsid w:val="006B0C21"/>
    <w:rsid w:val="006B2527"/>
    <w:rsid w:val="006B2745"/>
    <w:rsid w:val="006B2960"/>
    <w:rsid w:val="006B2A0A"/>
    <w:rsid w:val="006B2B44"/>
    <w:rsid w:val="006B426E"/>
    <w:rsid w:val="006B5A73"/>
    <w:rsid w:val="006B7028"/>
    <w:rsid w:val="006B7573"/>
    <w:rsid w:val="006B7F88"/>
    <w:rsid w:val="006C1E52"/>
    <w:rsid w:val="006C244A"/>
    <w:rsid w:val="006C305C"/>
    <w:rsid w:val="006C35B3"/>
    <w:rsid w:val="006C38C5"/>
    <w:rsid w:val="006C4904"/>
    <w:rsid w:val="006C4AB7"/>
    <w:rsid w:val="006C50DC"/>
    <w:rsid w:val="006C5B35"/>
    <w:rsid w:val="006C72D9"/>
    <w:rsid w:val="006C7B08"/>
    <w:rsid w:val="006C7DCF"/>
    <w:rsid w:val="006D013E"/>
    <w:rsid w:val="006D058E"/>
    <w:rsid w:val="006D0A5E"/>
    <w:rsid w:val="006D0EBF"/>
    <w:rsid w:val="006D12D9"/>
    <w:rsid w:val="006D14C9"/>
    <w:rsid w:val="006D19D1"/>
    <w:rsid w:val="006D1EFD"/>
    <w:rsid w:val="006D2FAA"/>
    <w:rsid w:val="006D3438"/>
    <w:rsid w:val="006D4CD9"/>
    <w:rsid w:val="006D61D7"/>
    <w:rsid w:val="006D6632"/>
    <w:rsid w:val="006D6AFE"/>
    <w:rsid w:val="006D78FD"/>
    <w:rsid w:val="006E2486"/>
    <w:rsid w:val="006E2AA4"/>
    <w:rsid w:val="006E32F8"/>
    <w:rsid w:val="006E5CE8"/>
    <w:rsid w:val="006E6549"/>
    <w:rsid w:val="006E6B2B"/>
    <w:rsid w:val="006E78C5"/>
    <w:rsid w:val="006E7E4C"/>
    <w:rsid w:val="006F044A"/>
    <w:rsid w:val="006F0785"/>
    <w:rsid w:val="006F0E38"/>
    <w:rsid w:val="006F1F45"/>
    <w:rsid w:val="006F2040"/>
    <w:rsid w:val="006F29EA"/>
    <w:rsid w:val="006F2D93"/>
    <w:rsid w:val="006F4B05"/>
    <w:rsid w:val="006F4C9E"/>
    <w:rsid w:val="006F50FF"/>
    <w:rsid w:val="006F518E"/>
    <w:rsid w:val="00700277"/>
    <w:rsid w:val="007005F9"/>
    <w:rsid w:val="007006A4"/>
    <w:rsid w:val="00701816"/>
    <w:rsid w:val="007020CB"/>
    <w:rsid w:val="00702309"/>
    <w:rsid w:val="00702380"/>
    <w:rsid w:val="00702D44"/>
    <w:rsid w:val="00703708"/>
    <w:rsid w:val="00703B4D"/>
    <w:rsid w:val="00703C67"/>
    <w:rsid w:val="00704A1D"/>
    <w:rsid w:val="00704E8D"/>
    <w:rsid w:val="007056E8"/>
    <w:rsid w:val="007063E6"/>
    <w:rsid w:val="00706967"/>
    <w:rsid w:val="00707B2F"/>
    <w:rsid w:val="0071014B"/>
    <w:rsid w:val="007104BC"/>
    <w:rsid w:val="00710792"/>
    <w:rsid w:val="00710A85"/>
    <w:rsid w:val="007112DE"/>
    <w:rsid w:val="00711BA5"/>
    <w:rsid w:val="00712FC8"/>
    <w:rsid w:val="0071317C"/>
    <w:rsid w:val="007136E6"/>
    <w:rsid w:val="00713BF9"/>
    <w:rsid w:val="00713F6B"/>
    <w:rsid w:val="00713FB5"/>
    <w:rsid w:val="00714E31"/>
    <w:rsid w:val="00715D11"/>
    <w:rsid w:val="0071676E"/>
    <w:rsid w:val="0071681E"/>
    <w:rsid w:val="007177C5"/>
    <w:rsid w:val="0071799F"/>
    <w:rsid w:val="00717CCA"/>
    <w:rsid w:val="007202C6"/>
    <w:rsid w:val="00723853"/>
    <w:rsid w:val="00724B1C"/>
    <w:rsid w:val="00725038"/>
    <w:rsid w:val="007258D4"/>
    <w:rsid w:val="007310B5"/>
    <w:rsid w:val="007325D5"/>
    <w:rsid w:val="007328F9"/>
    <w:rsid w:val="007348BF"/>
    <w:rsid w:val="00735D49"/>
    <w:rsid w:val="007366C6"/>
    <w:rsid w:val="007403CB"/>
    <w:rsid w:val="00740720"/>
    <w:rsid w:val="00740E45"/>
    <w:rsid w:val="00742646"/>
    <w:rsid w:val="00742C0B"/>
    <w:rsid w:val="00742F94"/>
    <w:rsid w:val="007437EC"/>
    <w:rsid w:val="007459DB"/>
    <w:rsid w:val="00747563"/>
    <w:rsid w:val="00750E15"/>
    <w:rsid w:val="00751543"/>
    <w:rsid w:val="00751920"/>
    <w:rsid w:val="00752569"/>
    <w:rsid w:val="007535AF"/>
    <w:rsid w:val="007538D3"/>
    <w:rsid w:val="0075557D"/>
    <w:rsid w:val="0075592C"/>
    <w:rsid w:val="00756459"/>
    <w:rsid w:val="00757301"/>
    <w:rsid w:val="00757548"/>
    <w:rsid w:val="00757F2F"/>
    <w:rsid w:val="00760222"/>
    <w:rsid w:val="0076039E"/>
    <w:rsid w:val="00760581"/>
    <w:rsid w:val="0076099B"/>
    <w:rsid w:val="0076113E"/>
    <w:rsid w:val="00762F1D"/>
    <w:rsid w:val="00764333"/>
    <w:rsid w:val="00764568"/>
    <w:rsid w:val="00764746"/>
    <w:rsid w:val="00764F9C"/>
    <w:rsid w:val="0076674E"/>
    <w:rsid w:val="00767684"/>
    <w:rsid w:val="0076778B"/>
    <w:rsid w:val="007708DC"/>
    <w:rsid w:val="00770E5F"/>
    <w:rsid w:val="00770EB5"/>
    <w:rsid w:val="007712A7"/>
    <w:rsid w:val="00772C56"/>
    <w:rsid w:val="00772EB1"/>
    <w:rsid w:val="00773521"/>
    <w:rsid w:val="0077415C"/>
    <w:rsid w:val="00774961"/>
    <w:rsid w:val="0077518B"/>
    <w:rsid w:val="0077543B"/>
    <w:rsid w:val="007765AB"/>
    <w:rsid w:val="00776C45"/>
    <w:rsid w:val="00781227"/>
    <w:rsid w:val="00781DAC"/>
    <w:rsid w:val="00782E55"/>
    <w:rsid w:val="00783CDA"/>
    <w:rsid w:val="00783F88"/>
    <w:rsid w:val="00784DEB"/>
    <w:rsid w:val="00784EA2"/>
    <w:rsid w:val="00785235"/>
    <w:rsid w:val="00785C51"/>
    <w:rsid w:val="00785EDE"/>
    <w:rsid w:val="0078648B"/>
    <w:rsid w:val="0078717A"/>
    <w:rsid w:val="0078763D"/>
    <w:rsid w:val="00790378"/>
    <w:rsid w:val="00791CF9"/>
    <w:rsid w:val="00792303"/>
    <w:rsid w:val="00792B10"/>
    <w:rsid w:val="00792D9D"/>
    <w:rsid w:val="00793552"/>
    <w:rsid w:val="007945E3"/>
    <w:rsid w:val="00794806"/>
    <w:rsid w:val="0079514A"/>
    <w:rsid w:val="00796928"/>
    <w:rsid w:val="007969CC"/>
    <w:rsid w:val="007974FE"/>
    <w:rsid w:val="007977B7"/>
    <w:rsid w:val="007A103B"/>
    <w:rsid w:val="007A3BA6"/>
    <w:rsid w:val="007A4CA4"/>
    <w:rsid w:val="007A4F5D"/>
    <w:rsid w:val="007A53F0"/>
    <w:rsid w:val="007A5734"/>
    <w:rsid w:val="007A59F0"/>
    <w:rsid w:val="007A6606"/>
    <w:rsid w:val="007A6621"/>
    <w:rsid w:val="007A6768"/>
    <w:rsid w:val="007B0917"/>
    <w:rsid w:val="007B0E04"/>
    <w:rsid w:val="007B2230"/>
    <w:rsid w:val="007B3111"/>
    <w:rsid w:val="007B379F"/>
    <w:rsid w:val="007B4628"/>
    <w:rsid w:val="007B50CA"/>
    <w:rsid w:val="007B565F"/>
    <w:rsid w:val="007B5EAC"/>
    <w:rsid w:val="007B6C8C"/>
    <w:rsid w:val="007C0047"/>
    <w:rsid w:val="007C148B"/>
    <w:rsid w:val="007C2ED3"/>
    <w:rsid w:val="007C34C8"/>
    <w:rsid w:val="007C3ACF"/>
    <w:rsid w:val="007C43B1"/>
    <w:rsid w:val="007C44D6"/>
    <w:rsid w:val="007C46A2"/>
    <w:rsid w:val="007C6696"/>
    <w:rsid w:val="007C7956"/>
    <w:rsid w:val="007C7BE3"/>
    <w:rsid w:val="007C7E2D"/>
    <w:rsid w:val="007D268A"/>
    <w:rsid w:val="007D2AF8"/>
    <w:rsid w:val="007D2C3E"/>
    <w:rsid w:val="007D3212"/>
    <w:rsid w:val="007D33B6"/>
    <w:rsid w:val="007D3E16"/>
    <w:rsid w:val="007D4704"/>
    <w:rsid w:val="007D495A"/>
    <w:rsid w:val="007D4E1E"/>
    <w:rsid w:val="007D5415"/>
    <w:rsid w:val="007D5474"/>
    <w:rsid w:val="007D669B"/>
    <w:rsid w:val="007E1C5C"/>
    <w:rsid w:val="007E2C2B"/>
    <w:rsid w:val="007E2DB2"/>
    <w:rsid w:val="007E3139"/>
    <w:rsid w:val="007E372B"/>
    <w:rsid w:val="007E429C"/>
    <w:rsid w:val="007E515B"/>
    <w:rsid w:val="007E6C3A"/>
    <w:rsid w:val="007E6F03"/>
    <w:rsid w:val="007E70D2"/>
    <w:rsid w:val="007E761E"/>
    <w:rsid w:val="007E76D9"/>
    <w:rsid w:val="007F0372"/>
    <w:rsid w:val="007F2599"/>
    <w:rsid w:val="007F6B20"/>
    <w:rsid w:val="007F6EC8"/>
    <w:rsid w:val="007F7592"/>
    <w:rsid w:val="0080066A"/>
    <w:rsid w:val="00802C15"/>
    <w:rsid w:val="00803E34"/>
    <w:rsid w:val="00805EA6"/>
    <w:rsid w:val="008071B2"/>
    <w:rsid w:val="008078EC"/>
    <w:rsid w:val="00810885"/>
    <w:rsid w:val="00810D08"/>
    <w:rsid w:val="0081128E"/>
    <w:rsid w:val="00812B59"/>
    <w:rsid w:val="00813180"/>
    <w:rsid w:val="00815058"/>
    <w:rsid w:val="0081535F"/>
    <w:rsid w:val="008164CB"/>
    <w:rsid w:val="0081656C"/>
    <w:rsid w:val="00816EF1"/>
    <w:rsid w:val="00817660"/>
    <w:rsid w:val="00817D2D"/>
    <w:rsid w:val="008201A7"/>
    <w:rsid w:val="008202C6"/>
    <w:rsid w:val="008217DC"/>
    <w:rsid w:val="00821D22"/>
    <w:rsid w:val="008259A4"/>
    <w:rsid w:val="00826132"/>
    <w:rsid w:val="00826761"/>
    <w:rsid w:val="0082679A"/>
    <w:rsid w:val="00827254"/>
    <w:rsid w:val="008273A0"/>
    <w:rsid w:val="00827490"/>
    <w:rsid w:val="00833628"/>
    <w:rsid w:val="00834F19"/>
    <w:rsid w:val="00835E66"/>
    <w:rsid w:val="00836025"/>
    <w:rsid w:val="0083793D"/>
    <w:rsid w:val="00840469"/>
    <w:rsid w:val="00840AB4"/>
    <w:rsid w:val="0084180B"/>
    <w:rsid w:val="00841DC5"/>
    <w:rsid w:val="00843BA5"/>
    <w:rsid w:val="00844000"/>
    <w:rsid w:val="00845EC2"/>
    <w:rsid w:val="0084644C"/>
    <w:rsid w:val="008467BB"/>
    <w:rsid w:val="00846A1A"/>
    <w:rsid w:val="00846EF6"/>
    <w:rsid w:val="00847B79"/>
    <w:rsid w:val="0085072E"/>
    <w:rsid w:val="0085106F"/>
    <w:rsid w:val="00852A23"/>
    <w:rsid w:val="00853650"/>
    <w:rsid w:val="008546C8"/>
    <w:rsid w:val="00856B4B"/>
    <w:rsid w:val="008606C9"/>
    <w:rsid w:val="00861647"/>
    <w:rsid w:val="00861737"/>
    <w:rsid w:val="008621C2"/>
    <w:rsid w:val="008623C3"/>
    <w:rsid w:val="00862FA7"/>
    <w:rsid w:val="008633EA"/>
    <w:rsid w:val="0086471E"/>
    <w:rsid w:val="00865DA7"/>
    <w:rsid w:val="00865ECE"/>
    <w:rsid w:val="0087202C"/>
    <w:rsid w:val="008737D7"/>
    <w:rsid w:val="008752AF"/>
    <w:rsid w:val="008753B2"/>
    <w:rsid w:val="008766F2"/>
    <w:rsid w:val="008767B2"/>
    <w:rsid w:val="00877934"/>
    <w:rsid w:val="00877D70"/>
    <w:rsid w:val="00877E0C"/>
    <w:rsid w:val="00877F3D"/>
    <w:rsid w:val="00880D9B"/>
    <w:rsid w:val="00881734"/>
    <w:rsid w:val="00881E07"/>
    <w:rsid w:val="00882783"/>
    <w:rsid w:val="00882E3B"/>
    <w:rsid w:val="008842CD"/>
    <w:rsid w:val="00884E46"/>
    <w:rsid w:val="008850BE"/>
    <w:rsid w:val="0088520C"/>
    <w:rsid w:val="008853F1"/>
    <w:rsid w:val="00886E46"/>
    <w:rsid w:val="008906FA"/>
    <w:rsid w:val="0089074F"/>
    <w:rsid w:val="00890D97"/>
    <w:rsid w:val="00891133"/>
    <w:rsid w:val="0089288B"/>
    <w:rsid w:val="0089430F"/>
    <w:rsid w:val="00894E3A"/>
    <w:rsid w:val="008954C5"/>
    <w:rsid w:val="008A0C06"/>
    <w:rsid w:val="008A1923"/>
    <w:rsid w:val="008A1F64"/>
    <w:rsid w:val="008A2261"/>
    <w:rsid w:val="008A3DA7"/>
    <w:rsid w:val="008A47FD"/>
    <w:rsid w:val="008A4D12"/>
    <w:rsid w:val="008A6911"/>
    <w:rsid w:val="008A758C"/>
    <w:rsid w:val="008A7A8E"/>
    <w:rsid w:val="008A7AF6"/>
    <w:rsid w:val="008B0428"/>
    <w:rsid w:val="008B0FB9"/>
    <w:rsid w:val="008B15F1"/>
    <w:rsid w:val="008B163C"/>
    <w:rsid w:val="008B20D2"/>
    <w:rsid w:val="008B3327"/>
    <w:rsid w:val="008B649E"/>
    <w:rsid w:val="008B6874"/>
    <w:rsid w:val="008B689A"/>
    <w:rsid w:val="008C02AC"/>
    <w:rsid w:val="008C133B"/>
    <w:rsid w:val="008C1818"/>
    <w:rsid w:val="008C2A9D"/>
    <w:rsid w:val="008C2B47"/>
    <w:rsid w:val="008C3945"/>
    <w:rsid w:val="008C4DAC"/>
    <w:rsid w:val="008C53D0"/>
    <w:rsid w:val="008C60DA"/>
    <w:rsid w:val="008C65A4"/>
    <w:rsid w:val="008C6EA3"/>
    <w:rsid w:val="008C736E"/>
    <w:rsid w:val="008C7388"/>
    <w:rsid w:val="008C7738"/>
    <w:rsid w:val="008C7A6B"/>
    <w:rsid w:val="008D051A"/>
    <w:rsid w:val="008D2C44"/>
    <w:rsid w:val="008D4898"/>
    <w:rsid w:val="008D4F97"/>
    <w:rsid w:val="008D5E02"/>
    <w:rsid w:val="008D5E13"/>
    <w:rsid w:val="008D7BBE"/>
    <w:rsid w:val="008E01D2"/>
    <w:rsid w:val="008E047C"/>
    <w:rsid w:val="008E1353"/>
    <w:rsid w:val="008E36A5"/>
    <w:rsid w:val="008E3845"/>
    <w:rsid w:val="008E5BB8"/>
    <w:rsid w:val="008E5CAD"/>
    <w:rsid w:val="008E6F6D"/>
    <w:rsid w:val="008F02E5"/>
    <w:rsid w:val="008F06B3"/>
    <w:rsid w:val="008F0A72"/>
    <w:rsid w:val="008F26D7"/>
    <w:rsid w:val="008F385A"/>
    <w:rsid w:val="008F39F9"/>
    <w:rsid w:val="008F4415"/>
    <w:rsid w:val="008F444E"/>
    <w:rsid w:val="008F5388"/>
    <w:rsid w:val="008F639A"/>
    <w:rsid w:val="008F68B7"/>
    <w:rsid w:val="008F7087"/>
    <w:rsid w:val="00900388"/>
    <w:rsid w:val="00901302"/>
    <w:rsid w:val="00901E26"/>
    <w:rsid w:val="009047D7"/>
    <w:rsid w:val="0090526C"/>
    <w:rsid w:val="0090568B"/>
    <w:rsid w:val="009058B1"/>
    <w:rsid w:val="009075FD"/>
    <w:rsid w:val="00910710"/>
    <w:rsid w:val="00910A3F"/>
    <w:rsid w:val="00911849"/>
    <w:rsid w:val="0091350E"/>
    <w:rsid w:val="00916092"/>
    <w:rsid w:val="00916721"/>
    <w:rsid w:val="00916DF4"/>
    <w:rsid w:val="009176E2"/>
    <w:rsid w:val="00921D4C"/>
    <w:rsid w:val="0092251F"/>
    <w:rsid w:val="009230CE"/>
    <w:rsid w:val="009231B5"/>
    <w:rsid w:val="00923363"/>
    <w:rsid w:val="00924877"/>
    <w:rsid w:val="00924C79"/>
    <w:rsid w:val="00925183"/>
    <w:rsid w:val="00926662"/>
    <w:rsid w:val="00931134"/>
    <w:rsid w:val="00931213"/>
    <w:rsid w:val="009312AF"/>
    <w:rsid w:val="00931774"/>
    <w:rsid w:val="00931AF2"/>
    <w:rsid w:val="00933ABC"/>
    <w:rsid w:val="009346D9"/>
    <w:rsid w:val="00935929"/>
    <w:rsid w:val="00935EDD"/>
    <w:rsid w:val="0094047A"/>
    <w:rsid w:val="00941AA6"/>
    <w:rsid w:val="00942F33"/>
    <w:rsid w:val="00943BDE"/>
    <w:rsid w:val="00943BDF"/>
    <w:rsid w:val="00944C4D"/>
    <w:rsid w:val="0094560D"/>
    <w:rsid w:val="00946D42"/>
    <w:rsid w:val="00947239"/>
    <w:rsid w:val="0095099B"/>
    <w:rsid w:val="00951AE4"/>
    <w:rsid w:val="00952304"/>
    <w:rsid w:val="009525BC"/>
    <w:rsid w:val="00952903"/>
    <w:rsid w:val="0095310E"/>
    <w:rsid w:val="0095507B"/>
    <w:rsid w:val="00955276"/>
    <w:rsid w:val="00956FA8"/>
    <w:rsid w:val="009601F4"/>
    <w:rsid w:val="00960AAE"/>
    <w:rsid w:val="0096466B"/>
    <w:rsid w:val="00965E3F"/>
    <w:rsid w:val="00966220"/>
    <w:rsid w:val="00966E62"/>
    <w:rsid w:val="00970DD4"/>
    <w:rsid w:val="00971832"/>
    <w:rsid w:val="00972B7A"/>
    <w:rsid w:val="00972C2C"/>
    <w:rsid w:val="00973131"/>
    <w:rsid w:val="0097474D"/>
    <w:rsid w:val="009761CB"/>
    <w:rsid w:val="0097647D"/>
    <w:rsid w:val="009768A2"/>
    <w:rsid w:val="00976A79"/>
    <w:rsid w:val="009771A6"/>
    <w:rsid w:val="00977653"/>
    <w:rsid w:val="0098002B"/>
    <w:rsid w:val="00980916"/>
    <w:rsid w:val="00981736"/>
    <w:rsid w:val="00982AB3"/>
    <w:rsid w:val="00982C31"/>
    <w:rsid w:val="00982C61"/>
    <w:rsid w:val="00984455"/>
    <w:rsid w:val="0098457B"/>
    <w:rsid w:val="00984BC1"/>
    <w:rsid w:val="00984BD6"/>
    <w:rsid w:val="00984DF4"/>
    <w:rsid w:val="009864C5"/>
    <w:rsid w:val="009869C3"/>
    <w:rsid w:val="00986CF3"/>
    <w:rsid w:val="00987698"/>
    <w:rsid w:val="00990129"/>
    <w:rsid w:val="0099287D"/>
    <w:rsid w:val="00992A2B"/>
    <w:rsid w:val="009933FF"/>
    <w:rsid w:val="0099428C"/>
    <w:rsid w:val="00996563"/>
    <w:rsid w:val="00996645"/>
    <w:rsid w:val="009A0CD0"/>
    <w:rsid w:val="009A13E8"/>
    <w:rsid w:val="009A15DB"/>
    <w:rsid w:val="009A3944"/>
    <w:rsid w:val="009A40D9"/>
    <w:rsid w:val="009A4DB9"/>
    <w:rsid w:val="009A5173"/>
    <w:rsid w:val="009A519E"/>
    <w:rsid w:val="009A6CCD"/>
    <w:rsid w:val="009A790E"/>
    <w:rsid w:val="009A7A67"/>
    <w:rsid w:val="009B03D4"/>
    <w:rsid w:val="009B0694"/>
    <w:rsid w:val="009B334D"/>
    <w:rsid w:val="009B3571"/>
    <w:rsid w:val="009B3ECA"/>
    <w:rsid w:val="009B441F"/>
    <w:rsid w:val="009B461E"/>
    <w:rsid w:val="009B583F"/>
    <w:rsid w:val="009B6212"/>
    <w:rsid w:val="009B73B9"/>
    <w:rsid w:val="009C01E5"/>
    <w:rsid w:val="009C0715"/>
    <w:rsid w:val="009C1512"/>
    <w:rsid w:val="009C2663"/>
    <w:rsid w:val="009C353E"/>
    <w:rsid w:val="009C3565"/>
    <w:rsid w:val="009C3E83"/>
    <w:rsid w:val="009C41F3"/>
    <w:rsid w:val="009C5544"/>
    <w:rsid w:val="009C55B9"/>
    <w:rsid w:val="009C55E5"/>
    <w:rsid w:val="009C64B2"/>
    <w:rsid w:val="009C7A87"/>
    <w:rsid w:val="009D0AA4"/>
    <w:rsid w:val="009D26F1"/>
    <w:rsid w:val="009D30B4"/>
    <w:rsid w:val="009D5AA0"/>
    <w:rsid w:val="009D6331"/>
    <w:rsid w:val="009D6556"/>
    <w:rsid w:val="009D655F"/>
    <w:rsid w:val="009D6D34"/>
    <w:rsid w:val="009D6E20"/>
    <w:rsid w:val="009D7093"/>
    <w:rsid w:val="009D71AB"/>
    <w:rsid w:val="009D71BB"/>
    <w:rsid w:val="009D7562"/>
    <w:rsid w:val="009E05B7"/>
    <w:rsid w:val="009E0B2C"/>
    <w:rsid w:val="009E0D12"/>
    <w:rsid w:val="009E1523"/>
    <w:rsid w:val="009E15D6"/>
    <w:rsid w:val="009E1967"/>
    <w:rsid w:val="009E2C7E"/>
    <w:rsid w:val="009E30D2"/>
    <w:rsid w:val="009E3B02"/>
    <w:rsid w:val="009E4A97"/>
    <w:rsid w:val="009E4C55"/>
    <w:rsid w:val="009E4F1C"/>
    <w:rsid w:val="009E5294"/>
    <w:rsid w:val="009E54F3"/>
    <w:rsid w:val="009E6645"/>
    <w:rsid w:val="009E7BF5"/>
    <w:rsid w:val="009F0A7A"/>
    <w:rsid w:val="009F0EC5"/>
    <w:rsid w:val="009F12C3"/>
    <w:rsid w:val="009F1D35"/>
    <w:rsid w:val="009F40B1"/>
    <w:rsid w:val="009F4694"/>
    <w:rsid w:val="009F5D15"/>
    <w:rsid w:val="009F6D83"/>
    <w:rsid w:val="009F6FBF"/>
    <w:rsid w:val="009F719F"/>
    <w:rsid w:val="00A0010E"/>
    <w:rsid w:val="00A014DF"/>
    <w:rsid w:val="00A01ADB"/>
    <w:rsid w:val="00A03962"/>
    <w:rsid w:val="00A04112"/>
    <w:rsid w:val="00A066E1"/>
    <w:rsid w:val="00A06B58"/>
    <w:rsid w:val="00A06CAE"/>
    <w:rsid w:val="00A1013F"/>
    <w:rsid w:val="00A11367"/>
    <w:rsid w:val="00A11C97"/>
    <w:rsid w:val="00A12A6D"/>
    <w:rsid w:val="00A13DA6"/>
    <w:rsid w:val="00A13DC2"/>
    <w:rsid w:val="00A15701"/>
    <w:rsid w:val="00A15F97"/>
    <w:rsid w:val="00A17494"/>
    <w:rsid w:val="00A20881"/>
    <w:rsid w:val="00A20B58"/>
    <w:rsid w:val="00A20DA3"/>
    <w:rsid w:val="00A213EA"/>
    <w:rsid w:val="00A24AD9"/>
    <w:rsid w:val="00A254EA"/>
    <w:rsid w:val="00A260ED"/>
    <w:rsid w:val="00A26C2C"/>
    <w:rsid w:val="00A26E1E"/>
    <w:rsid w:val="00A273A8"/>
    <w:rsid w:val="00A27B29"/>
    <w:rsid w:val="00A27C06"/>
    <w:rsid w:val="00A27D94"/>
    <w:rsid w:val="00A30192"/>
    <w:rsid w:val="00A312C6"/>
    <w:rsid w:val="00A3130F"/>
    <w:rsid w:val="00A32A34"/>
    <w:rsid w:val="00A33434"/>
    <w:rsid w:val="00A34BA8"/>
    <w:rsid w:val="00A36E4A"/>
    <w:rsid w:val="00A3767F"/>
    <w:rsid w:val="00A439AE"/>
    <w:rsid w:val="00A44B8A"/>
    <w:rsid w:val="00A45E69"/>
    <w:rsid w:val="00A51007"/>
    <w:rsid w:val="00A513B2"/>
    <w:rsid w:val="00A53163"/>
    <w:rsid w:val="00A538A1"/>
    <w:rsid w:val="00A54253"/>
    <w:rsid w:val="00A54A31"/>
    <w:rsid w:val="00A54FC8"/>
    <w:rsid w:val="00A57835"/>
    <w:rsid w:val="00A60FEC"/>
    <w:rsid w:val="00A6285D"/>
    <w:rsid w:val="00A62A09"/>
    <w:rsid w:val="00A644A0"/>
    <w:rsid w:val="00A6459D"/>
    <w:rsid w:val="00A648BE"/>
    <w:rsid w:val="00A6520E"/>
    <w:rsid w:val="00A65AA0"/>
    <w:rsid w:val="00A65C2D"/>
    <w:rsid w:val="00A65C51"/>
    <w:rsid w:val="00A65D77"/>
    <w:rsid w:val="00A668FD"/>
    <w:rsid w:val="00A67089"/>
    <w:rsid w:val="00A672AE"/>
    <w:rsid w:val="00A67A25"/>
    <w:rsid w:val="00A67D7B"/>
    <w:rsid w:val="00A71372"/>
    <w:rsid w:val="00A740A5"/>
    <w:rsid w:val="00A748C0"/>
    <w:rsid w:val="00A74EFD"/>
    <w:rsid w:val="00A75A62"/>
    <w:rsid w:val="00A75B90"/>
    <w:rsid w:val="00A76335"/>
    <w:rsid w:val="00A76908"/>
    <w:rsid w:val="00A770CF"/>
    <w:rsid w:val="00A774E3"/>
    <w:rsid w:val="00A80820"/>
    <w:rsid w:val="00A80E97"/>
    <w:rsid w:val="00A82D19"/>
    <w:rsid w:val="00A835F0"/>
    <w:rsid w:val="00A83E2E"/>
    <w:rsid w:val="00A83ED0"/>
    <w:rsid w:val="00A84445"/>
    <w:rsid w:val="00A8655E"/>
    <w:rsid w:val="00A932D1"/>
    <w:rsid w:val="00A93622"/>
    <w:rsid w:val="00A93CAF"/>
    <w:rsid w:val="00A93D59"/>
    <w:rsid w:val="00A94510"/>
    <w:rsid w:val="00A9496B"/>
    <w:rsid w:val="00A95F79"/>
    <w:rsid w:val="00A96989"/>
    <w:rsid w:val="00A974C7"/>
    <w:rsid w:val="00A975D1"/>
    <w:rsid w:val="00A97EE8"/>
    <w:rsid w:val="00AA048D"/>
    <w:rsid w:val="00AA24F6"/>
    <w:rsid w:val="00AA28BB"/>
    <w:rsid w:val="00AA31E6"/>
    <w:rsid w:val="00AA3206"/>
    <w:rsid w:val="00AA321D"/>
    <w:rsid w:val="00AA3377"/>
    <w:rsid w:val="00AA35DE"/>
    <w:rsid w:val="00AA3E01"/>
    <w:rsid w:val="00AA4168"/>
    <w:rsid w:val="00AA5609"/>
    <w:rsid w:val="00AA7851"/>
    <w:rsid w:val="00AA7910"/>
    <w:rsid w:val="00AA7911"/>
    <w:rsid w:val="00AB1BD2"/>
    <w:rsid w:val="00AB34DE"/>
    <w:rsid w:val="00AB3614"/>
    <w:rsid w:val="00AB4DB5"/>
    <w:rsid w:val="00AB52DB"/>
    <w:rsid w:val="00AB594D"/>
    <w:rsid w:val="00AB5AB4"/>
    <w:rsid w:val="00AB5DA6"/>
    <w:rsid w:val="00AB6EB2"/>
    <w:rsid w:val="00AC4606"/>
    <w:rsid w:val="00AC4973"/>
    <w:rsid w:val="00AC4D04"/>
    <w:rsid w:val="00AC545C"/>
    <w:rsid w:val="00AC594B"/>
    <w:rsid w:val="00AC66F9"/>
    <w:rsid w:val="00AC6D78"/>
    <w:rsid w:val="00AC6FAD"/>
    <w:rsid w:val="00AC71B2"/>
    <w:rsid w:val="00AC72F4"/>
    <w:rsid w:val="00AD2370"/>
    <w:rsid w:val="00AD29CB"/>
    <w:rsid w:val="00AD2E14"/>
    <w:rsid w:val="00AD2E8C"/>
    <w:rsid w:val="00AD3665"/>
    <w:rsid w:val="00AD38FE"/>
    <w:rsid w:val="00AD3A1B"/>
    <w:rsid w:val="00AD4636"/>
    <w:rsid w:val="00AD4B0D"/>
    <w:rsid w:val="00AD4FE0"/>
    <w:rsid w:val="00AD52FC"/>
    <w:rsid w:val="00AD5665"/>
    <w:rsid w:val="00AD5B41"/>
    <w:rsid w:val="00AD7B55"/>
    <w:rsid w:val="00AD7C7A"/>
    <w:rsid w:val="00AE03FA"/>
    <w:rsid w:val="00AE0C8F"/>
    <w:rsid w:val="00AE0F81"/>
    <w:rsid w:val="00AE27A1"/>
    <w:rsid w:val="00AE2C4D"/>
    <w:rsid w:val="00AE30BF"/>
    <w:rsid w:val="00AE323D"/>
    <w:rsid w:val="00AE3A22"/>
    <w:rsid w:val="00AE3AF5"/>
    <w:rsid w:val="00AE70E9"/>
    <w:rsid w:val="00AE73DD"/>
    <w:rsid w:val="00AF0317"/>
    <w:rsid w:val="00AF0EF2"/>
    <w:rsid w:val="00AF158F"/>
    <w:rsid w:val="00AF1A1F"/>
    <w:rsid w:val="00AF23D0"/>
    <w:rsid w:val="00AF2AB1"/>
    <w:rsid w:val="00AF373E"/>
    <w:rsid w:val="00AF3C98"/>
    <w:rsid w:val="00AF4C4B"/>
    <w:rsid w:val="00AF5AC4"/>
    <w:rsid w:val="00AF5C95"/>
    <w:rsid w:val="00AF63AC"/>
    <w:rsid w:val="00AF652E"/>
    <w:rsid w:val="00B00C12"/>
    <w:rsid w:val="00B00C25"/>
    <w:rsid w:val="00B017D7"/>
    <w:rsid w:val="00B01F64"/>
    <w:rsid w:val="00B023D5"/>
    <w:rsid w:val="00B027ED"/>
    <w:rsid w:val="00B04607"/>
    <w:rsid w:val="00B04857"/>
    <w:rsid w:val="00B0562F"/>
    <w:rsid w:val="00B060DC"/>
    <w:rsid w:val="00B06E34"/>
    <w:rsid w:val="00B06FC6"/>
    <w:rsid w:val="00B07A46"/>
    <w:rsid w:val="00B07C9B"/>
    <w:rsid w:val="00B10E39"/>
    <w:rsid w:val="00B10EE4"/>
    <w:rsid w:val="00B12D18"/>
    <w:rsid w:val="00B1308E"/>
    <w:rsid w:val="00B14336"/>
    <w:rsid w:val="00B17113"/>
    <w:rsid w:val="00B1790A"/>
    <w:rsid w:val="00B20A60"/>
    <w:rsid w:val="00B2129F"/>
    <w:rsid w:val="00B22074"/>
    <w:rsid w:val="00B22280"/>
    <w:rsid w:val="00B23409"/>
    <w:rsid w:val="00B24E48"/>
    <w:rsid w:val="00B261AD"/>
    <w:rsid w:val="00B2678B"/>
    <w:rsid w:val="00B26D5E"/>
    <w:rsid w:val="00B27426"/>
    <w:rsid w:val="00B3019E"/>
    <w:rsid w:val="00B30F24"/>
    <w:rsid w:val="00B3279E"/>
    <w:rsid w:val="00B32ED0"/>
    <w:rsid w:val="00B33917"/>
    <w:rsid w:val="00B349CB"/>
    <w:rsid w:val="00B34CD1"/>
    <w:rsid w:val="00B35565"/>
    <w:rsid w:val="00B36985"/>
    <w:rsid w:val="00B369CE"/>
    <w:rsid w:val="00B37A15"/>
    <w:rsid w:val="00B4030E"/>
    <w:rsid w:val="00B40485"/>
    <w:rsid w:val="00B41124"/>
    <w:rsid w:val="00B41A7A"/>
    <w:rsid w:val="00B4204F"/>
    <w:rsid w:val="00B42224"/>
    <w:rsid w:val="00B42CD5"/>
    <w:rsid w:val="00B42D0D"/>
    <w:rsid w:val="00B436B7"/>
    <w:rsid w:val="00B43E7C"/>
    <w:rsid w:val="00B45767"/>
    <w:rsid w:val="00B46969"/>
    <w:rsid w:val="00B47241"/>
    <w:rsid w:val="00B47D56"/>
    <w:rsid w:val="00B47EC6"/>
    <w:rsid w:val="00B503C2"/>
    <w:rsid w:val="00B50EA5"/>
    <w:rsid w:val="00B51B96"/>
    <w:rsid w:val="00B52E6C"/>
    <w:rsid w:val="00B5333C"/>
    <w:rsid w:val="00B53571"/>
    <w:rsid w:val="00B537EC"/>
    <w:rsid w:val="00B546EA"/>
    <w:rsid w:val="00B54AC5"/>
    <w:rsid w:val="00B56252"/>
    <w:rsid w:val="00B563C8"/>
    <w:rsid w:val="00B56FAC"/>
    <w:rsid w:val="00B57119"/>
    <w:rsid w:val="00B6173A"/>
    <w:rsid w:val="00B63EB8"/>
    <w:rsid w:val="00B655D9"/>
    <w:rsid w:val="00B655FC"/>
    <w:rsid w:val="00B66AB5"/>
    <w:rsid w:val="00B706C0"/>
    <w:rsid w:val="00B70C17"/>
    <w:rsid w:val="00B71921"/>
    <w:rsid w:val="00B72425"/>
    <w:rsid w:val="00B72AB0"/>
    <w:rsid w:val="00B73186"/>
    <w:rsid w:val="00B76108"/>
    <w:rsid w:val="00B7670E"/>
    <w:rsid w:val="00B80BDB"/>
    <w:rsid w:val="00B822CB"/>
    <w:rsid w:val="00B84795"/>
    <w:rsid w:val="00B849C3"/>
    <w:rsid w:val="00B84D18"/>
    <w:rsid w:val="00B84E13"/>
    <w:rsid w:val="00B853C4"/>
    <w:rsid w:val="00B8541B"/>
    <w:rsid w:val="00B868E2"/>
    <w:rsid w:val="00B87F2D"/>
    <w:rsid w:val="00B91DDB"/>
    <w:rsid w:val="00B91DE1"/>
    <w:rsid w:val="00B9241C"/>
    <w:rsid w:val="00B9382A"/>
    <w:rsid w:val="00B93A0C"/>
    <w:rsid w:val="00B94457"/>
    <w:rsid w:val="00B944AB"/>
    <w:rsid w:val="00B95A67"/>
    <w:rsid w:val="00B95BA5"/>
    <w:rsid w:val="00B96B0B"/>
    <w:rsid w:val="00B97884"/>
    <w:rsid w:val="00BA023A"/>
    <w:rsid w:val="00BA0B04"/>
    <w:rsid w:val="00BA166F"/>
    <w:rsid w:val="00BA20E5"/>
    <w:rsid w:val="00BA2AFD"/>
    <w:rsid w:val="00BA2B5F"/>
    <w:rsid w:val="00BA43BC"/>
    <w:rsid w:val="00BA4B64"/>
    <w:rsid w:val="00BA5FF8"/>
    <w:rsid w:val="00BA641F"/>
    <w:rsid w:val="00BA6AB2"/>
    <w:rsid w:val="00BA6FF9"/>
    <w:rsid w:val="00BA7CC6"/>
    <w:rsid w:val="00BA7D9D"/>
    <w:rsid w:val="00BB085E"/>
    <w:rsid w:val="00BB08D9"/>
    <w:rsid w:val="00BB0B8D"/>
    <w:rsid w:val="00BB2163"/>
    <w:rsid w:val="00BB30CE"/>
    <w:rsid w:val="00BB36B8"/>
    <w:rsid w:val="00BB3E3E"/>
    <w:rsid w:val="00BB4913"/>
    <w:rsid w:val="00BB5B70"/>
    <w:rsid w:val="00BB6522"/>
    <w:rsid w:val="00BB6CC6"/>
    <w:rsid w:val="00BB6F10"/>
    <w:rsid w:val="00BB7064"/>
    <w:rsid w:val="00BB745C"/>
    <w:rsid w:val="00BB795B"/>
    <w:rsid w:val="00BC0803"/>
    <w:rsid w:val="00BC0E1F"/>
    <w:rsid w:val="00BC2B7A"/>
    <w:rsid w:val="00BC2E43"/>
    <w:rsid w:val="00BC410A"/>
    <w:rsid w:val="00BC46CD"/>
    <w:rsid w:val="00BC5525"/>
    <w:rsid w:val="00BC57F0"/>
    <w:rsid w:val="00BC6CB7"/>
    <w:rsid w:val="00BC6F6F"/>
    <w:rsid w:val="00BC75C9"/>
    <w:rsid w:val="00BC7D29"/>
    <w:rsid w:val="00BD0A11"/>
    <w:rsid w:val="00BD19DB"/>
    <w:rsid w:val="00BD1C79"/>
    <w:rsid w:val="00BD24AA"/>
    <w:rsid w:val="00BD278C"/>
    <w:rsid w:val="00BD3BAE"/>
    <w:rsid w:val="00BD3DFE"/>
    <w:rsid w:val="00BD5CE6"/>
    <w:rsid w:val="00BD6DDE"/>
    <w:rsid w:val="00BD7245"/>
    <w:rsid w:val="00BD73D9"/>
    <w:rsid w:val="00BD745D"/>
    <w:rsid w:val="00BD7582"/>
    <w:rsid w:val="00BE02A4"/>
    <w:rsid w:val="00BE3589"/>
    <w:rsid w:val="00BE37D2"/>
    <w:rsid w:val="00BE493E"/>
    <w:rsid w:val="00BE5F7B"/>
    <w:rsid w:val="00BE67A6"/>
    <w:rsid w:val="00BE6F63"/>
    <w:rsid w:val="00BE775B"/>
    <w:rsid w:val="00BE78E7"/>
    <w:rsid w:val="00BF09DD"/>
    <w:rsid w:val="00BF127E"/>
    <w:rsid w:val="00BF2ACE"/>
    <w:rsid w:val="00BF3AFE"/>
    <w:rsid w:val="00BF4248"/>
    <w:rsid w:val="00BF42E8"/>
    <w:rsid w:val="00BF69E1"/>
    <w:rsid w:val="00BF74F7"/>
    <w:rsid w:val="00C00BDE"/>
    <w:rsid w:val="00C00CE3"/>
    <w:rsid w:val="00C00D98"/>
    <w:rsid w:val="00C01770"/>
    <w:rsid w:val="00C01C3D"/>
    <w:rsid w:val="00C0204A"/>
    <w:rsid w:val="00C03B3C"/>
    <w:rsid w:val="00C0483E"/>
    <w:rsid w:val="00C05E20"/>
    <w:rsid w:val="00C063AD"/>
    <w:rsid w:val="00C10E4A"/>
    <w:rsid w:val="00C11E2F"/>
    <w:rsid w:val="00C135D5"/>
    <w:rsid w:val="00C13A88"/>
    <w:rsid w:val="00C1449B"/>
    <w:rsid w:val="00C148F2"/>
    <w:rsid w:val="00C15B30"/>
    <w:rsid w:val="00C16E47"/>
    <w:rsid w:val="00C16FBC"/>
    <w:rsid w:val="00C17121"/>
    <w:rsid w:val="00C202F4"/>
    <w:rsid w:val="00C20B36"/>
    <w:rsid w:val="00C21734"/>
    <w:rsid w:val="00C255FB"/>
    <w:rsid w:val="00C26023"/>
    <w:rsid w:val="00C26F14"/>
    <w:rsid w:val="00C27BAE"/>
    <w:rsid w:val="00C313B7"/>
    <w:rsid w:val="00C32EC3"/>
    <w:rsid w:val="00C33A14"/>
    <w:rsid w:val="00C343F4"/>
    <w:rsid w:val="00C3445E"/>
    <w:rsid w:val="00C349CC"/>
    <w:rsid w:val="00C34EF4"/>
    <w:rsid w:val="00C34F0A"/>
    <w:rsid w:val="00C35C4A"/>
    <w:rsid w:val="00C36028"/>
    <w:rsid w:val="00C36347"/>
    <w:rsid w:val="00C36E8A"/>
    <w:rsid w:val="00C3798C"/>
    <w:rsid w:val="00C37E89"/>
    <w:rsid w:val="00C4038E"/>
    <w:rsid w:val="00C40BD5"/>
    <w:rsid w:val="00C41DA4"/>
    <w:rsid w:val="00C41F42"/>
    <w:rsid w:val="00C43C6A"/>
    <w:rsid w:val="00C43F6E"/>
    <w:rsid w:val="00C4583B"/>
    <w:rsid w:val="00C45BF3"/>
    <w:rsid w:val="00C47364"/>
    <w:rsid w:val="00C478FC"/>
    <w:rsid w:val="00C47B26"/>
    <w:rsid w:val="00C51B04"/>
    <w:rsid w:val="00C53D52"/>
    <w:rsid w:val="00C53E94"/>
    <w:rsid w:val="00C55654"/>
    <w:rsid w:val="00C55F7A"/>
    <w:rsid w:val="00C57653"/>
    <w:rsid w:val="00C57969"/>
    <w:rsid w:val="00C601E5"/>
    <w:rsid w:val="00C614AD"/>
    <w:rsid w:val="00C64C86"/>
    <w:rsid w:val="00C65F26"/>
    <w:rsid w:val="00C66A40"/>
    <w:rsid w:val="00C66BA4"/>
    <w:rsid w:val="00C678EA"/>
    <w:rsid w:val="00C7052D"/>
    <w:rsid w:val="00C70EE5"/>
    <w:rsid w:val="00C753B8"/>
    <w:rsid w:val="00C75CAD"/>
    <w:rsid w:val="00C75D08"/>
    <w:rsid w:val="00C80CDA"/>
    <w:rsid w:val="00C81054"/>
    <w:rsid w:val="00C813F0"/>
    <w:rsid w:val="00C81DAD"/>
    <w:rsid w:val="00C827AD"/>
    <w:rsid w:val="00C82F88"/>
    <w:rsid w:val="00C848F1"/>
    <w:rsid w:val="00C84DC4"/>
    <w:rsid w:val="00C84EC6"/>
    <w:rsid w:val="00C8522E"/>
    <w:rsid w:val="00C8532C"/>
    <w:rsid w:val="00C8652F"/>
    <w:rsid w:val="00C8731D"/>
    <w:rsid w:val="00C9077E"/>
    <w:rsid w:val="00C90AF5"/>
    <w:rsid w:val="00C90B81"/>
    <w:rsid w:val="00C91D8D"/>
    <w:rsid w:val="00C91F24"/>
    <w:rsid w:val="00C9409D"/>
    <w:rsid w:val="00C9421D"/>
    <w:rsid w:val="00C96023"/>
    <w:rsid w:val="00C96386"/>
    <w:rsid w:val="00C96BD4"/>
    <w:rsid w:val="00C96CC6"/>
    <w:rsid w:val="00C96E5B"/>
    <w:rsid w:val="00C9780D"/>
    <w:rsid w:val="00CA216D"/>
    <w:rsid w:val="00CA2194"/>
    <w:rsid w:val="00CA27EA"/>
    <w:rsid w:val="00CA3A25"/>
    <w:rsid w:val="00CA5360"/>
    <w:rsid w:val="00CA63AE"/>
    <w:rsid w:val="00CA7A57"/>
    <w:rsid w:val="00CA7D51"/>
    <w:rsid w:val="00CA7DDF"/>
    <w:rsid w:val="00CB0142"/>
    <w:rsid w:val="00CB0BA2"/>
    <w:rsid w:val="00CB12DD"/>
    <w:rsid w:val="00CB3C66"/>
    <w:rsid w:val="00CB3D8E"/>
    <w:rsid w:val="00CB61E5"/>
    <w:rsid w:val="00CB6F1D"/>
    <w:rsid w:val="00CB705F"/>
    <w:rsid w:val="00CB7A24"/>
    <w:rsid w:val="00CB7FB8"/>
    <w:rsid w:val="00CC115C"/>
    <w:rsid w:val="00CC19F4"/>
    <w:rsid w:val="00CC3851"/>
    <w:rsid w:val="00CC3C7C"/>
    <w:rsid w:val="00CC4BA5"/>
    <w:rsid w:val="00CC5258"/>
    <w:rsid w:val="00CC57AE"/>
    <w:rsid w:val="00CC5D8B"/>
    <w:rsid w:val="00CC6D8F"/>
    <w:rsid w:val="00CC70FB"/>
    <w:rsid w:val="00CC7E03"/>
    <w:rsid w:val="00CD1E35"/>
    <w:rsid w:val="00CD2079"/>
    <w:rsid w:val="00CD4125"/>
    <w:rsid w:val="00CD546A"/>
    <w:rsid w:val="00CD736E"/>
    <w:rsid w:val="00CE0451"/>
    <w:rsid w:val="00CE0776"/>
    <w:rsid w:val="00CE0998"/>
    <w:rsid w:val="00CE15BB"/>
    <w:rsid w:val="00CE1823"/>
    <w:rsid w:val="00CE20BF"/>
    <w:rsid w:val="00CE215C"/>
    <w:rsid w:val="00CE2CCC"/>
    <w:rsid w:val="00CE324D"/>
    <w:rsid w:val="00CE404F"/>
    <w:rsid w:val="00CE5D5F"/>
    <w:rsid w:val="00CE5E25"/>
    <w:rsid w:val="00CE62AF"/>
    <w:rsid w:val="00CE67E6"/>
    <w:rsid w:val="00CE7BE6"/>
    <w:rsid w:val="00CF17F2"/>
    <w:rsid w:val="00CF1C91"/>
    <w:rsid w:val="00CF1CED"/>
    <w:rsid w:val="00CF21DC"/>
    <w:rsid w:val="00CF21EA"/>
    <w:rsid w:val="00CF2B15"/>
    <w:rsid w:val="00CF2FB7"/>
    <w:rsid w:val="00CF33F6"/>
    <w:rsid w:val="00CF34D6"/>
    <w:rsid w:val="00CF45D5"/>
    <w:rsid w:val="00CF513A"/>
    <w:rsid w:val="00CF6404"/>
    <w:rsid w:val="00CF7DFA"/>
    <w:rsid w:val="00D00484"/>
    <w:rsid w:val="00D00D07"/>
    <w:rsid w:val="00D0160D"/>
    <w:rsid w:val="00D01E65"/>
    <w:rsid w:val="00D02383"/>
    <w:rsid w:val="00D027F8"/>
    <w:rsid w:val="00D049AF"/>
    <w:rsid w:val="00D050B4"/>
    <w:rsid w:val="00D06C61"/>
    <w:rsid w:val="00D10DFA"/>
    <w:rsid w:val="00D11609"/>
    <w:rsid w:val="00D119DD"/>
    <w:rsid w:val="00D1229B"/>
    <w:rsid w:val="00D123EB"/>
    <w:rsid w:val="00D1291A"/>
    <w:rsid w:val="00D13B49"/>
    <w:rsid w:val="00D14A98"/>
    <w:rsid w:val="00D161B0"/>
    <w:rsid w:val="00D16260"/>
    <w:rsid w:val="00D1639D"/>
    <w:rsid w:val="00D21242"/>
    <w:rsid w:val="00D2200F"/>
    <w:rsid w:val="00D2235E"/>
    <w:rsid w:val="00D23A3D"/>
    <w:rsid w:val="00D23C07"/>
    <w:rsid w:val="00D25351"/>
    <w:rsid w:val="00D25EBD"/>
    <w:rsid w:val="00D25F91"/>
    <w:rsid w:val="00D260E8"/>
    <w:rsid w:val="00D26BBE"/>
    <w:rsid w:val="00D26C8D"/>
    <w:rsid w:val="00D276BA"/>
    <w:rsid w:val="00D30288"/>
    <w:rsid w:val="00D3057D"/>
    <w:rsid w:val="00D30848"/>
    <w:rsid w:val="00D30E84"/>
    <w:rsid w:val="00D30FA8"/>
    <w:rsid w:val="00D313CF"/>
    <w:rsid w:val="00D32499"/>
    <w:rsid w:val="00D33386"/>
    <w:rsid w:val="00D33E3A"/>
    <w:rsid w:val="00D342E4"/>
    <w:rsid w:val="00D3448F"/>
    <w:rsid w:val="00D34495"/>
    <w:rsid w:val="00D35A33"/>
    <w:rsid w:val="00D3670C"/>
    <w:rsid w:val="00D37E17"/>
    <w:rsid w:val="00D40ED9"/>
    <w:rsid w:val="00D4131C"/>
    <w:rsid w:val="00D41B4F"/>
    <w:rsid w:val="00D41DAD"/>
    <w:rsid w:val="00D42392"/>
    <w:rsid w:val="00D4299D"/>
    <w:rsid w:val="00D433DA"/>
    <w:rsid w:val="00D44EC5"/>
    <w:rsid w:val="00D477B9"/>
    <w:rsid w:val="00D47BEC"/>
    <w:rsid w:val="00D50265"/>
    <w:rsid w:val="00D50688"/>
    <w:rsid w:val="00D50827"/>
    <w:rsid w:val="00D508B9"/>
    <w:rsid w:val="00D512F0"/>
    <w:rsid w:val="00D51C18"/>
    <w:rsid w:val="00D52960"/>
    <w:rsid w:val="00D531B2"/>
    <w:rsid w:val="00D54FEC"/>
    <w:rsid w:val="00D5503D"/>
    <w:rsid w:val="00D551DB"/>
    <w:rsid w:val="00D5584A"/>
    <w:rsid w:val="00D57090"/>
    <w:rsid w:val="00D577E8"/>
    <w:rsid w:val="00D57C24"/>
    <w:rsid w:val="00D602F6"/>
    <w:rsid w:val="00D61364"/>
    <w:rsid w:val="00D663CC"/>
    <w:rsid w:val="00D70010"/>
    <w:rsid w:val="00D70DFD"/>
    <w:rsid w:val="00D717A5"/>
    <w:rsid w:val="00D71A4E"/>
    <w:rsid w:val="00D72D10"/>
    <w:rsid w:val="00D732EE"/>
    <w:rsid w:val="00D737D6"/>
    <w:rsid w:val="00D75BD7"/>
    <w:rsid w:val="00D760C7"/>
    <w:rsid w:val="00D76495"/>
    <w:rsid w:val="00D807BC"/>
    <w:rsid w:val="00D81051"/>
    <w:rsid w:val="00D819BD"/>
    <w:rsid w:val="00D81FA2"/>
    <w:rsid w:val="00D8244C"/>
    <w:rsid w:val="00D82D2B"/>
    <w:rsid w:val="00D84763"/>
    <w:rsid w:val="00D857D9"/>
    <w:rsid w:val="00D86C83"/>
    <w:rsid w:val="00D90056"/>
    <w:rsid w:val="00D90E21"/>
    <w:rsid w:val="00D90FD7"/>
    <w:rsid w:val="00D92B20"/>
    <w:rsid w:val="00D9374D"/>
    <w:rsid w:val="00D946EA"/>
    <w:rsid w:val="00D94FEF"/>
    <w:rsid w:val="00DA005C"/>
    <w:rsid w:val="00DA1D67"/>
    <w:rsid w:val="00DA2160"/>
    <w:rsid w:val="00DA277A"/>
    <w:rsid w:val="00DA28FF"/>
    <w:rsid w:val="00DA358B"/>
    <w:rsid w:val="00DA3593"/>
    <w:rsid w:val="00DA3E2E"/>
    <w:rsid w:val="00DA53F6"/>
    <w:rsid w:val="00DA5E21"/>
    <w:rsid w:val="00DA6281"/>
    <w:rsid w:val="00DA6421"/>
    <w:rsid w:val="00DA6AE2"/>
    <w:rsid w:val="00DB1587"/>
    <w:rsid w:val="00DB1D29"/>
    <w:rsid w:val="00DB22B1"/>
    <w:rsid w:val="00DB79C6"/>
    <w:rsid w:val="00DC0FA0"/>
    <w:rsid w:val="00DC152C"/>
    <w:rsid w:val="00DC2A72"/>
    <w:rsid w:val="00DC2B59"/>
    <w:rsid w:val="00DC3733"/>
    <w:rsid w:val="00DC3BE7"/>
    <w:rsid w:val="00DC3CCC"/>
    <w:rsid w:val="00DC3E5B"/>
    <w:rsid w:val="00DC529E"/>
    <w:rsid w:val="00DC59CE"/>
    <w:rsid w:val="00DC5D16"/>
    <w:rsid w:val="00DC5E08"/>
    <w:rsid w:val="00DC6238"/>
    <w:rsid w:val="00DC7FD3"/>
    <w:rsid w:val="00DD38CA"/>
    <w:rsid w:val="00DD40A7"/>
    <w:rsid w:val="00DE0306"/>
    <w:rsid w:val="00DE129D"/>
    <w:rsid w:val="00DE435A"/>
    <w:rsid w:val="00DE43CD"/>
    <w:rsid w:val="00DE492C"/>
    <w:rsid w:val="00DE5622"/>
    <w:rsid w:val="00DE594C"/>
    <w:rsid w:val="00DE65A9"/>
    <w:rsid w:val="00DE7A82"/>
    <w:rsid w:val="00DF0B81"/>
    <w:rsid w:val="00DF1812"/>
    <w:rsid w:val="00DF20E2"/>
    <w:rsid w:val="00DF548D"/>
    <w:rsid w:val="00E00456"/>
    <w:rsid w:val="00E00E66"/>
    <w:rsid w:val="00E012F5"/>
    <w:rsid w:val="00E01F55"/>
    <w:rsid w:val="00E036CB"/>
    <w:rsid w:val="00E03B00"/>
    <w:rsid w:val="00E04E0F"/>
    <w:rsid w:val="00E05407"/>
    <w:rsid w:val="00E05B3A"/>
    <w:rsid w:val="00E063E7"/>
    <w:rsid w:val="00E07534"/>
    <w:rsid w:val="00E10AD7"/>
    <w:rsid w:val="00E12A30"/>
    <w:rsid w:val="00E12FDF"/>
    <w:rsid w:val="00E16147"/>
    <w:rsid w:val="00E16DE3"/>
    <w:rsid w:val="00E1794B"/>
    <w:rsid w:val="00E17E20"/>
    <w:rsid w:val="00E207E1"/>
    <w:rsid w:val="00E20B98"/>
    <w:rsid w:val="00E21DD3"/>
    <w:rsid w:val="00E21DFD"/>
    <w:rsid w:val="00E236FE"/>
    <w:rsid w:val="00E252AF"/>
    <w:rsid w:val="00E25EB1"/>
    <w:rsid w:val="00E26EF5"/>
    <w:rsid w:val="00E26FC3"/>
    <w:rsid w:val="00E27E6F"/>
    <w:rsid w:val="00E31E0B"/>
    <w:rsid w:val="00E332C5"/>
    <w:rsid w:val="00E3420E"/>
    <w:rsid w:val="00E34377"/>
    <w:rsid w:val="00E34BF2"/>
    <w:rsid w:val="00E34F27"/>
    <w:rsid w:val="00E3534B"/>
    <w:rsid w:val="00E363E2"/>
    <w:rsid w:val="00E36CDF"/>
    <w:rsid w:val="00E370A7"/>
    <w:rsid w:val="00E40D01"/>
    <w:rsid w:val="00E4152F"/>
    <w:rsid w:val="00E4174D"/>
    <w:rsid w:val="00E43BEC"/>
    <w:rsid w:val="00E4402C"/>
    <w:rsid w:val="00E44193"/>
    <w:rsid w:val="00E44F27"/>
    <w:rsid w:val="00E45755"/>
    <w:rsid w:val="00E471D2"/>
    <w:rsid w:val="00E4720D"/>
    <w:rsid w:val="00E479F6"/>
    <w:rsid w:val="00E5205A"/>
    <w:rsid w:val="00E531FB"/>
    <w:rsid w:val="00E5387E"/>
    <w:rsid w:val="00E5390E"/>
    <w:rsid w:val="00E53BD4"/>
    <w:rsid w:val="00E55911"/>
    <w:rsid w:val="00E56033"/>
    <w:rsid w:val="00E63BAE"/>
    <w:rsid w:val="00E640D1"/>
    <w:rsid w:val="00E65F67"/>
    <w:rsid w:val="00E667F8"/>
    <w:rsid w:val="00E672AB"/>
    <w:rsid w:val="00E6771D"/>
    <w:rsid w:val="00E70552"/>
    <w:rsid w:val="00E71235"/>
    <w:rsid w:val="00E71A0B"/>
    <w:rsid w:val="00E736EA"/>
    <w:rsid w:val="00E76EEE"/>
    <w:rsid w:val="00E8030B"/>
    <w:rsid w:val="00E80CD8"/>
    <w:rsid w:val="00E819F0"/>
    <w:rsid w:val="00E81F25"/>
    <w:rsid w:val="00E8265A"/>
    <w:rsid w:val="00E82D38"/>
    <w:rsid w:val="00E835CA"/>
    <w:rsid w:val="00E836F2"/>
    <w:rsid w:val="00E86191"/>
    <w:rsid w:val="00E86B05"/>
    <w:rsid w:val="00E87A0D"/>
    <w:rsid w:val="00E90213"/>
    <w:rsid w:val="00E92011"/>
    <w:rsid w:val="00E92CFF"/>
    <w:rsid w:val="00E93344"/>
    <w:rsid w:val="00E9393A"/>
    <w:rsid w:val="00E93B27"/>
    <w:rsid w:val="00E94645"/>
    <w:rsid w:val="00E95AF7"/>
    <w:rsid w:val="00E962B9"/>
    <w:rsid w:val="00E969F1"/>
    <w:rsid w:val="00E96A82"/>
    <w:rsid w:val="00E97A4C"/>
    <w:rsid w:val="00EA1633"/>
    <w:rsid w:val="00EA18DA"/>
    <w:rsid w:val="00EA23C9"/>
    <w:rsid w:val="00EA3D73"/>
    <w:rsid w:val="00EA3FDD"/>
    <w:rsid w:val="00EA47A3"/>
    <w:rsid w:val="00EA622D"/>
    <w:rsid w:val="00EB1B19"/>
    <w:rsid w:val="00EB283B"/>
    <w:rsid w:val="00EB2AE9"/>
    <w:rsid w:val="00EB3456"/>
    <w:rsid w:val="00EB4F62"/>
    <w:rsid w:val="00EB5A9E"/>
    <w:rsid w:val="00EB62AF"/>
    <w:rsid w:val="00EB6E73"/>
    <w:rsid w:val="00EB76B2"/>
    <w:rsid w:val="00EC0066"/>
    <w:rsid w:val="00EC081F"/>
    <w:rsid w:val="00EC34F8"/>
    <w:rsid w:val="00EC40BC"/>
    <w:rsid w:val="00EC4999"/>
    <w:rsid w:val="00EC5B06"/>
    <w:rsid w:val="00EC5FAE"/>
    <w:rsid w:val="00EC6057"/>
    <w:rsid w:val="00EC6168"/>
    <w:rsid w:val="00EC7184"/>
    <w:rsid w:val="00EC788F"/>
    <w:rsid w:val="00ED1E77"/>
    <w:rsid w:val="00ED2439"/>
    <w:rsid w:val="00ED3322"/>
    <w:rsid w:val="00ED4766"/>
    <w:rsid w:val="00ED7048"/>
    <w:rsid w:val="00EE1E83"/>
    <w:rsid w:val="00EE21DF"/>
    <w:rsid w:val="00EE2258"/>
    <w:rsid w:val="00EE3232"/>
    <w:rsid w:val="00EE36ED"/>
    <w:rsid w:val="00EE3779"/>
    <w:rsid w:val="00EE5935"/>
    <w:rsid w:val="00EE5FC9"/>
    <w:rsid w:val="00EE600A"/>
    <w:rsid w:val="00EE6EBB"/>
    <w:rsid w:val="00EE732C"/>
    <w:rsid w:val="00EF1AAD"/>
    <w:rsid w:val="00EF2800"/>
    <w:rsid w:val="00EF2FD0"/>
    <w:rsid w:val="00EF4011"/>
    <w:rsid w:val="00EF42E1"/>
    <w:rsid w:val="00EF42E6"/>
    <w:rsid w:val="00EF4AE2"/>
    <w:rsid w:val="00EF7928"/>
    <w:rsid w:val="00EF7C04"/>
    <w:rsid w:val="00F04C28"/>
    <w:rsid w:val="00F052CF"/>
    <w:rsid w:val="00F05381"/>
    <w:rsid w:val="00F0647D"/>
    <w:rsid w:val="00F0685A"/>
    <w:rsid w:val="00F06B55"/>
    <w:rsid w:val="00F07D1B"/>
    <w:rsid w:val="00F10932"/>
    <w:rsid w:val="00F1280F"/>
    <w:rsid w:val="00F13603"/>
    <w:rsid w:val="00F13CAB"/>
    <w:rsid w:val="00F14EF0"/>
    <w:rsid w:val="00F216C0"/>
    <w:rsid w:val="00F2183F"/>
    <w:rsid w:val="00F218A7"/>
    <w:rsid w:val="00F22212"/>
    <w:rsid w:val="00F23944"/>
    <w:rsid w:val="00F24371"/>
    <w:rsid w:val="00F243B1"/>
    <w:rsid w:val="00F24B00"/>
    <w:rsid w:val="00F24B69"/>
    <w:rsid w:val="00F24CBC"/>
    <w:rsid w:val="00F24F3E"/>
    <w:rsid w:val="00F25F00"/>
    <w:rsid w:val="00F265DD"/>
    <w:rsid w:val="00F26A5A"/>
    <w:rsid w:val="00F274F6"/>
    <w:rsid w:val="00F2791C"/>
    <w:rsid w:val="00F279A4"/>
    <w:rsid w:val="00F3413E"/>
    <w:rsid w:val="00F352A4"/>
    <w:rsid w:val="00F357DD"/>
    <w:rsid w:val="00F35FDD"/>
    <w:rsid w:val="00F36102"/>
    <w:rsid w:val="00F3692E"/>
    <w:rsid w:val="00F408E8"/>
    <w:rsid w:val="00F41FF8"/>
    <w:rsid w:val="00F447F3"/>
    <w:rsid w:val="00F4498A"/>
    <w:rsid w:val="00F45437"/>
    <w:rsid w:val="00F45456"/>
    <w:rsid w:val="00F463CA"/>
    <w:rsid w:val="00F46ACF"/>
    <w:rsid w:val="00F50AFB"/>
    <w:rsid w:val="00F54CAD"/>
    <w:rsid w:val="00F55EF8"/>
    <w:rsid w:val="00F56091"/>
    <w:rsid w:val="00F56251"/>
    <w:rsid w:val="00F56B5E"/>
    <w:rsid w:val="00F56C2C"/>
    <w:rsid w:val="00F56D04"/>
    <w:rsid w:val="00F57F9B"/>
    <w:rsid w:val="00F62B4A"/>
    <w:rsid w:val="00F62D0C"/>
    <w:rsid w:val="00F62FCF"/>
    <w:rsid w:val="00F63ADE"/>
    <w:rsid w:val="00F65DC7"/>
    <w:rsid w:val="00F666F0"/>
    <w:rsid w:val="00F6770E"/>
    <w:rsid w:val="00F679D6"/>
    <w:rsid w:val="00F70175"/>
    <w:rsid w:val="00F709A9"/>
    <w:rsid w:val="00F709C9"/>
    <w:rsid w:val="00F73E42"/>
    <w:rsid w:val="00F73F0E"/>
    <w:rsid w:val="00F740AE"/>
    <w:rsid w:val="00F746CF"/>
    <w:rsid w:val="00F75A7F"/>
    <w:rsid w:val="00F7649B"/>
    <w:rsid w:val="00F767A8"/>
    <w:rsid w:val="00F76950"/>
    <w:rsid w:val="00F77264"/>
    <w:rsid w:val="00F80AF6"/>
    <w:rsid w:val="00F81393"/>
    <w:rsid w:val="00F81408"/>
    <w:rsid w:val="00F81705"/>
    <w:rsid w:val="00F822F9"/>
    <w:rsid w:val="00F82794"/>
    <w:rsid w:val="00F83935"/>
    <w:rsid w:val="00F840CA"/>
    <w:rsid w:val="00F84165"/>
    <w:rsid w:val="00F870A5"/>
    <w:rsid w:val="00F876DB"/>
    <w:rsid w:val="00F87884"/>
    <w:rsid w:val="00F8789D"/>
    <w:rsid w:val="00F87B41"/>
    <w:rsid w:val="00F90C71"/>
    <w:rsid w:val="00F9163C"/>
    <w:rsid w:val="00F918DD"/>
    <w:rsid w:val="00F91A35"/>
    <w:rsid w:val="00F91F2A"/>
    <w:rsid w:val="00F927CB"/>
    <w:rsid w:val="00F92E98"/>
    <w:rsid w:val="00F9330F"/>
    <w:rsid w:val="00F93778"/>
    <w:rsid w:val="00F953CC"/>
    <w:rsid w:val="00F96283"/>
    <w:rsid w:val="00F963FF"/>
    <w:rsid w:val="00F965FB"/>
    <w:rsid w:val="00F96925"/>
    <w:rsid w:val="00FA101A"/>
    <w:rsid w:val="00FA159C"/>
    <w:rsid w:val="00FA17A7"/>
    <w:rsid w:val="00FA248D"/>
    <w:rsid w:val="00FA31CD"/>
    <w:rsid w:val="00FA3C24"/>
    <w:rsid w:val="00FA4117"/>
    <w:rsid w:val="00FA4C9C"/>
    <w:rsid w:val="00FA54AA"/>
    <w:rsid w:val="00FA5F65"/>
    <w:rsid w:val="00FA61D9"/>
    <w:rsid w:val="00FA63A6"/>
    <w:rsid w:val="00FA67EE"/>
    <w:rsid w:val="00FA68FB"/>
    <w:rsid w:val="00FB0A5D"/>
    <w:rsid w:val="00FB2163"/>
    <w:rsid w:val="00FB2630"/>
    <w:rsid w:val="00FB2CF8"/>
    <w:rsid w:val="00FB2E32"/>
    <w:rsid w:val="00FB2EEB"/>
    <w:rsid w:val="00FB3553"/>
    <w:rsid w:val="00FB394B"/>
    <w:rsid w:val="00FB3F7C"/>
    <w:rsid w:val="00FB521D"/>
    <w:rsid w:val="00FB7A26"/>
    <w:rsid w:val="00FB7AE8"/>
    <w:rsid w:val="00FC0AFD"/>
    <w:rsid w:val="00FC1A6E"/>
    <w:rsid w:val="00FC299C"/>
    <w:rsid w:val="00FC38A6"/>
    <w:rsid w:val="00FC4893"/>
    <w:rsid w:val="00FC4A03"/>
    <w:rsid w:val="00FC4DA8"/>
    <w:rsid w:val="00FC5279"/>
    <w:rsid w:val="00FC5BB8"/>
    <w:rsid w:val="00FC6E2C"/>
    <w:rsid w:val="00FC7425"/>
    <w:rsid w:val="00FC7C20"/>
    <w:rsid w:val="00FD055F"/>
    <w:rsid w:val="00FD1083"/>
    <w:rsid w:val="00FD129B"/>
    <w:rsid w:val="00FD2517"/>
    <w:rsid w:val="00FD2792"/>
    <w:rsid w:val="00FD2854"/>
    <w:rsid w:val="00FD5C12"/>
    <w:rsid w:val="00FD64A6"/>
    <w:rsid w:val="00FD67CF"/>
    <w:rsid w:val="00FD686D"/>
    <w:rsid w:val="00FD7A7B"/>
    <w:rsid w:val="00FE0580"/>
    <w:rsid w:val="00FE077A"/>
    <w:rsid w:val="00FE1377"/>
    <w:rsid w:val="00FE2134"/>
    <w:rsid w:val="00FE362C"/>
    <w:rsid w:val="00FE3D56"/>
    <w:rsid w:val="00FE42B5"/>
    <w:rsid w:val="00FE4A6A"/>
    <w:rsid w:val="00FE5155"/>
    <w:rsid w:val="00FE58DF"/>
    <w:rsid w:val="00FE699E"/>
    <w:rsid w:val="00FE6EE0"/>
    <w:rsid w:val="00FE7D44"/>
    <w:rsid w:val="00FF1331"/>
    <w:rsid w:val="00FF13E9"/>
    <w:rsid w:val="00FF1888"/>
    <w:rsid w:val="00FF292A"/>
    <w:rsid w:val="00FF3C2B"/>
    <w:rsid w:val="00FF6261"/>
    <w:rsid w:val="00FF68CD"/>
    <w:rsid w:val="00FF72C0"/>
    <w:rsid w:val="00FF742B"/>
    <w:rsid w:val="00FF7CE1"/>
    <w:rsid w:val="056690F7"/>
    <w:rsid w:val="05C3525B"/>
    <w:rsid w:val="05FC497A"/>
    <w:rsid w:val="06540817"/>
    <w:rsid w:val="0752BE50"/>
    <w:rsid w:val="07B13B80"/>
    <w:rsid w:val="07F88043"/>
    <w:rsid w:val="0BEEBA7B"/>
    <w:rsid w:val="113535DE"/>
    <w:rsid w:val="1B9FB09F"/>
    <w:rsid w:val="1C5A94F9"/>
    <w:rsid w:val="1E22EFFC"/>
    <w:rsid w:val="210D5985"/>
    <w:rsid w:val="211AB433"/>
    <w:rsid w:val="2144177E"/>
    <w:rsid w:val="231CA81A"/>
    <w:rsid w:val="23DF73AC"/>
    <w:rsid w:val="253A3CEB"/>
    <w:rsid w:val="258032A3"/>
    <w:rsid w:val="26F989DD"/>
    <w:rsid w:val="2854504E"/>
    <w:rsid w:val="2F199F1A"/>
    <w:rsid w:val="2FD4ACE0"/>
    <w:rsid w:val="30455302"/>
    <w:rsid w:val="41A3D644"/>
    <w:rsid w:val="437CF7DE"/>
    <w:rsid w:val="47CF0291"/>
    <w:rsid w:val="48C40999"/>
    <w:rsid w:val="4D55667A"/>
    <w:rsid w:val="5024E678"/>
    <w:rsid w:val="51FEFC08"/>
    <w:rsid w:val="5217E9C0"/>
    <w:rsid w:val="533B64CA"/>
    <w:rsid w:val="575106A4"/>
    <w:rsid w:val="57729EBF"/>
    <w:rsid w:val="59B383D5"/>
    <w:rsid w:val="5AB0397F"/>
    <w:rsid w:val="5C2BE088"/>
    <w:rsid w:val="617B3C68"/>
    <w:rsid w:val="65C33A9F"/>
    <w:rsid w:val="6AA9F3E3"/>
    <w:rsid w:val="6B176841"/>
    <w:rsid w:val="705D3815"/>
    <w:rsid w:val="73616413"/>
    <w:rsid w:val="756CB556"/>
    <w:rsid w:val="76822584"/>
    <w:rsid w:val="7A4DB63C"/>
    <w:rsid w:val="7D183017"/>
    <w:rsid w:val="7E527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21B9"/>
  <w15:docId w15:val="{0A460CEA-DE7F-44A1-92A6-ED056E38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77"/>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6C50DC"/>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105220"/>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102044"/>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10204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10204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515177"/>
    <w:pPr>
      <w:ind w:left="568" w:hanging="284"/>
    </w:pPr>
    <w:rPr>
      <w:b w:val="0"/>
      <w:noProof/>
    </w:rPr>
  </w:style>
  <w:style w:type="paragraph" w:styleId="TOC1">
    <w:name w:val="toc 1"/>
    <w:basedOn w:val="Normal"/>
    <w:next w:val="Normal"/>
    <w:autoRedefine/>
    <w:uiPriority w:val="39"/>
    <w:semiHidden/>
    <w:rsid w:val="0051517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4626B0"/>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10204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51517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NECG) Footnote Text,DTE-Voetnoottekst,ALTS FOOTNOTE,Footnote,fn,FT,ft,SD Footnote Text,Footnote Text AG,Footnote Text Char Char Char,Footnote Text Char1 Char Char,Footnote Text Char Char Char Char Char,Footnote Text Char Char1 Char Char,f"/>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NECG) Footnote Text Char,DTE-Voetnoottekst Char,ALTS FOOTNOTE Char,Footnote Char,fn Char,FT Char,ft Char,SD Footnote Text Char,Footnote Text AG Char,Footnote Text Char Char Char Char,Footnote Text Char1 Char Char Char,f Char"/>
    <w:basedOn w:val="DefaultParagraphFont"/>
    <w:link w:val="FootnoteText"/>
    <w:uiPriority w:val="99"/>
    <w:rsid w:val="00CF33F6"/>
    <w:rPr>
      <w:sz w:val="18"/>
      <w:szCs w:val="20"/>
    </w:rPr>
  </w:style>
  <w:style w:type="character" w:styleId="FootnoteReference">
    <w:name w:val="footnote reference"/>
    <w:aliases w:val="SFG_Footnote_Reference,(NECG) Footnote Reference,fr,Footnote reference,o,Style 6,Style 20,(NECG) Footnote Reference1,(NECG) Footnote Reference2,(NECG) Footnote Reference3,(NECG) Footnote Reference4,(NECG) Footnote Reference5,Style 3"/>
    <w:basedOn w:val="DefaultParagraphFont"/>
    <w:uiPriority w:val="99"/>
    <w:unhideWhenUsed/>
    <w:qFormat/>
    <w:rsid w:val="00E9393A"/>
    <w:rPr>
      <w:vertAlign w:val="superscript"/>
    </w:rPr>
  </w:style>
  <w:style w:type="paragraph" w:customStyle="1" w:styleId="Figure-Table-BoxHeading">
    <w:name w:val="Figure-Table-Box Heading"/>
    <w:link w:val="Figure-Table-BoxHeadingChar"/>
    <w:qFormat/>
    <w:rsid w:val="00FA159C"/>
    <w:p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lang w:val="en-AU"/>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8"/>
      </w:numPr>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1517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51517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51517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rsid w:val="00105220"/>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0B23"/>
    <w:rPr>
      <w:color w:val="FF4895" w:themeColor="accent2" w:themeTint="99"/>
    </w:rPr>
  </w:style>
  <w:style w:type="paragraph" w:styleId="TOC7">
    <w:name w:val="toc 7"/>
    <w:basedOn w:val="Normal"/>
    <w:next w:val="Normal"/>
    <w:autoRedefine/>
    <w:uiPriority w:val="39"/>
    <w:semiHidden/>
    <w:unhideWhenUsed/>
    <w:rsid w:val="00515177"/>
    <w:pPr>
      <w:spacing w:before="40" w:after="40" w:line="288" w:lineRule="auto"/>
      <w:ind w:left="1321"/>
    </w:pPr>
  </w:style>
  <w:style w:type="paragraph" w:styleId="TOC8">
    <w:name w:val="toc 8"/>
    <w:basedOn w:val="Normal"/>
    <w:next w:val="Normal"/>
    <w:autoRedefine/>
    <w:uiPriority w:val="39"/>
    <w:semiHidden/>
    <w:unhideWhenUsed/>
    <w:rsid w:val="00515177"/>
    <w:pPr>
      <w:spacing w:before="40" w:after="40" w:line="288" w:lineRule="auto"/>
      <w:ind w:left="1542"/>
    </w:pPr>
  </w:style>
  <w:style w:type="paragraph" w:styleId="TOC9">
    <w:name w:val="toc 9"/>
    <w:basedOn w:val="Normal"/>
    <w:next w:val="Normal"/>
    <w:autoRedefine/>
    <w:uiPriority w:val="39"/>
    <w:semiHidden/>
    <w:unhideWhenUsed/>
    <w:rsid w:val="00515177"/>
    <w:pPr>
      <w:spacing w:before="40" w:after="40" w:line="288" w:lineRule="auto"/>
      <w:ind w:left="1758"/>
    </w:pPr>
  </w:style>
  <w:style w:type="character" w:styleId="CommentReference">
    <w:name w:val="annotation reference"/>
    <w:basedOn w:val="DefaultParagraphFont"/>
    <w:uiPriority w:val="99"/>
    <w:unhideWhenUsed/>
    <w:rsid w:val="00016040"/>
    <w:rPr>
      <w:sz w:val="16"/>
      <w:szCs w:val="16"/>
    </w:rPr>
  </w:style>
  <w:style w:type="paragraph" w:styleId="CommentText">
    <w:name w:val="annotation text"/>
    <w:basedOn w:val="Normal"/>
    <w:link w:val="CommentTextChar"/>
    <w:uiPriority w:val="99"/>
    <w:unhideWhenUsed/>
    <w:rsid w:val="00016040"/>
    <w:pPr>
      <w:spacing w:line="240" w:lineRule="auto"/>
    </w:pPr>
    <w:rPr>
      <w:sz w:val="20"/>
      <w:szCs w:val="20"/>
    </w:rPr>
  </w:style>
  <w:style w:type="character" w:customStyle="1" w:styleId="CommentTextChar">
    <w:name w:val="Comment Text Char"/>
    <w:basedOn w:val="DefaultParagraphFont"/>
    <w:link w:val="CommentText"/>
    <w:uiPriority w:val="99"/>
    <w:rsid w:val="00016040"/>
    <w:rPr>
      <w:sz w:val="20"/>
      <w:szCs w:val="20"/>
      <w:lang w:val="en-AU"/>
    </w:rPr>
  </w:style>
  <w:style w:type="paragraph" w:styleId="CommentSubject">
    <w:name w:val="annotation subject"/>
    <w:basedOn w:val="CommentText"/>
    <w:next w:val="CommentText"/>
    <w:link w:val="CommentSubjectChar"/>
    <w:uiPriority w:val="99"/>
    <w:semiHidden/>
    <w:unhideWhenUsed/>
    <w:rsid w:val="00016040"/>
    <w:rPr>
      <w:b/>
      <w:bCs/>
    </w:rPr>
  </w:style>
  <w:style w:type="character" w:customStyle="1" w:styleId="CommentSubjectChar">
    <w:name w:val="Comment Subject Char"/>
    <w:basedOn w:val="CommentTextChar"/>
    <w:link w:val="CommentSubject"/>
    <w:uiPriority w:val="99"/>
    <w:semiHidden/>
    <w:rsid w:val="00016040"/>
    <w:rPr>
      <w:b/>
      <w:bCs/>
      <w:sz w:val="20"/>
      <w:szCs w:val="20"/>
      <w:lang w:val="en-AU"/>
    </w:rPr>
  </w:style>
  <w:style w:type="paragraph" w:styleId="Revision">
    <w:name w:val="Revision"/>
    <w:hidden/>
    <w:uiPriority w:val="99"/>
    <w:semiHidden/>
    <w:rsid w:val="00781DAC"/>
    <w:pPr>
      <w:spacing w:after="0" w:line="240" w:lineRule="auto"/>
    </w:pPr>
    <w:rPr>
      <w:lang w:val="en-AU"/>
    </w:rPr>
  </w:style>
  <w:style w:type="character" w:styleId="UnresolvedMention">
    <w:name w:val="Unresolved Mention"/>
    <w:basedOn w:val="DefaultParagraphFont"/>
    <w:uiPriority w:val="99"/>
    <w:semiHidden/>
    <w:unhideWhenUsed/>
    <w:rsid w:val="001C61AC"/>
    <w:rPr>
      <w:color w:val="605E5C"/>
      <w:shd w:val="clear" w:color="auto" w:fill="E1DFDD"/>
    </w:rPr>
  </w:style>
  <w:style w:type="character" w:styleId="FollowedHyperlink">
    <w:name w:val="FollowedHyperlink"/>
    <w:basedOn w:val="DefaultParagraphFont"/>
    <w:uiPriority w:val="99"/>
    <w:semiHidden/>
    <w:unhideWhenUsed/>
    <w:rsid w:val="00B07C9B"/>
    <w:rPr>
      <w:color w:val="000000" w:themeColor="followedHyperlink"/>
      <w:u w:val="single"/>
    </w:rPr>
  </w:style>
  <w:style w:type="paragraph" w:styleId="NormalWeb">
    <w:name w:val="Normal (Web)"/>
    <w:basedOn w:val="Normal"/>
    <w:uiPriority w:val="99"/>
    <w:semiHidden/>
    <w:unhideWhenUsed/>
    <w:rsid w:val="00C32E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3905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191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O@esc.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ngage.vic.gov.au/project/victorian-default-offer-review-2025-2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c.vic.gov.au/electricity-and-gas/market-performance-and-reporting/victorian-energy-market-report/energy-market-dashboard" TargetMode="External"/><Relationship Id="rId1" Type="http://schemas.openxmlformats.org/officeDocument/2006/relationships/hyperlink" Target="https://www.esc.vic.gov.au/electricity-and-gas/prices-tariffs-and-benchmarks/victorian-default-off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https://escvic.sharepoint.com/teams/VDO/Shared%20Documents/2025-26%20VDO/Briefing%20slides/Workings%20ROC%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cvic.sharepoint.com/teams/VDO/Shared%20Documents/2025-26%20VDO/Briefing%20slides/Workings%20ROC%20Cha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Proportion of ROC to average Resi. Annual Bill</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'[Workings ROC Chart.xlsx]ROC Chart for RFC Paper'!$D$4:$E$11</c:f>
              <c:multiLvlStrCache>
                <c:ptCount val="8"/>
                <c:lvl>
                  <c:pt idx="0">
                    <c:v>VDO 2019</c:v>
                  </c:pt>
                  <c:pt idx="1">
                    <c:v>VDO 2020</c:v>
                  </c:pt>
                  <c:pt idx="2">
                    <c:v>VDO 2021</c:v>
                  </c:pt>
                  <c:pt idx="3">
                    <c:v>VDO 2021 Variation</c:v>
                  </c:pt>
                  <c:pt idx="4">
                    <c:v>VDO 2022</c:v>
                  </c:pt>
                  <c:pt idx="5">
                    <c:v>VDO 2022-23</c:v>
                  </c:pt>
                  <c:pt idx="6">
                    <c:v>VDO 2023-24</c:v>
                  </c:pt>
                  <c:pt idx="7">
                    <c:v>VDO 2024-25</c:v>
                  </c:pt>
                </c:lvl>
                <c:lvl>
                  <c:pt idx="0">
                    <c:v>Prev. Approach</c:v>
                  </c:pt>
                  <c:pt idx="6">
                    <c:v>Current Approach</c:v>
                  </c:pt>
                </c:lvl>
              </c:multiLvlStrCache>
            </c:multiLvlStrRef>
          </c:cat>
          <c:val>
            <c:numRef>
              <c:f>'[Workings ROC Chart.xlsx]ROC Chart for RFC Paper'!$F$4:$F$11</c:f>
              <c:numCache>
                <c:formatCode>0%</c:formatCode>
                <c:ptCount val="8"/>
                <c:pt idx="0">
                  <c:v>0.1</c:v>
                </c:pt>
                <c:pt idx="1">
                  <c:v>0.09</c:v>
                </c:pt>
                <c:pt idx="2">
                  <c:v>0.11</c:v>
                </c:pt>
                <c:pt idx="3">
                  <c:v>0.1</c:v>
                </c:pt>
                <c:pt idx="4">
                  <c:v>0.11</c:v>
                </c:pt>
                <c:pt idx="5">
                  <c:v>0.1</c:v>
                </c:pt>
                <c:pt idx="6">
                  <c:v>0.08</c:v>
                </c:pt>
                <c:pt idx="7">
                  <c:v>0.08</c:v>
                </c:pt>
              </c:numCache>
            </c:numRef>
          </c:val>
          <c:smooth val="0"/>
          <c:extLst>
            <c:ext xmlns:c16="http://schemas.microsoft.com/office/drawing/2014/chart" uri="{C3380CC4-5D6E-409C-BE32-E72D297353CC}">
              <c16:uniqueId val="{00000000-1457-4C21-A8AA-0B759AE7716F}"/>
            </c:ext>
          </c:extLst>
        </c:ser>
        <c:dLbls>
          <c:dLblPos val="ctr"/>
          <c:showLegendKey val="0"/>
          <c:showVal val="1"/>
          <c:showCatName val="0"/>
          <c:showSerName val="0"/>
          <c:showPercent val="0"/>
          <c:showBubbleSize val="0"/>
        </c:dLbls>
        <c:marker val="1"/>
        <c:smooth val="0"/>
        <c:axId val="1028346656"/>
        <c:axId val="1028337056"/>
      </c:lineChart>
      <c:catAx>
        <c:axId val="102834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337056"/>
        <c:crosses val="autoZero"/>
        <c:auto val="1"/>
        <c:lblAlgn val="ctr"/>
        <c:lblOffset val="100"/>
        <c:noMultiLvlLbl val="0"/>
      </c:catAx>
      <c:valAx>
        <c:axId val="102833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346656"/>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Proportion of ROC to Average SME Annual Bill</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205666599367387E-2"/>
                  <c:y val="5.8295241748076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4B-444F-9F59-23FBB43A5A44}"/>
                </c:ext>
              </c:extLst>
            </c:dLbl>
            <c:dLbl>
              <c:idx val="1"/>
              <c:layout>
                <c:manualLayout>
                  <c:x val="-3.2056665993673905E-2"/>
                  <c:y val="5.8295241748076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4B-444F-9F59-23FBB43A5A44}"/>
                </c:ext>
              </c:extLst>
            </c:dLbl>
            <c:dLbl>
              <c:idx val="6"/>
              <c:layout>
                <c:manualLayout>
                  <c:x val="-3.205666599367387E-2"/>
                  <c:y val="5.8295241748076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4B-444F-9F59-23FBB43A5A44}"/>
                </c:ext>
              </c:extLst>
            </c:dLbl>
            <c:dLbl>
              <c:idx val="7"/>
              <c:layout>
                <c:manualLayout>
                  <c:x val="-3.4193418130426159E-2"/>
                  <c:y val="5.8295241748076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4B-444F-9F59-23FBB43A5A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'[Workings ROC Chart.xlsx]ROC Chart for RFC Paper'!$D$4:$E$11</c:f>
              <c:multiLvlStrCache>
                <c:ptCount val="8"/>
                <c:lvl>
                  <c:pt idx="0">
                    <c:v>VDO 2019</c:v>
                  </c:pt>
                  <c:pt idx="1">
                    <c:v>VDO 2020</c:v>
                  </c:pt>
                  <c:pt idx="2">
                    <c:v>VDO 2021</c:v>
                  </c:pt>
                  <c:pt idx="3">
                    <c:v>VDO 2021 Variation</c:v>
                  </c:pt>
                  <c:pt idx="4">
                    <c:v>VDO 2022</c:v>
                  </c:pt>
                  <c:pt idx="5">
                    <c:v>VDO 2022-23</c:v>
                  </c:pt>
                  <c:pt idx="6">
                    <c:v>VDO 2023-24</c:v>
                  </c:pt>
                  <c:pt idx="7">
                    <c:v>VDO 2024-25</c:v>
                  </c:pt>
                </c:lvl>
                <c:lvl>
                  <c:pt idx="0">
                    <c:v>Prev. Approach</c:v>
                  </c:pt>
                  <c:pt idx="6">
                    <c:v>Current Approach</c:v>
                  </c:pt>
                </c:lvl>
              </c:multiLvlStrCache>
            </c:multiLvlStrRef>
          </c:cat>
          <c:val>
            <c:numRef>
              <c:f>'[Workings ROC Chart.xlsx]ROC Chart for RFC Paper'!$G$4:$G$11</c:f>
              <c:numCache>
                <c:formatCode>0%</c:formatCode>
                <c:ptCount val="8"/>
                <c:pt idx="0">
                  <c:v>0.02</c:v>
                </c:pt>
                <c:pt idx="1">
                  <c:v>0.02</c:v>
                </c:pt>
                <c:pt idx="2">
                  <c:v>0.03</c:v>
                </c:pt>
                <c:pt idx="3">
                  <c:v>0.03</c:v>
                </c:pt>
                <c:pt idx="4">
                  <c:v>0.03</c:v>
                </c:pt>
                <c:pt idx="5">
                  <c:v>0.03</c:v>
                </c:pt>
                <c:pt idx="6">
                  <c:v>0.02</c:v>
                </c:pt>
                <c:pt idx="7">
                  <c:v>0.02</c:v>
                </c:pt>
              </c:numCache>
            </c:numRef>
          </c:val>
          <c:smooth val="0"/>
          <c:extLst>
            <c:ext xmlns:c16="http://schemas.microsoft.com/office/drawing/2014/chart" uri="{C3380CC4-5D6E-409C-BE32-E72D297353CC}">
              <c16:uniqueId val="{00000000-9F4B-444F-9F59-23FBB43A5A44}"/>
            </c:ext>
          </c:extLst>
        </c:ser>
        <c:dLbls>
          <c:dLblPos val="b"/>
          <c:showLegendKey val="0"/>
          <c:showVal val="1"/>
          <c:showCatName val="0"/>
          <c:showSerName val="0"/>
          <c:showPercent val="0"/>
          <c:showBubbleSize val="0"/>
        </c:dLbls>
        <c:marker val="1"/>
        <c:smooth val="0"/>
        <c:axId val="1028313056"/>
        <c:axId val="1028314496"/>
      </c:lineChart>
      <c:catAx>
        <c:axId val="102831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314496"/>
        <c:crosses val="autoZero"/>
        <c:auto val="1"/>
        <c:lblAlgn val="ctr"/>
        <c:lblOffset val="100"/>
        <c:noMultiLvlLbl val="0"/>
      </c:catAx>
      <c:valAx>
        <c:axId val="1028314496"/>
        <c:scaling>
          <c:orientation val="minMax"/>
          <c:max val="0.1200000000000000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313056"/>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fa1e3f-bff0-4a68-a0e1-8991d6694121">
      <Terms xmlns="http://schemas.microsoft.com/office/infopath/2007/PartnerControls"/>
    </lcf76f155ced4ddcb4097134ff3c332f>
    <TaxCatchAll xmlns="1fe0551b-aea2-4114-b38d-c5f7409b7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F5B4F566EDE04E8FC82BBE258AC15C" ma:contentTypeVersion="14" ma:contentTypeDescription="Create a new document." ma:contentTypeScope="" ma:versionID="4eddb80c5a86f3adf767ff00a142a42e">
  <xsd:schema xmlns:xsd="http://www.w3.org/2001/XMLSchema" xmlns:xs="http://www.w3.org/2001/XMLSchema" xmlns:p="http://schemas.microsoft.com/office/2006/metadata/properties" xmlns:ns2="12fa1e3f-bff0-4a68-a0e1-8991d6694121" xmlns:ns3="1fe0551b-aea2-4114-b38d-c5f7409b7e34" targetNamespace="http://schemas.microsoft.com/office/2006/metadata/properties" ma:root="true" ma:fieldsID="544b3990ea2472c0f9bdce3a5590c947" ns2:_="" ns3:_="">
    <xsd:import namespace="12fa1e3f-bff0-4a68-a0e1-8991d6694121"/>
    <xsd:import namespace="1fe0551b-aea2-4114-b38d-c5f7409b7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1e3f-bff0-4a68-a0e1-8991d669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e0551b-aea2-4114-b38d-c5f7409b7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f870a1-443f-4a47-b096-e8ee88ab6acd}" ma:internalName="TaxCatchAll" ma:showField="CatchAllData" ma:web="1fe0551b-aea2-4114-b38d-c5f7409b7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7A13C-8FB0-4A12-A6B7-CF54CC54716E}">
  <ds:schemaRefs>
    <ds:schemaRef ds:uri="http://schemas.microsoft.com/office/2006/metadata/properties"/>
    <ds:schemaRef ds:uri="http://schemas.microsoft.com/office/infopath/2007/PartnerControls"/>
    <ds:schemaRef ds:uri="12fa1e3f-bff0-4a68-a0e1-8991d6694121"/>
    <ds:schemaRef ds:uri="1fe0551b-aea2-4114-b38d-c5f7409b7e34"/>
  </ds:schemaRefs>
</ds:datastoreItem>
</file>

<file path=customXml/itemProps2.xml><?xml version="1.0" encoding="utf-8"?>
<ds:datastoreItem xmlns:ds="http://schemas.openxmlformats.org/officeDocument/2006/customXml" ds:itemID="{8367F820-1507-4860-AC3B-CA8C43622A8D}">
  <ds:schemaRefs>
    <ds:schemaRef ds:uri="http://schemas.microsoft.com/sharepoint/v3/contenttype/forms"/>
  </ds:schemaRefs>
</ds:datastoreItem>
</file>

<file path=customXml/itemProps3.xml><?xml version="1.0" encoding="utf-8"?>
<ds:datastoreItem xmlns:ds="http://schemas.openxmlformats.org/officeDocument/2006/customXml" ds:itemID="{3AC45AA5-DC88-469C-84B7-2F6FED1C24D6}">
  <ds:schemaRefs>
    <ds:schemaRef ds:uri="http://schemas.openxmlformats.org/officeDocument/2006/bibliography"/>
  </ds:schemaRefs>
</ds:datastoreItem>
</file>

<file path=customXml/itemProps4.xml><?xml version="1.0" encoding="utf-8"?>
<ds:datastoreItem xmlns:ds="http://schemas.openxmlformats.org/officeDocument/2006/customXml" ds:itemID="{17446A93-4DD6-41B8-BD80-EC1C7530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1e3f-bff0-4a68-a0e1-8991d6694121"/>
    <ds:schemaRef ds:uri="1fe0551b-aea2-4114-b38d-c5f7409b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2687</Words>
  <Characters>15156</Characters>
  <Application>Microsoft Office Word</Application>
  <DocSecurity>0</DocSecurity>
  <Lines>252</Lines>
  <Paragraphs>136</Paragraphs>
  <ScaleCrop>false</ScaleCrop>
  <Company/>
  <LinksUpToDate>false</LinksUpToDate>
  <CharactersWithSpaces>17707</CharactersWithSpaces>
  <SharedDoc>false</SharedDoc>
  <HLinks>
    <vt:vector size="24" baseType="variant">
      <vt:variant>
        <vt:i4>1572917</vt:i4>
      </vt:variant>
      <vt:variant>
        <vt:i4>3</vt:i4>
      </vt:variant>
      <vt:variant>
        <vt:i4>0</vt:i4>
      </vt:variant>
      <vt:variant>
        <vt:i4>5</vt:i4>
      </vt:variant>
      <vt:variant>
        <vt:lpwstr>mailto:VDO@esc.vic.gov.au</vt:lpwstr>
      </vt:variant>
      <vt:variant>
        <vt:lpwstr/>
      </vt:variant>
      <vt:variant>
        <vt:i4>5046280</vt:i4>
      </vt:variant>
      <vt:variant>
        <vt:i4>0</vt:i4>
      </vt:variant>
      <vt:variant>
        <vt:i4>0</vt:i4>
      </vt:variant>
      <vt:variant>
        <vt:i4>5</vt:i4>
      </vt:variant>
      <vt:variant>
        <vt:lpwstr>https://engage.vic.gov.au/project/victorian-default-offer-review-2025-26</vt:lpwstr>
      </vt:variant>
      <vt:variant>
        <vt:lpwstr/>
      </vt:variant>
      <vt:variant>
        <vt:i4>2359416</vt:i4>
      </vt:variant>
      <vt:variant>
        <vt:i4>3</vt:i4>
      </vt:variant>
      <vt:variant>
        <vt:i4>0</vt:i4>
      </vt:variant>
      <vt:variant>
        <vt:i4>5</vt:i4>
      </vt:variant>
      <vt:variant>
        <vt:lpwstr>https://www.esc.vic.gov.au/electricity-and-gas/market-performance-and-reporting/victorian-energy-market-report/energy-market-dashboard</vt:lpwstr>
      </vt:variant>
      <vt:variant>
        <vt:lpwstr/>
      </vt:variant>
      <vt:variant>
        <vt:i4>2490426</vt:i4>
      </vt:variant>
      <vt:variant>
        <vt:i4>0</vt:i4>
      </vt:variant>
      <vt:variant>
        <vt:i4>0</vt:i4>
      </vt:variant>
      <vt:variant>
        <vt:i4>5</vt:i4>
      </vt:variant>
      <vt:variant>
        <vt:lpwstr>https://www.esc.vic.gov.au/electricity-and-gas/prices-tariffs-and-benchmarks/victorian-default-offer</vt:lpwstr>
      </vt:variant>
      <vt:variant>
        <vt:lpwstr>tabs-container2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Bilas (ESC)</dc:creator>
  <cp:keywords>[SEC=OFFICIAL]</cp:keywords>
  <dc:description/>
  <cp:lastModifiedBy>Vanessa Cullen (ESC)</cp:lastModifiedBy>
  <cp:revision>233</cp:revision>
  <cp:lastPrinted>2024-11-22T03:34:00Z</cp:lastPrinted>
  <dcterms:created xsi:type="dcterms:W3CDTF">2024-11-14T02:11:00Z</dcterms:created>
  <dcterms:modified xsi:type="dcterms:W3CDTF">2024-11-22T03:35:00Z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2024-10-04T00:34:12Z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Originating_FileId">
    <vt:lpwstr>DFC1BB647ED8474798258A98EF31FF0A</vt:lpwstr>
  </property>
  <property fmtid="{D5CDD505-2E9C-101B-9397-08002B2CF9AE}" pid="14" name="PM_ProtectiveMarkingValue_Footer">
    <vt:lpwstr>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v=2022.2;d=vic.gov.au;g=0BC0AFEB-CD42-5391-A624-A890967918FF</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0x0101008AF5B4F566EDE04E8FC82BBE258AC15C</vt:lpwstr>
  </property>
  <property fmtid="{D5CDD505-2E9C-101B-9397-08002B2CF9AE}" pid="24" name="MediaServiceImageTags">
    <vt:lpwstr/>
  </property>
  <property fmtid="{D5CDD505-2E9C-101B-9397-08002B2CF9AE}" pid="25" name="PMHMAC">
    <vt:lpwstr>v=2022.1;a=SHA256;h=4305251D487639EC33BF80E0A97360840B930B41ABF88D5EA0935795450BEC9B</vt:lpwstr>
  </property>
  <property fmtid="{D5CDD505-2E9C-101B-9397-08002B2CF9AE}" pid="26" name="PM_Originator_Hash_SHA1">
    <vt:lpwstr>13FB284D2F9300206886A5E8B5D76ECEB1F2F6AE</vt:lpwstr>
  </property>
  <property fmtid="{D5CDD505-2E9C-101B-9397-08002B2CF9AE}" pid="27" name="PM_OriginatorUserAccountName_SHA256">
    <vt:lpwstr>085903AF1504212DAA520D5954CCABFF9C4686F466B669ABA9619B53688FEFDA</vt:lpwstr>
  </property>
  <property fmtid="{D5CDD505-2E9C-101B-9397-08002B2CF9AE}" pid="28" name="PM_Hash_Salt_Prev">
    <vt:lpwstr>493EF6E9DFEE5CBEDA939E0A62478E9D</vt:lpwstr>
  </property>
  <property fmtid="{D5CDD505-2E9C-101B-9397-08002B2CF9AE}" pid="29" name="PM_Hash_Salt">
    <vt:lpwstr>77CD51104A2AB2601EE131CEEE1A84A1</vt:lpwstr>
  </property>
  <property fmtid="{D5CDD505-2E9C-101B-9397-08002B2CF9AE}" pid="30" name="PM_Hash_SHA1">
    <vt:lpwstr>0D1898E17173222FCDC681155B31A4C119516452</vt:lpwstr>
  </property>
</Properties>
</file>