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D8F8" w14:textId="5E0A16FE" w:rsidR="004309BF" w:rsidRDefault="00057722" w:rsidP="00057722">
      <w:pPr>
        <w:pStyle w:val="Heading1"/>
      </w:pPr>
      <w:r>
        <w:t>Annual performance data for distributors’ guaranteed service level (</w:t>
      </w:r>
      <w:r w:rsidRPr="00057722">
        <w:rPr>
          <w:b/>
          <w:bCs/>
        </w:rPr>
        <w:t>GSL</w:t>
      </w:r>
      <w:r>
        <w:t>) payments</w:t>
      </w:r>
    </w:p>
    <w:p w14:paraId="1404984E" w14:textId="77777777" w:rsidR="00057722" w:rsidRPr="00057722" w:rsidRDefault="00057722" w:rsidP="00057722">
      <w:r w:rsidRPr="00057722">
        <w:rPr>
          <w:rFonts w:hint="cs"/>
        </w:rPr>
        <w:t>This page contains annual performance data for Guaranteed Service Level (</w:t>
      </w:r>
      <w:r w:rsidRPr="00057722">
        <w:rPr>
          <w:rFonts w:hint="cs"/>
          <w:b/>
          <w:bCs/>
        </w:rPr>
        <w:t>GSL</w:t>
      </w:r>
      <w:r w:rsidRPr="00057722">
        <w:rPr>
          <w:rFonts w:hint="cs"/>
        </w:rPr>
        <w:t>) payments that Victorian electricity distributors make to customers. This data is submitted to both the Essential Services Commission and the Australian Energy Regulator (</w:t>
      </w:r>
      <w:r w:rsidRPr="00057722">
        <w:rPr>
          <w:rFonts w:hint="cs"/>
          <w:b/>
          <w:bCs/>
        </w:rPr>
        <w:t>AER</w:t>
      </w:r>
      <w:r w:rsidRPr="00057722">
        <w:rPr>
          <w:rFonts w:hint="cs"/>
        </w:rPr>
        <w:t>). The data shows distributors’ performance against the customer service standards set in the </w:t>
      </w:r>
      <w:hyperlink r:id="rId8" w:tooltip="Electricity Distribution Code of Practice " w:history="1">
        <w:r w:rsidRPr="00057722">
          <w:rPr>
            <w:rStyle w:val="Hyperlink"/>
            <w:rFonts w:hint="cs"/>
          </w:rPr>
          <w:t>Electricity Distribution Code of Practice.</w:t>
        </w:r>
      </w:hyperlink>
      <w:r w:rsidRPr="00057722">
        <w:rPr>
          <w:rFonts w:hint="cs"/>
        </w:rPr>
        <w:t> </w:t>
      </w:r>
    </w:p>
    <w:p w14:paraId="0F539C44" w14:textId="77777777" w:rsidR="00057722" w:rsidRPr="00057722" w:rsidRDefault="00057722" w:rsidP="00057722">
      <w:r w:rsidRPr="00057722">
        <w:rPr>
          <w:rFonts w:hint="cs"/>
        </w:rPr>
        <w:t>Electricity distributors are required to make GSL payments to customers who experience certain types of service disruptions. This includes, but is not limited to, unplanned electricity supply outages. In 2021, we modernised the GSL scheme to improve how distributors identify eligible customers. We implemented new requirements to use smart meter data for assessing eligibility for unplanned outage payments. This update ensured that all eligible customers are better able to receive timely payments when service levels fall below relevant standards.</w:t>
      </w:r>
    </w:p>
    <w:p w14:paraId="159E8B76" w14:textId="77777777" w:rsidR="00057722" w:rsidRPr="00057722" w:rsidRDefault="00057722" w:rsidP="00057722">
      <w:r w:rsidRPr="00057722">
        <w:rPr>
          <w:rFonts w:hint="cs"/>
        </w:rPr>
        <w:t>Electricity distributors must also report detailed performance data to us each year. This includes the number of GSL payments made and total GSL payment costs.</w:t>
      </w:r>
    </w:p>
    <w:p w14:paraId="7E58EE87" w14:textId="77777777" w:rsidR="00057722" w:rsidRPr="00057722" w:rsidRDefault="00057722" w:rsidP="00057722">
      <w:r w:rsidRPr="00057722">
        <w:rPr>
          <w:rFonts w:hint="cs"/>
        </w:rPr>
        <w:t>The table below sets out comparative GSL data for the five Victorian electricity distributors since 2021-22. </w:t>
      </w:r>
    </w:p>
    <w:p w14:paraId="40B42CD5" w14:textId="0B7E5087" w:rsidR="00057722" w:rsidRDefault="00057722" w:rsidP="00057722"/>
    <w:p w14:paraId="07E3F861" w14:textId="77777777" w:rsidR="00057722" w:rsidRDefault="00057722">
      <w:pPr>
        <w:spacing w:before="0" w:line="259" w:lineRule="auto"/>
      </w:pPr>
      <w:r>
        <w:br w:type="page"/>
      </w:r>
    </w:p>
    <w:p w14:paraId="524711AF" w14:textId="4AB5B8D7" w:rsidR="00057722" w:rsidRDefault="00057722" w:rsidP="00057722">
      <w:pPr>
        <w:pStyle w:val="Heading2"/>
      </w:pPr>
      <w:r>
        <w:lastRenderedPageBreak/>
        <w:t xml:space="preserve">Table 1: Distributors’ comparative GSL performance </w:t>
      </w:r>
      <w:r w:rsidR="006D1741">
        <w:t>2021-2022 to 2024-25</w:t>
      </w:r>
    </w:p>
    <w:tbl>
      <w:tblPr>
        <w:tblStyle w:val="TableGrid"/>
        <w:tblW w:w="0" w:type="auto"/>
        <w:tblLook w:val="04A0" w:firstRow="1" w:lastRow="0" w:firstColumn="1" w:lastColumn="0" w:noHBand="0" w:noVBand="1"/>
      </w:tblPr>
      <w:tblGrid>
        <w:gridCol w:w="1621"/>
        <w:gridCol w:w="1108"/>
        <w:gridCol w:w="1108"/>
        <w:gridCol w:w="1366"/>
        <w:gridCol w:w="1108"/>
        <w:gridCol w:w="1108"/>
        <w:gridCol w:w="1157"/>
        <w:gridCol w:w="1108"/>
        <w:gridCol w:w="1145"/>
        <w:gridCol w:w="1244"/>
        <w:gridCol w:w="1109"/>
        <w:gridCol w:w="1244"/>
      </w:tblGrid>
      <w:tr w:rsidR="00057722" w14:paraId="1C2B11E6" w14:textId="77777777" w:rsidTr="00B85420">
        <w:trPr>
          <w:cnfStyle w:val="100000000000" w:firstRow="1" w:lastRow="0" w:firstColumn="0" w:lastColumn="0" w:oddVBand="0" w:evenVBand="0" w:oddHBand="0" w:evenHBand="0" w:firstRowFirstColumn="0" w:firstRowLastColumn="0" w:lastRowFirstColumn="0" w:lastRowLastColumn="0"/>
          <w:trHeight w:val="590"/>
        </w:trPr>
        <w:tc>
          <w:tcPr>
            <w:tcW w:w="1488" w:type="dxa"/>
          </w:tcPr>
          <w:p w14:paraId="2052A2B3" w14:textId="75EC9B68" w:rsidR="00057722" w:rsidRDefault="00057722" w:rsidP="00522727">
            <w:pPr>
              <w:pStyle w:val="TableHeading"/>
            </w:pPr>
            <w:r>
              <w:t>GSL category</w:t>
            </w:r>
          </w:p>
        </w:tc>
        <w:tc>
          <w:tcPr>
            <w:tcW w:w="1108" w:type="dxa"/>
          </w:tcPr>
          <w:p w14:paraId="1D387B68" w14:textId="4CC80CF9" w:rsidR="00057722" w:rsidRDefault="00057722" w:rsidP="00522727">
            <w:pPr>
              <w:pStyle w:val="TableHeading"/>
            </w:pPr>
            <w:r>
              <w:t>Year</w:t>
            </w:r>
          </w:p>
        </w:tc>
        <w:tc>
          <w:tcPr>
            <w:tcW w:w="2474" w:type="dxa"/>
            <w:gridSpan w:val="2"/>
          </w:tcPr>
          <w:p w14:paraId="10550DE9" w14:textId="55EAFC97" w:rsidR="00057722" w:rsidRDefault="00057722" w:rsidP="00522727">
            <w:pPr>
              <w:pStyle w:val="TableHeading"/>
            </w:pPr>
            <w:proofErr w:type="spellStart"/>
            <w:r>
              <w:t>AusNet</w:t>
            </w:r>
            <w:proofErr w:type="spellEnd"/>
            <w:r>
              <w:t xml:space="preserve"> Services</w:t>
            </w:r>
          </w:p>
        </w:tc>
        <w:tc>
          <w:tcPr>
            <w:tcW w:w="2216" w:type="dxa"/>
            <w:gridSpan w:val="2"/>
          </w:tcPr>
          <w:p w14:paraId="5E5D047B" w14:textId="39511C89" w:rsidR="00057722" w:rsidRDefault="00057722" w:rsidP="00522727">
            <w:pPr>
              <w:pStyle w:val="TableHeading"/>
            </w:pPr>
            <w:r>
              <w:t>Jemena</w:t>
            </w:r>
          </w:p>
        </w:tc>
        <w:tc>
          <w:tcPr>
            <w:tcW w:w="2265" w:type="dxa"/>
            <w:gridSpan w:val="2"/>
          </w:tcPr>
          <w:p w14:paraId="5DDBBC4B" w14:textId="081DC577" w:rsidR="00057722" w:rsidRDefault="00057722" w:rsidP="00522727">
            <w:pPr>
              <w:pStyle w:val="TableHeading"/>
            </w:pPr>
            <w:proofErr w:type="spellStart"/>
            <w:r>
              <w:t>CitiPower</w:t>
            </w:r>
            <w:proofErr w:type="spellEnd"/>
          </w:p>
        </w:tc>
        <w:tc>
          <w:tcPr>
            <w:tcW w:w="2389" w:type="dxa"/>
            <w:gridSpan w:val="2"/>
          </w:tcPr>
          <w:p w14:paraId="360B8EFA" w14:textId="12DD201A" w:rsidR="00057722" w:rsidRDefault="00057722" w:rsidP="00522727">
            <w:pPr>
              <w:pStyle w:val="TableHeading"/>
            </w:pPr>
            <w:r>
              <w:t>Powercor Australia</w:t>
            </w:r>
          </w:p>
        </w:tc>
        <w:tc>
          <w:tcPr>
            <w:tcW w:w="2353" w:type="dxa"/>
            <w:gridSpan w:val="2"/>
          </w:tcPr>
          <w:p w14:paraId="58F723F3" w14:textId="12C7443B" w:rsidR="00057722" w:rsidRDefault="00057722" w:rsidP="00522727">
            <w:pPr>
              <w:pStyle w:val="TableHeading"/>
            </w:pPr>
            <w:r>
              <w:t>United Energy</w:t>
            </w:r>
          </w:p>
        </w:tc>
      </w:tr>
      <w:tr w:rsidR="00057722" w14:paraId="7481426B" w14:textId="77777777" w:rsidTr="00057722">
        <w:trPr>
          <w:cnfStyle w:val="000000100000" w:firstRow="0" w:lastRow="0" w:firstColumn="0" w:lastColumn="0" w:oddVBand="0" w:evenVBand="0" w:oddHBand="1" w:evenHBand="0" w:firstRowFirstColumn="0" w:firstRowLastColumn="0" w:lastRowFirstColumn="0" w:lastRowLastColumn="0"/>
          <w:trHeight w:val="308"/>
        </w:trPr>
        <w:tc>
          <w:tcPr>
            <w:tcW w:w="1488" w:type="dxa"/>
          </w:tcPr>
          <w:p w14:paraId="3B5A5841" w14:textId="77777777" w:rsidR="00057722" w:rsidRPr="00057722" w:rsidRDefault="00057722" w:rsidP="00057722">
            <w:pPr>
              <w:pStyle w:val="TableHeading"/>
              <w:rPr>
                <w:b/>
                <w:bCs/>
                <w:color w:val="auto"/>
              </w:rPr>
            </w:pPr>
          </w:p>
        </w:tc>
        <w:tc>
          <w:tcPr>
            <w:tcW w:w="1108" w:type="dxa"/>
          </w:tcPr>
          <w:p w14:paraId="13F89C31" w14:textId="77777777" w:rsidR="00057722" w:rsidRPr="00057722" w:rsidRDefault="00057722" w:rsidP="00057722">
            <w:pPr>
              <w:pStyle w:val="TableHeading"/>
              <w:rPr>
                <w:b/>
                <w:bCs/>
                <w:color w:val="auto"/>
              </w:rPr>
            </w:pPr>
          </w:p>
        </w:tc>
        <w:tc>
          <w:tcPr>
            <w:tcW w:w="1108" w:type="dxa"/>
          </w:tcPr>
          <w:p w14:paraId="438CD0D4" w14:textId="3667A04A" w:rsidR="00057722" w:rsidRPr="00057722" w:rsidRDefault="00057722" w:rsidP="00057722">
            <w:pPr>
              <w:pStyle w:val="TableHeading"/>
              <w:rPr>
                <w:b/>
                <w:bCs/>
                <w:color w:val="auto"/>
              </w:rPr>
            </w:pPr>
            <w:r w:rsidRPr="00057722">
              <w:rPr>
                <w:b/>
                <w:bCs/>
                <w:color w:val="auto"/>
              </w:rPr>
              <w:t>GSL count</w:t>
            </w:r>
          </w:p>
        </w:tc>
        <w:tc>
          <w:tcPr>
            <w:tcW w:w="1366" w:type="dxa"/>
          </w:tcPr>
          <w:p w14:paraId="0C34245E" w14:textId="1903EDA0" w:rsidR="00057722" w:rsidRPr="00057722" w:rsidRDefault="00057722" w:rsidP="00057722">
            <w:pPr>
              <w:pStyle w:val="TableHeading"/>
              <w:rPr>
                <w:b/>
                <w:bCs/>
                <w:color w:val="auto"/>
              </w:rPr>
            </w:pPr>
            <w:r w:rsidRPr="00057722">
              <w:rPr>
                <w:b/>
                <w:bCs/>
                <w:color w:val="auto"/>
              </w:rPr>
              <w:t>Total value</w:t>
            </w:r>
          </w:p>
        </w:tc>
        <w:tc>
          <w:tcPr>
            <w:tcW w:w="1108" w:type="dxa"/>
          </w:tcPr>
          <w:p w14:paraId="4763EB56" w14:textId="0B5A492B" w:rsidR="00057722" w:rsidRPr="00057722" w:rsidRDefault="00057722" w:rsidP="00057722">
            <w:pPr>
              <w:pStyle w:val="TableHeading"/>
              <w:rPr>
                <w:b/>
                <w:bCs/>
                <w:color w:val="auto"/>
              </w:rPr>
            </w:pPr>
            <w:r w:rsidRPr="00057722">
              <w:rPr>
                <w:b/>
                <w:bCs/>
                <w:color w:val="auto"/>
              </w:rPr>
              <w:t>GSL count</w:t>
            </w:r>
          </w:p>
        </w:tc>
        <w:tc>
          <w:tcPr>
            <w:tcW w:w="1108" w:type="dxa"/>
          </w:tcPr>
          <w:p w14:paraId="5F481D21" w14:textId="21B5A9F3" w:rsidR="00057722" w:rsidRPr="00057722" w:rsidRDefault="00057722" w:rsidP="00057722">
            <w:pPr>
              <w:pStyle w:val="TableHeading"/>
              <w:rPr>
                <w:b/>
                <w:bCs/>
                <w:color w:val="auto"/>
              </w:rPr>
            </w:pPr>
            <w:r w:rsidRPr="00057722">
              <w:rPr>
                <w:b/>
                <w:bCs/>
                <w:color w:val="auto"/>
              </w:rPr>
              <w:t>Total value</w:t>
            </w:r>
          </w:p>
        </w:tc>
        <w:tc>
          <w:tcPr>
            <w:tcW w:w="1157" w:type="dxa"/>
          </w:tcPr>
          <w:p w14:paraId="6C92617D" w14:textId="3CB927BF" w:rsidR="00057722" w:rsidRPr="00057722" w:rsidRDefault="00057722" w:rsidP="00057722">
            <w:pPr>
              <w:pStyle w:val="TableHeading"/>
              <w:rPr>
                <w:b/>
                <w:bCs/>
                <w:color w:val="auto"/>
              </w:rPr>
            </w:pPr>
            <w:r w:rsidRPr="00057722">
              <w:rPr>
                <w:b/>
                <w:bCs/>
                <w:color w:val="auto"/>
              </w:rPr>
              <w:t>GSL count</w:t>
            </w:r>
          </w:p>
        </w:tc>
        <w:tc>
          <w:tcPr>
            <w:tcW w:w="1108" w:type="dxa"/>
          </w:tcPr>
          <w:p w14:paraId="46B2E4D5" w14:textId="2636988A" w:rsidR="00057722" w:rsidRPr="00057722" w:rsidRDefault="00057722" w:rsidP="00057722">
            <w:pPr>
              <w:pStyle w:val="TableHeading"/>
              <w:rPr>
                <w:b/>
                <w:bCs/>
                <w:color w:val="auto"/>
              </w:rPr>
            </w:pPr>
            <w:r w:rsidRPr="00057722">
              <w:rPr>
                <w:b/>
                <w:bCs/>
                <w:color w:val="auto"/>
              </w:rPr>
              <w:t>Total value</w:t>
            </w:r>
          </w:p>
        </w:tc>
        <w:tc>
          <w:tcPr>
            <w:tcW w:w="1145" w:type="dxa"/>
          </w:tcPr>
          <w:p w14:paraId="580192EC" w14:textId="125C5AD6" w:rsidR="00057722" w:rsidRPr="00057722" w:rsidRDefault="00057722" w:rsidP="00057722">
            <w:pPr>
              <w:pStyle w:val="TableHeading"/>
              <w:rPr>
                <w:b/>
                <w:bCs/>
                <w:color w:val="auto"/>
              </w:rPr>
            </w:pPr>
            <w:r w:rsidRPr="00057722">
              <w:rPr>
                <w:b/>
                <w:bCs/>
                <w:color w:val="auto"/>
              </w:rPr>
              <w:t>GSL count</w:t>
            </w:r>
          </w:p>
        </w:tc>
        <w:tc>
          <w:tcPr>
            <w:tcW w:w="1244" w:type="dxa"/>
          </w:tcPr>
          <w:p w14:paraId="4F6E55E1" w14:textId="7C158EAB" w:rsidR="00057722" w:rsidRPr="00057722" w:rsidRDefault="00057722" w:rsidP="00057722">
            <w:pPr>
              <w:pStyle w:val="TableHeading"/>
              <w:rPr>
                <w:b/>
                <w:bCs/>
                <w:color w:val="auto"/>
              </w:rPr>
            </w:pPr>
            <w:r w:rsidRPr="00057722">
              <w:rPr>
                <w:b/>
                <w:bCs/>
                <w:color w:val="auto"/>
              </w:rPr>
              <w:t>Total value</w:t>
            </w:r>
          </w:p>
        </w:tc>
        <w:tc>
          <w:tcPr>
            <w:tcW w:w="1109" w:type="dxa"/>
          </w:tcPr>
          <w:p w14:paraId="56E17307" w14:textId="3F04D5EE" w:rsidR="00057722" w:rsidRPr="00057722" w:rsidRDefault="00057722" w:rsidP="00057722">
            <w:pPr>
              <w:pStyle w:val="TableHeading"/>
              <w:rPr>
                <w:b/>
                <w:bCs/>
                <w:color w:val="auto"/>
              </w:rPr>
            </w:pPr>
            <w:r w:rsidRPr="00057722">
              <w:rPr>
                <w:b/>
                <w:bCs/>
                <w:color w:val="auto"/>
              </w:rPr>
              <w:t>GSL count</w:t>
            </w:r>
          </w:p>
        </w:tc>
        <w:tc>
          <w:tcPr>
            <w:tcW w:w="1244" w:type="dxa"/>
          </w:tcPr>
          <w:p w14:paraId="2206A8AA" w14:textId="378FD4BE" w:rsidR="00057722" w:rsidRPr="00057722" w:rsidRDefault="00057722" w:rsidP="00057722">
            <w:pPr>
              <w:pStyle w:val="TableHeading"/>
              <w:rPr>
                <w:b/>
                <w:bCs/>
                <w:color w:val="auto"/>
              </w:rPr>
            </w:pPr>
            <w:r w:rsidRPr="00057722">
              <w:rPr>
                <w:b/>
                <w:bCs/>
                <w:color w:val="auto"/>
              </w:rPr>
              <w:t>Total value</w:t>
            </w:r>
          </w:p>
        </w:tc>
      </w:tr>
      <w:tr w:rsidR="00057722" w14:paraId="4AC33300" w14:textId="77777777" w:rsidTr="00057722">
        <w:trPr>
          <w:cnfStyle w:val="000000010000" w:firstRow="0" w:lastRow="0" w:firstColumn="0" w:lastColumn="0" w:oddVBand="0" w:evenVBand="0" w:oddHBand="0" w:evenHBand="1" w:firstRowFirstColumn="0" w:firstRowLastColumn="0" w:lastRowFirstColumn="0" w:lastRowLastColumn="0"/>
          <w:trHeight w:val="308"/>
        </w:trPr>
        <w:tc>
          <w:tcPr>
            <w:tcW w:w="1488" w:type="dxa"/>
            <w:vMerge w:val="restart"/>
          </w:tcPr>
          <w:p w14:paraId="1DDDF9B6" w14:textId="7740E623" w:rsidR="00057722" w:rsidRPr="00057722" w:rsidRDefault="00057722" w:rsidP="00057722">
            <w:pPr>
              <w:pStyle w:val="TableHeading"/>
              <w:rPr>
                <w:rFonts w:ascii="Arial" w:hAnsi="Arial" w:cs="Arial"/>
                <w:b/>
                <w:bCs/>
                <w:color w:val="auto"/>
              </w:rPr>
            </w:pPr>
            <w:r w:rsidRPr="00057722">
              <w:rPr>
                <w:rFonts w:ascii="Arial" w:hAnsi="Arial" w:cs="Arial"/>
                <w:b/>
                <w:bCs/>
                <w:color w:val="auto"/>
              </w:rPr>
              <w:t>Appointments not met within 15 minutes of agreed time</w:t>
            </w:r>
          </w:p>
        </w:tc>
        <w:tc>
          <w:tcPr>
            <w:tcW w:w="1108" w:type="dxa"/>
          </w:tcPr>
          <w:p w14:paraId="67C171E3" w14:textId="48F219D2" w:rsidR="00057722" w:rsidRPr="00057722" w:rsidRDefault="00057722" w:rsidP="00057722">
            <w:pPr>
              <w:pStyle w:val="TableHeading"/>
              <w:rPr>
                <w:b/>
                <w:bCs/>
                <w:color w:val="auto"/>
              </w:rPr>
            </w:pPr>
            <w:r w:rsidRPr="00057722">
              <w:rPr>
                <w:b/>
                <w:bCs/>
                <w:color w:val="auto"/>
              </w:rPr>
              <w:t>2021-22</w:t>
            </w:r>
          </w:p>
        </w:tc>
        <w:tc>
          <w:tcPr>
            <w:tcW w:w="1108" w:type="dxa"/>
            <w:vAlign w:val="bottom"/>
          </w:tcPr>
          <w:p w14:paraId="033B0934" w14:textId="5CF51A18" w:rsidR="00057722" w:rsidRDefault="00057722" w:rsidP="00522727">
            <w:pPr>
              <w:pStyle w:val="TableBody"/>
            </w:pPr>
            <w:r>
              <w:t>178</w:t>
            </w:r>
          </w:p>
        </w:tc>
        <w:tc>
          <w:tcPr>
            <w:tcW w:w="1366" w:type="dxa"/>
            <w:vAlign w:val="bottom"/>
          </w:tcPr>
          <w:p w14:paraId="0ADCCD69" w14:textId="41F6E468" w:rsidR="00057722" w:rsidRDefault="00057722" w:rsidP="00522727">
            <w:pPr>
              <w:pStyle w:val="TableBody"/>
            </w:pPr>
            <w:r>
              <w:t>$6,095</w:t>
            </w:r>
          </w:p>
        </w:tc>
        <w:tc>
          <w:tcPr>
            <w:tcW w:w="1108" w:type="dxa"/>
            <w:vAlign w:val="bottom"/>
          </w:tcPr>
          <w:p w14:paraId="53C0ED7E" w14:textId="35E1E26F" w:rsidR="00057722" w:rsidRDefault="00057722" w:rsidP="00522727">
            <w:pPr>
              <w:pStyle w:val="TableBody"/>
            </w:pPr>
            <w:r>
              <w:t>7</w:t>
            </w:r>
          </w:p>
        </w:tc>
        <w:tc>
          <w:tcPr>
            <w:tcW w:w="1108" w:type="dxa"/>
            <w:vAlign w:val="bottom"/>
          </w:tcPr>
          <w:p w14:paraId="2B63DC06" w14:textId="35B89D5B" w:rsidR="00057722" w:rsidRDefault="00057722" w:rsidP="00522727">
            <w:pPr>
              <w:pStyle w:val="TableBody"/>
            </w:pPr>
            <w:r>
              <w:t>$280</w:t>
            </w:r>
          </w:p>
        </w:tc>
        <w:tc>
          <w:tcPr>
            <w:tcW w:w="1157" w:type="dxa"/>
            <w:vAlign w:val="bottom"/>
          </w:tcPr>
          <w:p w14:paraId="30FC93E5" w14:textId="0C8EF5BC" w:rsidR="00057722" w:rsidRDefault="00057722" w:rsidP="00522727">
            <w:pPr>
              <w:pStyle w:val="TableBody"/>
            </w:pPr>
            <w:r>
              <w:t>170</w:t>
            </w:r>
          </w:p>
        </w:tc>
        <w:tc>
          <w:tcPr>
            <w:tcW w:w="1108" w:type="dxa"/>
            <w:vAlign w:val="bottom"/>
          </w:tcPr>
          <w:p w14:paraId="64C27721" w14:textId="6375D47C" w:rsidR="00057722" w:rsidRDefault="00057722" w:rsidP="00522727">
            <w:pPr>
              <w:pStyle w:val="TableBody"/>
            </w:pPr>
            <w:r>
              <w:t>$5,950</w:t>
            </w:r>
          </w:p>
        </w:tc>
        <w:tc>
          <w:tcPr>
            <w:tcW w:w="1145" w:type="dxa"/>
            <w:vAlign w:val="bottom"/>
          </w:tcPr>
          <w:p w14:paraId="13611D02" w14:textId="3A6572D0" w:rsidR="00057722" w:rsidRDefault="00057722" w:rsidP="00522727">
            <w:pPr>
              <w:pStyle w:val="TableBody"/>
            </w:pPr>
            <w:r>
              <w:t>310</w:t>
            </w:r>
          </w:p>
        </w:tc>
        <w:tc>
          <w:tcPr>
            <w:tcW w:w="1244" w:type="dxa"/>
            <w:vAlign w:val="bottom"/>
          </w:tcPr>
          <w:p w14:paraId="0FA29E69" w14:textId="60F26044" w:rsidR="00057722" w:rsidRDefault="00057722" w:rsidP="00522727">
            <w:pPr>
              <w:pStyle w:val="TableBody"/>
            </w:pPr>
            <w:r>
              <w:t>$10,850</w:t>
            </w:r>
          </w:p>
        </w:tc>
        <w:tc>
          <w:tcPr>
            <w:tcW w:w="1109" w:type="dxa"/>
            <w:vAlign w:val="bottom"/>
          </w:tcPr>
          <w:p w14:paraId="6CA3DCF6" w14:textId="4D63EE37" w:rsidR="00057722" w:rsidRDefault="00057722" w:rsidP="00522727">
            <w:pPr>
              <w:pStyle w:val="TableBody"/>
            </w:pPr>
            <w:r>
              <w:t>21</w:t>
            </w:r>
          </w:p>
        </w:tc>
        <w:tc>
          <w:tcPr>
            <w:tcW w:w="1244" w:type="dxa"/>
            <w:vAlign w:val="bottom"/>
          </w:tcPr>
          <w:p w14:paraId="6560B9C2" w14:textId="0DB681D6" w:rsidR="00057722" w:rsidRDefault="00057722" w:rsidP="00522727">
            <w:pPr>
              <w:pStyle w:val="TableBody"/>
            </w:pPr>
            <w:r>
              <w:t>$725</w:t>
            </w:r>
          </w:p>
        </w:tc>
      </w:tr>
      <w:tr w:rsidR="00057722" w14:paraId="61B76C25"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3D885394" w14:textId="77777777" w:rsidR="00057722" w:rsidRPr="00057722" w:rsidRDefault="00057722" w:rsidP="00057722">
            <w:pPr>
              <w:pStyle w:val="TableHeading"/>
              <w:rPr>
                <w:b/>
                <w:bCs/>
                <w:color w:val="auto"/>
              </w:rPr>
            </w:pPr>
          </w:p>
        </w:tc>
        <w:tc>
          <w:tcPr>
            <w:tcW w:w="1108" w:type="dxa"/>
          </w:tcPr>
          <w:p w14:paraId="31FB20AB" w14:textId="7232AC67" w:rsidR="00057722" w:rsidRPr="00057722" w:rsidRDefault="00057722" w:rsidP="00057722">
            <w:pPr>
              <w:pStyle w:val="TableHeading"/>
              <w:rPr>
                <w:b/>
                <w:bCs/>
                <w:color w:val="auto"/>
              </w:rPr>
            </w:pPr>
            <w:r w:rsidRPr="00057722">
              <w:rPr>
                <w:b/>
                <w:bCs/>
                <w:color w:val="auto"/>
              </w:rPr>
              <w:t>2022-23</w:t>
            </w:r>
          </w:p>
        </w:tc>
        <w:tc>
          <w:tcPr>
            <w:tcW w:w="1108" w:type="dxa"/>
            <w:vAlign w:val="bottom"/>
          </w:tcPr>
          <w:p w14:paraId="0A211A0A" w14:textId="37A553E1" w:rsidR="00057722" w:rsidRPr="00E46EC8" w:rsidRDefault="00057722" w:rsidP="00522727">
            <w:pPr>
              <w:pStyle w:val="TableBody"/>
              <w:rPr>
                <w:color w:val="4986A0" w:themeColor="text2"/>
              </w:rPr>
            </w:pPr>
            <w:r w:rsidRPr="00E46EC8">
              <w:rPr>
                <w:color w:val="4986A0" w:themeColor="text2"/>
              </w:rPr>
              <w:t>234</w:t>
            </w:r>
          </w:p>
        </w:tc>
        <w:tc>
          <w:tcPr>
            <w:tcW w:w="1366" w:type="dxa"/>
            <w:vAlign w:val="bottom"/>
          </w:tcPr>
          <w:p w14:paraId="32F0A3E9" w14:textId="5C8FC05E" w:rsidR="00057722" w:rsidRPr="00E46EC8" w:rsidRDefault="00057722" w:rsidP="00522727">
            <w:pPr>
              <w:pStyle w:val="TableBody"/>
              <w:rPr>
                <w:color w:val="4986A0" w:themeColor="text2"/>
              </w:rPr>
            </w:pPr>
            <w:r w:rsidRPr="00E46EC8">
              <w:rPr>
                <w:color w:val="4986A0" w:themeColor="text2"/>
              </w:rPr>
              <w:t>$8,190</w:t>
            </w:r>
          </w:p>
        </w:tc>
        <w:tc>
          <w:tcPr>
            <w:tcW w:w="1108" w:type="dxa"/>
            <w:vAlign w:val="bottom"/>
          </w:tcPr>
          <w:p w14:paraId="54CCF6E9" w14:textId="06798E85" w:rsidR="00057722" w:rsidRPr="00E46EC8" w:rsidRDefault="00057722" w:rsidP="00522727">
            <w:pPr>
              <w:pStyle w:val="TableBody"/>
              <w:rPr>
                <w:color w:val="4986A0" w:themeColor="text2"/>
              </w:rPr>
            </w:pPr>
            <w:r w:rsidRPr="00E46EC8">
              <w:rPr>
                <w:color w:val="4986A0" w:themeColor="text2"/>
              </w:rPr>
              <w:t>2</w:t>
            </w:r>
          </w:p>
        </w:tc>
        <w:tc>
          <w:tcPr>
            <w:tcW w:w="1108" w:type="dxa"/>
            <w:vAlign w:val="bottom"/>
          </w:tcPr>
          <w:p w14:paraId="56293D9B" w14:textId="005D2B5C" w:rsidR="00057722" w:rsidRPr="00E46EC8" w:rsidRDefault="00057722" w:rsidP="00522727">
            <w:pPr>
              <w:pStyle w:val="TableBody"/>
              <w:rPr>
                <w:color w:val="4986A0" w:themeColor="text2"/>
              </w:rPr>
            </w:pPr>
            <w:r w:rsidRPr="00E46EC8">
              <w:rPr>
                <w:color w:val="4986A0" w:themeColor="text2"/>
              </w:rPr>
              <w:t>$70</w:t>
            </w:r>
          </w:p>
        </w:tc>
        <w:tc>
          <w:tcPr>
            <w:tcW w:w="1157" w:type="dxa"/>
            <w:vAlign w:val="bottom"/>
          </w:tcPr>
          <w:p w14:paraId="072D51E8" w14:textId="2D9F97A8" w:rsidR="00057722" w:rsidRPr="00E46EC8" w:rsidRDefault="00057722" w:rsidP="00522727">
            <w:pPr>
              <w:pStyle w:val="TableBody"/>
              <w:rPr>
                <w:color w:val="4986A0" w:themeColor="text2"/>
              </w:rPr>
            </w:pPr>
            <w:r w:rsidRPr="00E46EC8">
              <w:rPr>
                <w:color w:val="4986A0" w:themeColor="text2"/>
              </w:rPr>
              <w:t>82</w:t>
            </w:r>
          </w:p>
        </w:tc>
        <w:tc>
          <w:tcPr>
            <w:tcW w:w="1108" w:type="dxa"/>
            <w:vAlign w:val="bottom"/>
          </w:tcPr>
          <w:p w14:paraId="70ABE8A7" w14:textId="5E89C240" w:rsidR="00057722" w:rsidRPr="00E46EC8" w:rsidRDefault="00057722" w:rsidP="00522727">
            <w:pPr>
              <w:pStyle w:val="TableBody"/>
              <w:rPr>
                <w:color w:val="4986A0" w:themeColor="text2"/>
              </w:rPr>
            </w:pPr>
            <w:r w:rsidRPr="00E46EC8">
              <w:rPr>
                <w:color w:val="4986A0" w:themeColor="text2"/>
              </w:rPr>
              <w:t>$2,870</w:t>
            </w:r>
          </w:p>
        </w:tc>
        <w:tc>
          <w:tcPr>
            <w:tcW w:w="1145" w:type="dxa"/>
            <w:vAlign w:val="bottom"/>
          </w:tcPr>
          <w:p w14:paraId="0E09316D" w14:textId="65EDF042" w:rsidR="00057722" w:rsidRPr="00E46EC8" w:rsidRDefault="00057722" w:rsidP="00522727">
            <w:pPr>
              <w:pStyle w:val="TableBody"/>
              <w:rPr>
                <w:color w:val="4986A0" w:themeColor="text2"/>
              </w:rPr>
            </w:pPr>
            <w:r w:rsidRPr="00E46EC8">
              <w:rPr>
                <w:color w:val="4986A0" w:themeColor="text2"/>
              </w:rPr>
              <w:t>179</w:t>
            </w:r>
          </w:p>
        </w:tc>
        <w:tc>
          <w:tcPr>
            <w:tcW w:w="1244" w:type="dxa"/>
            <w:vAlign w:val="bottom"/>
          </w:tcPr>
          <w:p w14:paraId="11B9E5A9" w14:textId="7426FA1A" w:rsidR="00057722" w:rsidRPr="00E46EC8" w:rsidRDefault="00057722" w:rsidP="00522727">
            <w:pPr>
              <w:pStyle w:val="TableBody"/>
              <w:rPr>
                <w:color w:val="4986A0" w:themeColor="text2"/>
              </w:rPr>
            </w:pPr>
            <w:r w:rsidRPr="00E46EC8">
              <w:rPr>
                <w:color w:val="4986A0" w:themeColor="text2"/>
              </w:rPr>
              <w:t>$6,265</w:t>
            </w:r>
          </w:p>
        </w:tc>
        <w:tc>
          <w:tcPr>
            <w:tcW w:w="1109" w:type="dxa"/>
            <w:vAlign w:val="bottom"/>
          </w:tcPr>
          <w:p w14:paraId="23AC4DAD" w14:textId="1655A764" w:rsidR="00057722" w:rsidRPr="00E46EC8" w:rsidRDefault="00057722" w:rsidP="00522727">
            <w:pPr>
              <w:pStyle w:val="TableBody"/>
              <w:rPr>
                <w:color w:val="4986A0" w:themeColor="text2"/>
              </w:rPr>
            </w:pPr>
            <w:r w:rsidRPr="00E46EC8">
              <w:rPr>
                <w:color w:val="4986A0" w:themeColor="text2"/>
              </w:rPr>
              <w:t>323</w:t>
            </w:r>
          </w:p>
        </w:tc>
        <w:tc>
          <w:tcPr>
            <w:tcW w:w="1244" w:type="dxa"/>
            <w:vAlign w:val="bottom"/>
          </w:tcPr>
          <w:p w14:paraId="242CB20D" w14:textId="6F036930" w:rsidR="00057722" w:rsidRPr="00E46EC8" w:rsidRDefault="00057722" w:rsidP="00522727">
            <w:pPr>
              <w:pStyle w:val="TableBody"/>
              <w:rPr>
                <w:color w:val="4986A0" w:themeColor="text2"/>
              </w:rPr>
            </w:pPr>
            <w:r w:rsidRPr="00E46EC8">
              <w:rPr>
                <w:color w:val="4986A0" w:themeColor="text2"/>
              </w:rPr>
              <w:t>$11,305</w:t>
            </w:r>
          </w:p>
        </w:tc>
      </w:tr>
      <w:tr w:rsidR="00057722" w14:paraId="5EB191A2"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tcPr>
          <w:p w14:paraId="52BAD329" w14:textId="77777777" w:rsidR="00057722" w:rsidRPr="00057722" w:rsidRDefault="00057722" w:rsidP="00057722">
            <w:pPr>
              <w:pStyle w:val="TableHeading"/>
              <w:rPr>
                <w:b/>
                <w:bCs/>
                <w:color w:val="auto"/>
              </w:rPr>
            </w:pPr>
          </w:p>
        </w:tc>
        <w:tc>
          <w:tcPr>
            <w:tcW w:w="1108" w:type="dxa"/>
          </w:tcPr>
          <w:p w14:paraId="6443B5C4" w14:textId="300E6B9E" w:rsidR="00057722" w:rsidRPr="00057722" w:rsidRDefault="00057722" w:rsidP="00057722">
            <w:pPr>
              <w:pStyle w:val="TableHeading"/>
              <w:rPr>
                <w:b/>
                <w:bCs/>
                <w:color w:val="auto"/>
              </w:rPr>
            </w:pPr>
            <w:r w:rsidRPr="00057722">
              <w:rPr>
                <w:b/>
                <w:bCs/>
                <w:color w:val="auto"/>
              </w:rPr>
              <w:t>2023-24</w:t>
            </w:r>
          </w:p>
        </w:tc>
        <w:tc>
          <w:tcPr>
            <w:tcW w:w="1108" w:type="dxa"/>
            <w:vAlign w:val="bottom"/>
          </w:tcPr>
          <w:p w14:paraId="14A1134C" w14:textId="11D3C9FE" w:rsidR="00057722" w:rsidRPr="00E46EC8" w:rsidRDefault="00057722" w:rsidP="00522727">
            <w:pPr>
              <w:pStyle w:val="TableBody"/>
              <w:rPr>
                <w:color w:val="CE0058" w:themeColor="accent4"/>
              </w:rPr>
            </w:pPr>
            <w:r w:rsidRPr="00E46EC8">
              <w:rPr>
                <w:color w:val="CE0058" w:themeColor="accent4"/>
              </w:rPr>
              <w:t>214</w:t>
            </w:r>
          </w:p>
        </w:tc>
        <w:tc>
          <w:tcPr>
            <w:tcW w:w="1366" w:type="dxa"/>
            <w:vAlign w:val="bottom"/>
          </w:tcPr>
          <w:p w14:paraId="026DFE17" w14:textId="04F8C1B6" w:rsidR="00057722" w:rsidRPr="00E46EC8" w:rsidRDefault="00057722" w:rsidP="00522727">
            <w:pPr>
              <w:pStyle w:val="TableBody"/>
              <w:rPr>
                <w:color w:val="CE0058" w:themeColor="accent4"/>
              </w:rPr>
            </w:pPr>
            <w:r w:rsidRPr="00E46EC8">
              <w:rPr>
                <w:color w:val="CE0058" w:themeColor="accent4"/>
              </w:rPr>
              <w:t>$7,490</w:t>
            </w:r>
          </w:p>
        </w:tc>
        <w:tc>
          <w:tcPr>
            <w:tcW w:w="1108" w:type="dxa"/>
            <w:vAlign w:val="bottom"/>
          </w:tcPr>
          <w:p w14:paraId="50B963AA" w14:textId="11550DE4" w:rsidR="00057722" w:rsidRPr="00E46EC8" w:rsidRDefault="00057722" w:rsidP="00522727">
            <w:pPr>
              <w:pStyle w:val="TableBody"/>
              <w:rPr>
                <w:color w:val="CE0058" w:themeColor="accent4"/>
              </w:rPr>
            </w:pPr>
            <w:r w:rsidRPr="00E46EC8">
              <w:rPr>
                <w:color w:val="CE0058" w:themeColor="accent4"/>
              </w:rPr>
              <w:t>0</w:t>
            </w:r>
          </w:p>
        </w:tc>
        <w:tc>
          <w:tcPr>
            <w:tcW w:w="1108" w:type="dxa"/>
            <w:vAlign w:val="bottom"/>
          </w:tcPr>
          <w:p w14:paraId="73314A26" w14:textId="0702906A" w:rsidR="00057722" w:rsidRPr="00E46EC8" w:rsidRDefault="00057722" w:rsidP="00522727">
            <w:pPr>
              <w:pStyle w:val="TableBody"/>
              <w:rPr>
                <w:color w:val="CE0058" w:themeColor="accent4"/>
              </w:rPr>
            </w:pPr>
            <w:r w:rsidRPr="00E46EC8">
              <w:rPr>
                <w:color w:val="CE0058" w:themeColor="accent4"/>
              </w:rPr>
              <w:t>$0</w:t>
            </w:r>
          </w:p>
        </w:tc>
        <w:tc>
          <w:tcPr>
            <w:tcW w:w="1157" w:type="dxa"/>
            <w:vAlign w:val="bottom"/>
          </w:tcPr>
          <w:p w14:paraId="44F67908" w14:textId="70E749AD" w:rsidR="00057722" w:rsidRPr="00E46EC8" w:rsidRDefault="00057722" w:rsidP="00522727">
            <w:pPr>
              <w:pStyle w:val="TableBody"/>
              <w:rPr>
                <w:color w:val="CE0058" w:themeColor="accent4"/>
              </w:rPr>
            </w:pPr>
            <w:r w:rsidRPr="00E46EC8">
              <w:rPr>
                <w:color w:val="CE0058" w:themeColor="accent4"/>
              </w:rPr>
              <w:t>40</w:t>
            </w:r>
          </w:p>
        </w:tc>
        <w:tc>
          <w:tcPr>
            <w:tcW w:w="1108" w:type="dxa"/>
            <w:vAlign w:val="bottom"/>
          </w:tcPr>
          <w:p w14:paraId="3E8E1108" w14:textId="740259C5" w:rsidR="00057722" w:rsidRPr="00E46EC8" w:rsidRDefault="00057722" w:rsidP="00522727">
            <w:pPr>
              <w:pStyle w:val="TableBody"/>
              <w:rPr>
                <w:color w:val="CE0058" w:themeColor="accent4"/>
              </w:rPr>
            </w:pPr>
            <w:r w:rsidRPr="00E46EC8">
              <w:rPr>
                <w:color w:val="CE0058" w:themeColor="accent4"/>
              </w:rPr>
              <w:t>$1,400</w:t>
            </w:r>
          </w:p>
        </w:tc>
        <w:tc>
          <w:tcPr>
            <w:tcW w:w="1145" w:type="dxa"/>
            <w:vAlign w:val="bottom"/>
          </w:tcPr>
          <w:p w14:paraId="6B3033AC" w14:textId="193AD860" w:rsidR="00057722" w:rsidRPr="00E46EC8" w:rsidRDefault="00057722" w:rsidP="00522727">
            <w:pPr>
              <w:pStyle w:val="TableBody"/>
              <w:rPr>
                <w:color w:val="CE0058" w:themeColor="accent4"/>
              </w:rPr>
            </w:pPr>
            <w:r w:rsidRPr="00E46EC8">
              <w:rPr>
                <w:color w:val="CE0058" w:themeColor="accent4"/>
              </w:rPr>
              <w:t>294</w:t>
            </w:r>
          </w:p>
        </w:tc>
        <w:tc>
          <w:tcPr>
            <w:tcW w:w="1244" w:type="dxa"/>
            <w:vAlign w:val="bottom"/>
          </w:tcPr>
          <w:p w14:paraId="333B5089" w14:textId="018B8D75" w:rsidR="00057722" w:rsidRPr="00E46EC8" w:rsidRDefault="00057722" w:rsidP="00522727">
            <w:pPr>
              <w:pStyle w:val="TableBody"/>
              <w:rPr>
                <w:color w:val="CE0058" w:themeColor="accent4"/>
              </w:rPr>
            </w:pPr>
            <w:r w:rsidRPr="00E46EC8">
              <w:rPr>
                <w:color w:val="CE0058" w:themeColor="accent4"/>
              </w:rPr>
              <w:t>$10,290</w:t>
            </w:r>
          </w:p>
        </w:tc>
        <w:tc>
          <w:tcPr>
            <w:tcW w:w="1109" w:type="dxa"/>
            <w:vAlign w:val="bottom"/>
          </w:tcPr>
          <w:p w14:paraId="058D65C6" w14:textId="61BE65EB" w:rsidR="00057722" w:rsidRPr="00E46EC8" w:rsidRDefault="00057722" w:rsidP="00522727">
            <w:pPr>
              <w:pStyle w:val="TableBody"/>
              <w:rPr>
                <w:color w:val="CE0058" w:themeColor="accent4"/>
              </w:rPr>
            </w:pPr>
            <w:r w:rsidRPr="00E46EC8">
              <w:rPr>
                <w:color w:val="CE0058" w:themeColor="accent4"/>
              </w:rPr>
              <w:t>65</w:t>
            </w:r>
          </w:p>
        </w:tc>
        <w:tc>
          <w:tcPr>
            <w:tcW w:w="1244" w:type="dxa"/>
            <w:vAlign w:val="bottom"/>
          </w:tcPr>
          <w:p w14:paraId="1C8613C8" w14:textId="6058CCD9" w:rsidR="00057722" w:rsidRPr="00E46EC8" w:rsidRDefault="00057722" w:rsidP="00522727">
            <w:pPr>
              <w:pStyle w:val="TableBody"/>
              <w:rPr>
                <w:color w:val="CE0058" w:themeColor="accent4"/>
              </w:rPr>
            </w:pPr>
            <w:r w:rsidRPr="00E46EC8">
              <w:rPr>
                <w:color w:val="CE0058" w:themeColor="accent4"/>
              </w:rPr>
              <w:t>$2,275</w:t>
            </w:r>
          </w:p>
        </w:tc>
      </w:tr>
      <w:tr w:rsidR="00057722" w14:paraId="68E70697"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3C441FE9" w14:textId="77777777" w:rsidR="00057722" w:rsidRPr="00057722" w:rsidRDefault="00057722" w:rsidP="00057722">
            <w:pPr>
              <w:pStyle w:val="TableHeading"/>
              <w:rPr>
                <w:b/>
                <w:bCs/>
                <w:color w:val="auto"/>
              </w:rPr>
            </w:pPr>
          </w:p>
        </w:tc>
        <w:tc>
          <w:tcPr>
            <w:tcW w:w="1108" w:type="dxa"/>
          </w:tcPr>
          <w:p w14:paraId="1C89138D" w14:textId="72C1364A" w:rsidR="00057722" w:rsidRPr="00057722" w:rsidRDefault="00057722" w:rsidP="00057722">
            <w:pPr>
              <w:pStyle w:val="TableHeading"/>
              <w:rPr>
                <w:b/>
                <w:bCs/>
                <w:color w:val="auto"/>
              </w:rPr>
            </w:pPr>
            <w:r w:rsidRPr="00057722">
              <w:rPr>
                <w:b/>
                <w:bCs/>
                <w:color w:val="auto"/>
              </w:rPr>
              <w:t>2024-25</w:t>
            </w:r>
          </w:p>
        </w:tc>
        <w:tc>
          <w:tcPr>
            <w:tcW w:w="1108" w:type="dxa"/>
            <w:vAlign w:val="bottom"/>
          </w:tcPr>
          <w:p w14:paraId="51BFBCE6" w14:textId="562C0B94" w:rsidR="00057722" w:rsidRPr="00E46EC8" w:rsidRDefault="00057722" w:rsidP="00522727">
            <w:pPr>
              <w:pStyle w:val="TableBody"/>
              <w:rPr>
                <w:color w:val="ED8B00" w:themeColor="accent2"/>
              </w:rPr>
            </w:pPr>
            <w:r w:rsidRPr="00E46EC8">
              <w:rPr>
                <w:color w:val="ED8B00" w:themeColor="accent2"/>
              </w:rPr>
              <w:t>0</w:t>
            </w:r>
          </w:p>
        </w:tc>
        <w:tc>
          <w:tcPr>
            <w:tcW w:w="1366" w:type="dxa"/>
            <w:vAlign w:val="bottom"/>
          </w:tcPr>
          <w:p w14:paraId="43BE91A1" w14:textId="72C509E6" w:rsidR="00057722" w:rsidRPr="00E46EC8" w:rsidRDefault="00057722" w:rsidP="00522727">
            <w:pPr>
              <w:pStyle w:val="TableBody"/>
              <w:rPr>
                <w:color w:val="ED8B00" w:themeColor="accent2"/>
              </w:rPr>
            </w:pPr>
            <w:r w:rsidRPr="00E46EC8">
              <w:rPr>
                <w:color w:val="ED8B00" w:themeColor="accent2"/>
              </w:rPr>
              <w:t>$0</w:t>
            </w:r>
          </w:p>
        </w:tc>
        <w:tc>
          <w:tcPr>
            <w:tcW w:w="1108" w:type="dxa"/>
            <w:vAlign w:val="bottom"/>
          </w:tcPr>
          <w:p w14:paraId="00E5B1AC" w14:textId="086AF747" w:rsidR="00057722" w:rsidRPr="00E46EC8" w:rsidRDefault="00057722" w:rsidP="00522727">
            <w:pPr>
              <w:pStyle w:val="TableBody"/>
              <w:rPr>
                <w:color w:val="ED8B00" w:themeColor="accent2"/>
              </w:rPr>
            </w:pPr>
            <w:r w:rsidRPr="00E46EC8">
              <w:rPr>
                <w:color w:val="ED8B00" w:themeColor="accent2"/>
              </w:rPr>
              <w:t>3</w:t>
            </w:r>
          </w:p>
        </w:tc>
        <w:tc>
          <w:tcPr>
            <w:tcW w:w="1108" w:type="dxa"/>
            <w:vAlign w:val="bottom"/>
          </w:tcPr>
          <w:p w14:paraId="06DDC158" w14:textId="0A9D1061" w:rsidR="00057722" w:rsidRPr="00E46EC8" w:rsidRDefault="00057722" w:rsidP="00522727">
            <w:pPr>
              <w:pStyle w:val="TableBody"/>
              <w:rPr>
                <w:color w:val="ED8B00" w:themeColor="accent2"/>
              </w:rPr>
            </w:pPr>
            <w:r w:rsidRPr="00E46EC8">
              <w:rPr>
                <w:color w:val="ED8B00" w:themeColor="accent2"/>
              </w:rPr>
              <w:t>$105</w:t>
            </w:r>
          </w:p>
        </w:tc>
        <w:tc>
          <w:tcPr>
            <w:tcW w:w="1157" w:type="dxa"/>
            <w:vAlign w:val="bottom"/>
          </w:tcPr>
          <w:p w14:paraId="044F06BE" w14:textId="49B79C63" w:rsidR="00057722" w:rsidRPr="00E46EC8" w:rsidRDefault="00057722" w:rsidP="00522727">
            <w:pPr>
              <w:pStyle w:val="TableBody"/>
              <w:rPr>
                <w:color w:val="ED8B00" w:themeColor="accent2"/>
              </w:rPr>
            </w:pPr>
            <w:r w:rsidRPr="00E46EC8">
              <w:rPr>
                <w:color w:val="ED8B00" w:themeColor="accent2"/>
              </w:rPr>
              <w:t>12</w:t>
            </w:r>
          </w:p>
        </w:tc>
        <w:tc>
          <w:tcPr>
            <w:tcW w:w="1108" w:type="dxa"/>
            <w:vAlign w:val="bottom"/>
          </w:tcPr>
          <w:p w14:paraId="66C267B9" w14:textId="23F76FF6" w:rsidR="00057722" w:rsidRPr="00E46EC8" w:rsidRDefault="00057722" w:rsidP="00522727">
            <w:pPr>
              <w:pStyle w:val="TableBody"/>
              <w:rPr>
                <w:color w:val="ED8B00" w:themeColor="accent2"/>
              </w:rPr>
            </w:pPr>
            <w:r w:rsidRPr="00E46EC8">
              <w:rPr>
                <w:color w:val="ED8B00" w:themeColor="accent2"/>
              </w:rPr>
              <w:t>$420</w:t>
            </w:r>
          </w:p>
        </w:tc>
        <w:tc>
          <w:tcPr>
            <w:tcW w:w="1145" w:type="dxa"/>
            <w:vAlign w:val="bottom"/>
          </w:tcPr>
          <w:p w14:paraId="4B120B58" w14:textId="668EFCB8" w:rsidR="00057722" w:rsidRPr="00E46EC8" w:rsidRDefault="00057722" w:rsidP="00522727">
            <w:pPr>
              <w:pStyle w:val="TableBody"/>
              <w:rPr>
                <w:color w:val="ED8B00" w:themeColor="accent2"/>
              </w:rPr>
            </w:pPr>
            <w:r w:rsidRPr="00E46EC8">
              <w:rPr>
                <w:color w:val="ED8B00" w:themeColor="accent2"/>
              </w:rPr>
              <w:t>148</w:t>
            </w:r>
          </w:p>
        </w:tc>
        <w:tc>
          <w:tcPr>
            <w:tcW w:w="1244" w:type="dxa"/>
            <w:vAlign w:val="bottom"/>
          </w:tcPr>
          <w:p w14:paraId="0E4A1D1E" w14:textId="1681FC35" w:rsidR="00057722" w:rsidRPr="00E46EC8" w:rsidRDefault="00057722" w:rsidP="00522727">
            <w:pPr>
              <w:pStyle w:val="TableBody"/>
              <w:rPr>
                <w:color w:val="ED8B00" w:themeColor="accent2"/>
              </w:rPr>
            </w:pPr>
            <w:r w:rsidRPr="00E46EC8">
              <w:rPr>
                <w:color w:val="ED8B00" w:themeColor="accent2"/>
              </w:rPr>
              <w:t>$5,180</w:t>
            </w:r>
          </w:p>
        </w:tc>
        <w:tc>
          <w:tcPr>
            <w:tcW w:w="1109" w:type="dxa"/>
            <w:vAlign w:val="bottom"/>
          </w:tcPr>
          <w:p w14:paraId="4C4BBBD3" w14:textId="19BDE1BF" w:rsidR="00057722" w:rsidRPr="00E46EC8" w:rsidRDefault="00057722" w:rsidP="00522727">
            <w:pPr>
              <w:pStyle w:val="TableBody"/>
              <w:rPr>
                <w:color w:val="ED8B00" w:themeColor="accent2"/>
              </w:rPr>
            </w:pPr>
            <w:r w:rsidRPr="00E46EC8">
              <w:rPr>
                <w:color w:val="ED8B00" w:themeColor="accent2"/>
              </w:rPr>
              <w:t>4</w:t>
            </w:r>
          </w:p>
        </w:tc>
        <w:tc>
          <w:tcPr>
            <w:tcW w:w="1244" w:type="dxa"/>
            <w:vAlign w:val="bottom"/>
          </w:tcPr>
          <w:p w14:paraId="107162C6" w14:textId="2AF87224" w:rsidR="00057722" w:rsidRPr="00E46EC8" w:rsidRDefault="00057722" w:rsidP="00522727">
            <w:pPr>
              <w:pStyle w:val="TableBody"/>
              <w:rPr>
                <w:color w:val="ED8B00" w:themeColor="accent2"/>
              </w:rPr>
            </w:pPr>
            <w:r w:rsidRPr="00E46EC8">
              <w:rPr>
                <w:color w:val="ED8B00" w:themeColor="accent2"/>
              </w:rPr>
              <w:t>$140</w:t>
            </w:r>
          </w:p>
        </w:tc>
      </w:tr>
      <w:tr w:rsidR="00057722" w14:paraId="4111DEA0"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val="restart"/>
            <w:shd w:val="clear" w:color="auto" w:fill="F2F2F2" w:themeFill="background1" w:themeFillShade="F2"/>
          </w:tcPr>
          <w:p w14:paraId="09CEBFBA" w14:textId="6875656C" w:rsidR="00057722" w:rsidRPr="00057722" w:rsidRDefault="00057722" w:rsidP="00057722">
            <w:pPr>
              <w:pStyle w:val="TableHeading"/>
              <w:rPr>
                <w:rFonts w:ascii="Arial" w:hAnsi="Arial" w:cs="Arial"/>
                <w:b/>
                <w:bCs/>
                <w:color w:val="auto"/>
              </w:rPr>
            </w:pPr>
            <w:r w:rsidRPr="00057722">
              <w:rPr>
                <w:rFonts w:ascii="Arial" w:hAnsi="Arial" w:cs="Arial"/>
                <w:b/>
                <w:bCs/>
                <w:color w:val="auto"/>
              </w:rPr>
              <w:t>Failing to connect customers by agreed date</w:t>
            </w:r>
          </w:p>
        </w:tc>
        <w:tc>
          <w:tcPr>
            <w:tcW w:w="1108" w:type="dxa"/>
          </w:tcPr>
          <w:p w14:paraId="5B9DF72B" w14:textId="621694B9" w:rsidR="00057722" w:rsidRPr="00057722" w:rsidRDefault="00057722" w:rsidP="00057722">
            <w:pPr>
              <w:pStyle w:val="TableHeading"/>
              <w:rPr>
                <w:b/>
                <w:bCs/>
                <w:color w:val="auto"/>
              </w:rPr>
            </w:pPr>
            <w:r w:rsidRPr="00057722">
              <w:rPr>
                <w:b/>
                <w:bCs/>
                <w:color w:val="auto"/>
              </w:rPr>
              <w:t>2021-22</w:t>
            </w:r>
          </w:p>
        </w:tc>
        <w:tc>
          <w:tcPr>
            <w:tcW w:w="1108" w:type="dxa"/>
            <w:vAlign w:val="bottom"/>
          </w:tcPr>
          <w:p w14:paraId="56201A17" w14:textId="0C19B44B" w:rsidR="00057722" w:rsidRDefault="00057722" w:rsidP="00522727">
            <w:pPr>
              <w:pStyle w:val="TableBody"/>
            </w:pPr>
            <w:r>
              <w:t>2116</w:t>
            </w:r>
          </w:p>
        </w:tc>
        <w:tc>
          <w:tcPr>
            <w:tcW w:w="1366" w:type="dxa"/>
            <w:vAlign w:val="bottom"/>
          </w:tcPr>
          <w:p w14:paraId="2895CCA8" w14:textId="51265EE9" w:rsidR="00057722" w:rsidRDefault="00057722" w:rsidP="00522727">
            <w:pPr>
              <w:pStyle w:val="TableBody"/>
            </w:pPr>
            <w:r>
              <w:t>$452,030</w:t>
            </w:r>
          </w:p>
        </w:tc>
        <w:tc>
          <w:tcPr>
            <w:tcW w:w="1108" w:type="dxa"/>
            <w:vAlign w:val="bottom"/>
          </w:tcPr>
          <w:p w14:paraId="15D91CE1" w14:textId="468A1E01" w:rsidR="00057722" w:rsidRDefault="00057722" w:rsidP="00522727">
            <w:pPr>
              <w:pStyle w:val="TableBody"/>
            </w:pPr>
            <w:r>
              <w:t>165</w:t>
            </w:r>
          </w:p>
        </w:tc>
        <w:tc>
          <w:tcPr>
            <w:tcW w:w="1108" w:type="dxa"/>
            <w:vAlign w:val="bottom"/>
          </w:tcPr>
          <w:p w14:paraId="4535A108" w14:textId="3BADE450" w:rsidR="00057722" w:rsidRDefault="00057722" w:rsidP="00522727">
            <w:pPr>
              <w:pStyle w:val="TableBody"/>
            </w:pPr>
            <w:r>
              <w:t>$33,440</w:t>
            </w:r>
          </w:p>
        </w:tc>
        <w:tc>
          <w:tcPr>
            <w:tcW w:w="1157" w:type="dxa"/>
            <w:vAlign w:val="bottom"/>
          </w:tcPr>
          <w:p w14:paraId="356F79B6" w14:textId="183F888D" w:rsidR="00057722" w:rsidRDefault="00057722" w:rsidP="00522727">
            <w:pPr>
              <w:pStyle w:val="TableBody"/>
            </w:pPr>
            <w:r>
              <w:t>20</w:t>
            </w:r>
          </w:p>
        </w:tc>
        <w:tc>
          <w:tcPr>
            <w:tcW w:w="1108" w:type="dxa"/>
            <w:vAlign w:val="bottom"/>
          </w:tcPr>
          <w:p w14:paraId="109D11BD" w14:textId="586648E9" w:rsidR="00057722" w:rsidRDefault="00057722" w:rsidP="00522727">
            <w:pPr>
              <w:pStyle w:val="TableBody"/>
            </w:pPr>
            <w:r>
              <w:t>$6,560</w:t>
            </w:r>
          </w:p>
        </w:tc>
        <w:tc>
          <w:tcPr>
            <w:tcW w:w="1145" w:type="dxa"/>
            <w:vAlign w:val="bottom"/>
          </w:tcPr>
          <w:p w14:paraId="74BE323C" w14:textId="6707FB9E" w:rsidR="00057722" w:rsidRDefault="00057722" w:rsidP="00522727">
            <w:pPr>
              <w:pStyle w:val="TableBody"/>
            </w:pPr>
            <w:r>
              <w:t>301</w:t>
            </w:r>
          </w:p>
        </w:tc>
        <w:tc>
          <w:tcPr>
            <w:tcW w:w="1244" w:type="dxa"/>
            <w:vAlign w:val="bottom"/>
          </w:tcPr>
          <w:p w14:paraId="3F9A18F0" w14:textId="384CC898" w:rsidR="00057722" w:rsidRDefault="00057722" w:rsidP="00522727">
            <w:pPr>
              <w:pStyle w:val="TableBody"/>
            </w:pPr>
            <w:r>
              <w:t>$78,240</w:t>
            </w:r>
          </w:p>
        </w:tc>
        <w:tc>
          <w:tcPr>
            <w:tcW w:w="1109" w:type="dxa"/>
            <w:vAlign w:val="bottom"/>
          </w:tcPr>
          <w:p w14:paraId="15BB93D2" w14:textId="74B85425" w:rsidR="00057722" w:rsidRDefault="00057722" w:rsidP="00522727">
            <w:pPr>
              <w:pStyle w:val="TableBody"/>
            </w:pPr>
            <w:r>
              <w:t>25</w:t>
            </w:r>
          </w:p>
        </w:tc>
        <w:tc>
          <w:tcPr>
            <w:tcW w:w="1244" w:type="dxa"/>
            <w:vAlign w:val="bottom"/>
          </w:tcPr>
          <w:p w14:paraId="58229097" w14:textId="5E8102FB" w:rsidR="00057722" w:rsidRDefault="00057722" w:rsidP="00522727">
            <w:pPr>
              <w:pStyle w:val="TableBody"/>
            </w:pPr>
            <w:r>
              <w:t>$6,800</w:t>
            </w:r>
          </w:p>
        </w:tc>
      </w:tr>
      <w:tr w:rsidR="00057722" w14:paraId="08BFF861"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79BB0041" w14:textId="77777777" w:rsidR="00057722" w:rsidRPr="00057722" w:rsidRDefault="00057722" w:rsidP="00057722">
            <w:pPr>
              <w:pStyle w:val="TableHeading"/>
              <w:rPr>
                <w:b/>
                <w:bCs/>
                <w:color w:val="auto"/>
              </w:rPr>
            </w:pPr>
          </w:p>
        </w:tc>
        <w:tc>
          <w:tcPr>
            <w:tcW w:w="1108" w:type="dxa"/>
          </w:tcPr>
          <w:p w14:paraId="1605B401" w14:textId="175476D2" w:rsidR="00057722" w:rsidRPr="00057722" w:rsidRDefault="00057722" w:rsidP="00057722">
            <w:pPr>
              <w:pStyle w:val="TableHeading"/>
              <w:rPr>
                <w:b/>
                <w:bCs/>
                <w:color w:val="auto"/>
              </w:rPr>
            </w:pPr>
            <w:r w:rsidRPr="00057722">
              <w:rPr>
                <w:b/>
                <w:bCs/>
                <w:color w:val="auto"/>
              </w:rPr>
              <w:t>2022-23</w:t>
            </w:r>
          </w:p>
        </w:tc>
        <w:tc>
          <w:tcPr>
            <w:tcW w:w="1108" w:type="dxa"/>
            <w:vAlign w:val="bottom"/>
          </w:tcPr>
          <w:p w14:paraId="73D73D89" w14:textId="4813FD4A" w:rsidR="00057722" w:rsidRPr="00E46EC8" w:rsidRDefault="00057722" w:rsidP="00522727">
            <w:pPr>
              <w:pStyle w:val="TableBody"/>
              <w:rPr>
                <w:color w:val="4986A0" w:themeColor="text2"/>
              </w:rPr>
            </w:pPr>
            <w:r w:rsidRPr="00E46EC8">
              <w:rPr>
                <w:color w:val="4986A0" w:themeColor="text2"/>
              </w:rPr>
              <w:t>2,263</w:t>
            </w:r>
          </w:p>
        </w:tc>
        <w:tc>
          <w:tcPr>
            <w:tcW w:w="1366" w:type="dxa"/>
            <w:vAlign w:val="bottom"/>
          </w:tcPr>
          <w:p w14:paraId="2360B34C" w14:textId="41E8E842" w:rsidR="00057722" w:rsidRPr="00E46EC8" w:rsidRDefault="00057722" w:rsidP="00522727">
            <w:pPr>
              <w:pStyle w:val="TableBody"/>
              <w:rPr>
                <w:color w:val="4986A0" w:themeColor="text2"/>
              </w:rPr>
            </w:pPr>
            <w:r w:rsidRPr="00E46EC8">
              <w:rPr>
                <w:color w:val="4986A0" w:themeColor="text2"/>
              </w:rPr>
              <w:t>$490,400</w:t>
            </w:r>
          </w:p>
        </w:tc>
        <w:tc>
          <w:tcPr>
            <w:tcW w:w="1108" w:type="dxa"/>
            <w:vAlign w:val="bottom"/>
          </w:tcPr>
          <w:p w14:paraId="4FCB2E45" w14:textId="191C95D9" w:rsidR="00057722" w:rsidRPr="00E46EC8" w:rsidRDefault="00057722" w:rsidP="00522727">
            <w:pPr>
              <w:pStyle w:val="TableBody"/>
              <w:rPr>
                <w:color w:val="4986A0" w:themeColor="text2"/>
              </w:rPr>
            </w:pPr>
            <w:r w:rsidRPr="00E46EC8">
              <w:rPr>
                <w:color w:val="4986A0" w:themeColor="text2"/>
              </w:rPr>
              <w:t>13</w:t>
            </w:r>
          </w:p>
        </w:tc>
        <w:tc>
          <w:tcPr>
            <w:tcW w:w="1108" w:type="dxa"/>
            <w:vAlign w:val="bottom"/>
          </w:tcPr>
          <w:p w14:paraId="40BAE7BB" w14:textId="78AD75ED" w:rsidR="00057722" w:rsidRPr="00E46EC8" w:rsidRDefault="00057722" w:rsidP="00522727">
            <w:pPr>
              <w:pStyle w:val="TableBody"/>
              <w:rPr>
                <w:color w:val="4986A0" w:themeColor="text2"/>
              </w:rPr>
            </w:pPr>
            <w:r w:rsidRPr="00E46EC8">
              <w:rPr>
                <w:color w:val="4986A0" w:themeColor="text2"/>
              </w:rPr>
              <w:t>$4,560</w:t>
            </w:r>
          </w:p>
        </w:tc>
        <w:tc>
          <w:tcPr>
            <w:tcW w:w="1157" w:type="dxa"/>
            <w:vAlign w:val="bottom"/>
          </w:tcPr>
          <w:p w14:paraId="5D58C287" w14:textId="165C349F" w:rsidR="00057722" w:rsidRPr="00E46EC8" w:rsidRDefault="00057722" w:rsidP="00522727">
            <w:pPr>
              <w:pStyle w:val="TableBody"/>
              <w:rPr>
                <w:color w:val="4986A0" w:themeColor="text2"/>
              </w:rPr>
            </w:pPr>
            <w:r w:rsidRPr="00E46EC8">
              <w:rPr>
                <w:color w:val="4986A0" w:themeColor="text2"/>
              </w:rPr>
              <w:t>19</w:t>
            </w:r>
          </w:p>
        </w:tc>
        <w:tc>
          <w:tcPr>
            <w:tcW w:w="1108" w:type="dxa"/>
            <w:vAlign w:val="bottom"/>
          </w:tcPr>
          <w:p w14:paraId="312BADD4" w14:textId="6A5B7EA4" w:rsidR="00057722" w:rsidRPr="00E46EC8" w:rsidRDefault="00057722" w:rsidP="00522727">
            <w:pPr>
              <w:pStyle w:val="TableBody"/>
              <w:rPr>
                <w:color w:val="4986A0" w:themeColor="text2"/>
              </w:rPr>
            </w:pPr>
            <w:r w:rsidRPr="00E46EC8">
              <w:rPr>
                <w:color w:val="4986A0" w:themeColor="text2"/>
              </w:rPr>
              <w:t>$4,640</w:t>
            </w:r>
          </w:p>
        </w:tc>
        <w:tc>
          <w:tcPr>
            <w:tcW w:w="1145" w:type="dxa"/>
            <w:vAlign w:val="bottom"/>
          </w:tcPr>
          <w:p w14:paraId="73B8705C" w14:textId="53165356" w:rsidR="00057722" w:rsidRPr="00E46EC8" w:rsidRDefault="00057722" w:rsidP="00522727">
            <w:pPr>
              <w:pStyle w:val="TableBody"/>
              <w:rPr>
                <w:color w:val="4986A0" w:themeColor="text2"/>
              </w:rPr>
            </w:pPr>
            <w:r w:rsidRPr="00E46EC8">
              <w:rPr>
                <w:color w:val="4986A0" w:themeColor="text2"/>
              </w:rPr>
              <w:t>306</w:t>
            </w:r>
          </w:p>
        </w:tc>
        <w:tc>
          <w:tcPr>
            <w:tcW w:w="1244" w:type="dxa"/>
            <w:vAlign w:val="bottom"/>
          </w:tcPr>
          <w:p w14:paraId="05BB6B2B" w14:textId="1A87EA74" w:rsidR="00057722" w:rsidRPr="00E46EC8" w:rsidRDefault="00057722" w:rsidP="00522727">
            <w:pPr>
              <w:pStyle w:val="TableBody"/>
              <w:rPr>
                <w:color w:val="4986A0" w:themeColor="text2"/>
              </w:rPr>
            </w:pPr>
            <w:r w:rsidRPr="00E46EC8">
              <w:rPr>
                <w:color w:val="4986A0" w:themeColor="text2"/>
              </w:rPr>
              <w:t>$87,600</w:t>
            </w:r>
          </w:p>
        </w:tc>
        <w:tc>
          <w:tcPr>
            <w:tcW w:w="1109" w:type="dxa"/>
            <w:vAlign w:val="bottom"/>
          </w:tcPr>
          <w:p w14:paraId="020AF9E9" w14:textId="6B3A204E" w:rsidR="00057722" w:rsidRPr="00E46EC8" w:rsidRDefault="00057722" w:rsidP="00522727">
            <w:pPr>
              <w:pStyle w:val="TableBody"/>
              <w:rPr>
                <w:color w:val="4986A0" w:themeColor="text2"/>
              </w:rPr>
            </w:pPr>
            <w:r w:rsidRPr="00E46EC8">
              <w:rPr>
                <w:color w:val="4986A0" w:themeColor="text2"/>
              </w:rPr>
              <w:t>931</w:t>
            </w:r>
          </w:p>
        </w:tc>
        <w:tc>
          <w:tcPr>
            <w:tcW w:w="1244" w:type="dxa"/>
            <w:vAlign w:val="bottom"/>
          </w:tcPr>
          <w:p w14:paraId="7A221657" w14:textId="2FF64B12" w:rsidR="00057722" w:rsidRPr="00E46EC8" w:rsidRDefault="00057722" w:rsidP="00522727">
            <w:pPr>
              <w:pStyle w:val="TableBody"/>
              <w:rPr>
                <w:color w:val="4986A0" w:themeColor="text2"/>
              </w:rPr>
            </w:pPr>
            <w:r w:rsidRPr="00E46EC8">
              <w:rPr>
                <w:color w:val="4986A0" w:themeColor="text2"/>
              </w:rPr>
              <w:t>$298,960</w:t>
            </w:r>
          </w:p>
        </w:tc>
      </w:tr>
      <w:tr w:rsidR="00057722" w14:paraId="3E6218EB"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shd w:val="clear" w:color="auto" w:fill="F2F2F2" w:themeFill="background1" w:themeFillShade="F2"/>
          </w:tcPr>
          <w:p w14:paraId="04544657" w14:textId="77777777" w:rsidR="00057722" w:rsidRPr="00057722" w:rsidRDefault="00057722" w:rsidP="00057722">
            <w:pPr>
              <w:pStyle w:val="TableHeading"/>
              <w:rPr>
                <w:b/>
                <w:bCs/>
                <w:color w:val="auto"/>
              </w:rPr>
            </w:pPr>
          </w:p>
        </w:tc>
        <w:tc>
          <w:tcPr>
            <w:tcW w:w="1108" w:type="dxa"/>
          </w:tcPr>
          <w:p w14:paraId="301B23AA" w14:textId="1E5F0233" w:rsidR="00057722" w:rsidRPr="00057722" w:rsidRDefault="00057722" w:rsidP="00057722">
            <w:pPr>
              <w:pStyle w:val="TableHeading"/>
              <w:rPr>
                <w:b/>
                <w:bCs/>
                <w:color w:val="auto"/>
              </w:rPr>
            </w:pPr>
            <w:r w:rsidRPr="00057722">
              <w:rPr>
                <w:b/>
                <w:bCs/>
                <w:color w:val="auto"/>
              </w:rPr>
              <w:t>2023-24</w:t>
            </w:r>
          </w:p>
        </w:tc>
        <w:tc>
          <w:tcPr>
            <w:tcW w:w="1108" w:type="dxa"/>
            <w:vAlign w:val="bottom"/>
          </w:tcPr>
          <w:p w14:paraId="1C34031B" w14:textId="1F2306CB" w:rsidR="00057722" w:rsidRPr="00E46EC8" w:rsidRDefault="00057722" w:rsidP="00522727">
            <w:pPr>
              <w:pStyle w:val="TableBody"/>
              <w:rPr>
                <w:color w:val="CE0058" w:themeColor="accent4"/>
              </w:rPr>
            </w:pPr>
            <w:r w:rsidRPr="00E46EC8">
              <w:rPr>
                <w:color w:val="CE0058" w:themeColor="accent4"/>
              </w:rPr>
              <w:t>4742</w:t>
            </w:r>
          </w:p>
        </w:tc>
        <w:tc>
          <w:tcPr>
            <w:tcW w:w="1366" w:type="dxa"/>
            <w:vAlign w:val="bottom"/>
          </w:tcPr>
          <w:p w14:paraId="1267EE31" w14:textId="1DC852EB" w:rsidR="00057722" w:rsidRPr="00E46EC8" w:rsidRDefault="00057722" w:rsidP="00522727">
            <w:pPr>
              <w:pStyle w:val="TableBody"/>
              <w:rPr>
                <w:color w:val="CE0058" w:themeColor="accent4"/>
              </w:rPr>
            </w:pPr>
            <w:r w:rsidRPr="00E46EC8">
              <w:rPr>
                <w:color w:val="CE0058" w:themeColor="accent4"/>
              </w:rPr>
              <w:t>$1,614,160</w:t>
            </w:r>
          </w:p>
        </w:tc>
        <w:tc>
          <w:tcPr>
            <w:tcW w:w="1108" w:type="dxa"/>
            <w:vAlign w:val="bottom"/>
          </w:tcPr>
          <w:p w14:paraId="382976F0" w14:textId="31920BF8" w:rsidR="00057722" w:rsidRPr="00E46EC8" w:rsidRDefault="00057722" w:rsidP="00522727">
            <w:pPr>
              <w:pStyle w:val="TableBody"/>
              <w:rPr>
                <w:color w:val="CE0058" w:themeColor="accent4"/>
              </w:rPr>
            </w:pPr>
            <w:r w:rsidRPr="00E46EC8">
              <w:rPr>
                <w:color w:val="CE0058" w:themeColor="accent4"/>
              </w:rPr>
              <w:t>3</w:t>
            </w:r>
          </w:p>
        </w:tc>
        <w:tc>
          <w:tcPr>
            <w:tcW w:w="1108" w:type="dxa"/>
            <w:vAlign w:val="bottom"/>
          </w:tcPr>
          <w:p w14:paraId="29C4A450" w14:textId="4AE20122" w:rsidR="00057722" w:rsidRPr="00E46EC8" w:rsidRDefault="00057722" w:rsidP="00522727">
            <w:pPr>
              <w:pStyle w:val="TableBody"/>
              <w:rPr>
                <w:color w:val="CE0058" w:themeColor="accent4"/>
              </w:rPr>
            </w:pPr>
            <w:r w:rsidRPr="00E46EC8">
              <w:rPr>
                <w:color w:val="CE0058" w:themeColor="accent4"/>
              </w:rPr>
              <w:t>$240</w:t>
            </w:r>
          </w:p>
        </w:tc>
        <w:tc>
          <w:tcPr>
            <w:tcW w:w="1157" w:type="dxa"/>
            <w:vAlign w:val="bottom"/>
          </w:tcPr>
          <w:p w14:paraId="77E063B5" w14:textId="16AAB966" w:rsidR="00057722" w:rsidRPr="00E46EC8" w:rsidRDefault="00057722" w:rsidP="00522727">
            <w:pPr>
              <w:pStyle w:val="TableBody"/>
              <w:rPr>
                <w:color w:val="CE0058" w:themeColor="accent4"/>
              </w:rPr>
            </w:pPr>
            <w:r w:rsidRPr="00E46EC8">
              <w:rPr>
                <w:color w:val="CE0058" w:themeColor="accent4"/>
              </w:rPr>
              <w:t>8</w:t>
            </w:r>
          </w:p>
        </w:tc>
        <w:tc>
          <w:tcPr>
            <w:tcW w:w="1108" w:type="dxa"/>
            <w:vAlign w:val="bottom"/>
          </w:tcPr>
          <w:p w14:paraId="765DFE01" w14:textId="2E9738F3" w:rsidR="00057722" w:rsidRPr="00E46EC8" w:rsidRDefault="00057722" w:rsidP="00522727">
            <w:pPr>
              <w:pStyle w:val="TableBody"/>
              <w:rPr>
                <w:color w:val="CE0058" w:themeColor="accent4"/>
              </w:rPr>
            </w:pPr>
            <w:r w:rsidRPr="00E46EC8">
              <w:rPr>
                <w:color w:val="CE0058" w:themeColor="accent4"/>
              </w:rPr>
              <w:t>$2,000</w:t>
            </w:r>
          </w:p>
        </w:tc>
        <w:tc>
          <w:tcPr>
            <w:tcW w:w="1145" w:type="dxa"/>
            <w:vAlign w:val="bottom"/>
          </w:tcPr>
          <w:p w14:paraId="0EE651E5" w14:textId="7A709346" w:rsidR="00057722" w:rsidRPr="00E46EC8" w:rsidRDefault="00057722" w:rsidP="00522727">
            <w:pPr>
              <w:pStyle w:val="TableBody"/>
              <w:rPr>
                <w:color w:val="CE0058" w:themeColor="accent4"/>
              </w:rPr>
            </w:pPr>
            <w:r w:rsidRPr="00E46EC8">
              <w:rPr>
                <w:color w:val="CE0058" w:themeColor="accent4"/>
              </w:rPr>
              <w:t>250</w:t>
            </w:r>
          </w:p>
        </w:tc>
        <w:tc>
          <w:tcPr>
            <w:tcW w:w="1244" w:type="dxa"/>
            <w:vAlign w:val="bottom"/>
          </w:tcPr>
          <w:p w14:paraId="34E07677" w14:textId="4BCECBD5" w:rsidR="00057722" w:rsidRPr="00E46EC8" w:rsidRDefault="00057722" w:rsidP="00522727">
            <w:pPr>
              <w:pStyle w:val="TableBody"/>
              <w:rPr>
                <w:color w:val="CE0058" w:themeColor="accent4"/>
              </w:rPr>
            </w:pPr>
            <w:r w:rsidRPr="00E46EC8">
              <w:rPr>
                <w:color w:val="CE0058" w:themeColor="accent4"/>
              </w:rPr>
              <w:t>$63,600</w:t>
            </w:r>
          </w:p>
        </w:tc>
        <w:tc>
          <w:tcPr>
            <w:tcW w:w="1109" w:type="dxa"/>
            <w:vAlign w:val="bottom"/>
          </w:tcPr>
          <w:p w14:paraId="222D7685" w14:textId="576E7754" w:rsidR="00057722" w:rsidRPr="00E46EC8" w:rsidRDefault="00057722" w:rsidP="00522727">
            <w:pPr>
              <w:pStyle w:val="TableBody"/>
              <w:rPr>
                <w:color w:val="CE0058" w:themeColor="accent4"/>
              </w:rPr>
            </w:pPr>
            <w:r w:rsidRPr="00E46EC8">
              <w:rPr>
                <w:color w:val="CE0058" w:themeColor="accent4"/>
              </w:rPr>
              <w:t>93</w:t>
            </w:r>
          </w:p>
        </w:tc>
        <w:tc>
          <w:tcPr>
            <w:tcW w:w="1244" w:type="dxa"/>
            <w:vAlign w:val="bottom"/>
          </w:tcPr>
          <w:p w14:paraId="45288423" w14:textId="43E4C042" w:rsidR="00057722" w:rsidRPr="00E46EC8" w:rsidRDefault="00057722" w:rsidP="00522727">
            <w:pPr>
              <w:pStyle w:val="TableBody"/>
              <w:rPr>
                <w:color w:val="CE0058" w:themeColor="accent4"/>
              </w:rPr>
            </w:pPr>
            <w:r w:rsidRPr="00E46EC8">
              <w:rPr>
                <w:color w:val="CE0058" w:themeColor="accent4"/>
              </w:rPr>
              <w:t>$22,880</w:t>
            </w:r>
          </w:p>
        </w:tc>
      </w:tr>
      <w:tr w:rsidR="00057722" w14:paraId="766FF1BD"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3054AF77" w14:textId="77777777" w:rsidR="00057722" w:rsidRPr="00057722" w:rsidRDefault="00057722" w:rsidP="00057722">
            <w:pPr>
              <w:pStyle w:val="TableHeading"/>
              <w:rPr>
                <w:b/>
                <w:bCs/>
                <w:color w:val="auto"/>
              </w:rPr>
            </w:pPr>
          </w:p>
        </w:tc>
        <w:tc>
          <w:tcPr>
            <w:tcW w:w="1108" w:type="dxa"/>
          </w:tcPr>
          <w:p w14:paraId="3BDC2632" w14:textId="3DE422F0" w:rsidR="00057722" w:rsidRPr="00057722" w:rsidRDefault="00057722" w:rsidP="00057722">
            <w:pPr>
              <w:pStyle w:val="TableHeading"/>
              <w:rPr>
                <w:b/>
                <w:bCs/>
                <w:color w:val="auto"/>
              </w:rPr>
            </w:pPr>
            <w:r w:rsidRPr="00057722">
              <w:rPr>
                <w:b/>
                <w:bCs/>
                <w:color w:val="auto"/>
              </w:rPr>
              <w:t>2024-25</w:t>
            </w:r>
          </w:p>
        </w:tc>
        <w:tc>
          <w:tcPr>
            <w:tcW w:w="1108" w:type="dxa"/>
            <w:vAlign w:val="bottom"/>
          </w:tcPr>
          <w:p w14:paraId="07B22E53" w14:textId="2921CB8D" w:rsidR="00057722" w:rsidRPr="00E46EC8" w:rsidRDefault="00057722" w:rsidP="00522727">
            <w:pPr>
              <w:pStyle w:val="TableBody"/>
              <w:rPr>
                <w:color w:val="ED8B00" w:themeColor="accent2"/>
              </w:rPr>
            </w:pPr>
            <w:r w:rsidRPr="00E46EC8">
              <w:rPr>
                <w:color w:val="ED8B00" w:themeColor="accent2"/>
              </w:rPr>
              <w:t>0</w:t>
            </w:r>
          </w:p>
        </w:tc>
        <w:tc>
          <w:tcPr>
            <w:tcW w:w="1366" w:type="dxa"/>
            <w:vAlign w:val="bottom"/>
          </w:tcPr>
          <w:p w14:paraId="59A7D7AE" w14:textId="108AB352" w:rsidR="00057722" w:rsidRPr="00E46EC8" w:rsidRDefault="00057722" w:rsidP="00522727">
            <w:pPr>
              <w:pStyle w:val="TableBody"/>
              <w:rPr>
                <w:color w:val="ED8B00" w:themeColor="accent2"/>
              </w:rPr>
            </w:pPr>
            <w:r w:rsidRPr="00E46EC8">
              <w:rPr>
                <w:color w:val="ED8B00" w:themeColor="accent2"/>
              </w:rPr>
              <w:t>$0</w:t>
            </w:r>
          </w:p>
        </w:tc>
        <w:tc>
          <w:tcPr>
            <w:tcW w:w="1108" w:type="dxa"/>
            <w:vAlign w:val="bottom"/>
          </w:tcPr>
          <w:p w14:paraId="170A0A87" w14:textId="5B525F99" w:rsidR="00057722" w:rsidRPr="00E46EC8" w:rsidRDefault="00057722" w:rsidP="00522727">
            <w:pPr>
              <w:pStyle w:val="TableBody"/>
              <w:rPr>
                <w:color w:val="ED8B00" w:themeColor="accent2"/>
              </w:rPr>
            </w:pPr>
            <w:r w:rsidRPr="00E46EC8">
              <w:rPr>
                <w:color w:val="ED8B00" w:themeColor="accent2"/>
              </w:rPr>
              <w:t>23</w:t>
            </w:r>
          </w:p>
        </w:tc>
        <w:tc>
          <w:tcPr>
            <w:tcW w:w="1108" w:type="dxa"/>
            <w:vAlign w:val="bottom"/>
          </w:tcPr>
          <w:p w14:paraId="77428820" w14:textId="022A6028" w:rsidR="00057722" w:rsidRPr="00E46EC8" w:rsidRDefault="00057722" w:rsidP="00522727">
            <w:pPr>
              <w:pStyle w:val="TableBody"/>
              <w:rPr>
                <w:color w:val="ED8B00" w:themeColor="accent2"/>
              </w:rPr>
            </w:pPr>
            <w:r w:rsidRPr="00E46EC8">
              <w:rPr>
                <w:color w:val="ED8B00" w:themeColor="accent2"/>
              </w:rPr>
              <w:t>$3,040</w:t>
            </w:r>
          </w:p>
        </w:tc>
        <w:tc>
          <w:tcPr>
            <w:tcW w:w="1157" w:type="dxa"/>
            <w:vAlign w:val="bottom"/>
          </w:tcPr>
          <w:p w14:paraId="4E6D1E79" w14:textId="39B08FA6" w:rsidR="00057722" w:rsidRPr="00E46EC8" w:rsidRDefault="00057722" w:rsidP="00522727">
            <w:pPr>
              <w:pStyle w:val="TableBody"/>
              <w:rPr>
                <w:color w:val="ED8B00" w:themeColor="accent2"/>
              </w:rPr>
            </w:pPr>
            <w:r w:rsidRPr="00E46EC8">
              <w:rPr>
                <w:color w:val="ED8B00" w:themeColor="accent2"/>
              </w:rPr>
              <w:t>10</w:t>
            </w:r>
          </w:p>
        </w:tc>
        <w:tc>
          <w:tcPr>
            <w:tcW w:w="1108" w:type="dxa"/>
            <w:vAlign w:val="bottom"/>
          </w:tcPr>
          <w:p w14:paraId="4B36E2B2" w14:textId="4583ADD1" w:rsidR="00057722" w:rsidRPr="00E46EC8" w:rsidRDefault="00057722" w:rsidP="00522727">
            <w:pPr>
              <w:pStyle w:val="TableBody"/>
              <w:rPr>
                <w:color w:val="ED8B00" w:themeColor="accent2"/>
              </w:rPr>
            </w:pPr>
            <w:r w:rsidRPr="00E46EC8">
              <w:rPr>
                <w:color w:val="ED8B00" w:themeColor="accent2"/>
              </w:rPr>
              <w:t>$2,800</w:t>
            </w:r>
          </w:p>
        </w:tc>
        <w:tc>
          <w:tcPr>
            <w:tcW w:w="1145" w:type="dxa"/>
            <w:vAlign w:val="bottom"/>
          </w:tcPr>
          <w:p w14:paraId="13A39F3B" w14:textId="67B014F2" w:rsidR="00057722" w:rsidRPr="00E46EC8" w:rsidRDefault="00057722" w:rsidP="00522727">
            <w:pPr>
              <w:pStyle w:val="TableBody"/>
              <w:rPr>
                <w:color w:val="ED8B00" w:themeColor="accent2"/>
              </w:rPr>
            </w:pPr>
            <w:r w:rsidRPr="00E46EC8">
              <w:rPr>
                <w:color w:val="ED8B00" w:themeColor="accent2"/>
              </w:rPr>
              <w:t>65</w:t>
            </w:r>
          </w:p>
        </w:tc>
        <w:tc>
          <w:tcPr>
            <w:tcW w:w="1244" w:type="dxa"/>
            <w:vAlign w:val="bottom"/>
          </w:tcPr>
          <w:p w14:paraId="072068BD" w14:textId="692088F0" w:rsidR="00057722" w:rsidRPr="00E46EC8" w:rsidRDefault="00057722" w:rsidP="00522727">
            <w:pPr>
              <w:pStyle w:val="TableBody"/>
              <w:rPr>
                <w:color w:val="ED8B00" w:themeColor="accent2"/>
              </w:rPr>
            </w:pPr>
            <w:r w:rsidRPr="00E46EC8">
              <w:rPr>
                <w:color w:val="ED8B00" w:themeColor="accent2"/>
              </w:rPr>
              <w:t>$17,280</w:t>
            </w:r>
          </w:p>
        </w:tc>
        <w:tc>
          <w:tcPr>
            <w:tcW w:w="1109" w:type="dxa"/>
            <w:vAlign w:val="bottom"/>
          </w:tcPr>
          <w:p w14:paraId="015EC706" w14:textId="20325726" w:rsidR="00057722" w:rsidRPr="00E46EC8" w:rsidRDefault="00057722" w:rsidP="00522727">
            <w:pPr>
              <w:pStyle w:val="TableBody"/>
              <w:rPr>
                <w:color w:val="ED8B00" w:themeColor="accent2"/>
              </w:rPr>
            </w:pPr>
            <w:r w:rsidRPr="00E46EC8">
              <w:rPr>
                <w:color w:val="ED8B00" w:themeColor="accent2"/>
              </w:rPr>
              <w:t>45</w:t>
            </w:r>
          </w:p>
        </w:tc>
        <w:tc>
          <w:tcPr>
            <w:tcW w:w="1244" w:type="dxa"/>
            <w:vAlign w:val="bottom"/>
          </w:tcPr>
          <w:p w14:paraId="2C05D2AD" w14:textId="46461F3A" w:rsidR="00057722" w:rsidRPr="00E46EC8" w:rsidRDefault="00057722" w:rsidP="00522727">
            <w:pPr>
              <w:pStyle w:val="TableBody"/>
              <w:rPr>
                <w:color w:val="ED8B00" w:themeColor="accent2"/>
              </w:rPr>
            </w:pPr>
            <w:r w:rsidRPr="00E46EC8">
              <w:rPr>
                <w:color w:val="ED8B00" w:themeColor="accent2"/>
              </w:rPr>
              <w:t>$14,880</w:t>
            </w:r>
          </w:p>
        </w:tc>
      </w:tr>
      <w:tr w:rsidR="00057722" w14:paraId="5604C1A7"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val="restart"/>
          </w:tcPr>
          <w:p w14:paraId="4C255500" w14:textId="0C37B27D" w:rsidR="00057722" w:rsidRPr="00057722" w:rsidRDefault="00057722" w:rsidP="00057722">
            <w:pPr>
              <w:pStyle w:val="TableHeading"/>
              <w:rPr>
                <w:rFonts w:ascii="Arial" w:hAnsi="Arial" w:cs="Arial"/>
                <w:b/>
                <w:bCs/>
                <w:color w:val="auto"/>
              </w:rPr>
            </w:pPr>
            <w:r w:rsidRPr="00057722">
              <w:rPr>
                <w:rFonts w:ascii="Arial" w:hAnsi="Arial" w:cs="Arial"/>
                <w:b/>
                <w:bCs/>
                <w:color w:val="auto"/>
              </w:rPr>
              <w:t>Supply restoration payments for over 18 hours of unplanned sustained interruptions per year</w:t>
            </w:r>
          </w:p>
        </w:tc>
        <w:tc>
          <w:tcPr>
            <w:tcW w:w="1108" w:type="dxa"/>
          </w:tcPr>
          <w:p w14:paraId="4F3AB3DF" w14:textId="7415FAC2" w:rsidR="00057722" w:rsidRPr="00057722" w:rsidRDefault="00057722" w:rsidP="00057722">
            <w:pPr>
              <w:pStyle w:val="TableHeading"/>
              <w:rPr>
                <w:b/>
                <w:bCs/>
                <w:color w:val="auto"/>
              </w:rPr>
            </w:pPr>
            <w:r w:rsidRPr="00057722">
              <w:rPr>
                <w:b/>
                <w:bCs/>
                <w:color w:val="auto"/>
              </w:rPr>
              <w:t>2021-22</w:t>
            </w:r>
          </w:p>
        </w:tc>
        <w:tc>
          <w:tcPr>
            <w:tcW w:w="1108" w:type="dxa"/>
            <w:vAlign w:val="bottom"/>
          </w:tcPr>
          <w:p w14:paraId="1A1347CF" w14:textId="340E1520" w:rsidR="00057722" w:rsidRDefault="00057722" w:rsidP="00522727">
            <w:pPr>
              <w:pStyle w:val="TableBody"/>
            </w:pPr>
            <w:r>
              <w:t>19,135</w:t>
            </w:r>
          </w:p>
        </w:tc>
        <w:tc>
          <w:tcPr>
            <w:tcW w:w="1366" w:type="dxa"/>
            <w:vAlign w:val="bottom"/>
          </w:tcPr>
          <w:p w14:paraId="70B682D9" w14:textId="1B4D3947" w:rsidR="00057722" w:rsidRDefault="00057722" w:rsidP="00522727">
            <w:pPr>
              <w:pStyle w:val="TableBody"/>
            </w:pPr>
            <w:r>
              <w:t>$3,071,200</w:t>
            </w:r>
          </w:p>
        </w:tc>
        <w:tc>
          <w:tcPr>
            <w:tcW w:w="1108" w:type="dxa"/>
            <w:vAlign w:val="bottom"/>
          </w:tcPr>
          <w:p w14:paraId="24C6B6F2" w14:textId="2EB77D67" w:rsidR="00057722" w:rsidRDefault="00057722" w:rsidP="00522727">
            <w:pPr>
              <w:pStyle w:val="TableBody"/>
            </w:pPr>
            <w:r>
              <w:t>162</w:t>
            </w:r>
          </w:p>
        </w:tc>
        <w:tc>
          <w:tcPr>
            <w:tcW w:w="1108" w:type="dxa"/>
            <w:vAlign w:val="bottom"/>
          </w:tcPr>
          <w:p w14:paraId="76651BFB" w14:textId="5052ABF7" w:rsidR="00057722" w:rsidRDefault="00057722" w:rsidP="00522727">
            <w:pPr>
              <w:pStyle w:val="TableBody"/>
            </w:pPr>
            <w:r>
              <w:t>$24,800</w:t>
            </w:r>
          </w:p>
        </w:tc>
        <w:tc>
          <w:tcPr>
            <w:tcW w:w="1157" w:type="dxa"/>
            <w:vAlign w:val="bottom"/>
          </w:tcPr>
          <w:p w14:paraId="1FEF639F" w14:textId="0B28C66C" w:rsidR="00057722" w:rsidRDefault="00057722" w:rsidP="00522727">
            <w:pPr>
              <w:pStyle w:val="TableBody"/>
            </w:pPr>
            <w:r>
              <w:t>266</w:t>
            </w:r>
          </w:p>
        </w:tc>
        <w:tc>
          <w:tcPr>
            <w:tcW w:w="1108" w:type="dxa"/>
            <w:vAlign w:val="bottom"/>
          </w:tcPr>
          <w:p w14:paraId="3DCD92EB" w14:textId="3650C240" w:rsidR="00057722" w:rsidRDefault="00057722" w:rsidP="00522727">
            <w:pPr>
              <w:pStyle w:val="TableBody"/>
            </w:pPr>
            <w:r>
              <w:t>$39,340</w:t>
            </w:r>
          </w:p>
        </w:tc>
        <w:tc>
          <w:tcPr>
            <w:tcW w:w="1145" w:type="dxa"/>
            <w:vAlign w:val="bottom"/>
          </w:tcPr>
          <w:p w14:paraId="128A1824" w14:textId="5338E0C0" w:rsidR="00057722" w:rsidRDefault="00057722" w:rsidP="00522727">
            <w:pPr>
              <w:pStyle w:val="TableBody"/>
            </w:pPr>
            <w:r>
              <w:t>4,961</w:t>
            </w:r>
          </w:p>
        </w:tc>
        <w:tc>
          <w:tcPr>
            <w:tcW w:w="1244" w:type="dxa"/>
            <w:vAlign w:val="bottom"/>
          </w:tcPr>
          <w:p w14:paraId="56CCDD97" w14:textId="4812F4E0" w:rsidR="00057722" w:rsidRDefault="00057722" w:rsidP="00522727">
            <w:pPr>
              <w:pStyle w:val="TableBody"/>
            </w:pPr>
            <w:r>
              <w:t>$706,370</w:t>
            </w:r>
          </w:p>
        </w:tc>
        <w:tc>
          <w:tcPr>
            <w:tcW w:w="1109" w:type="dxa"/>
            <w:vAlign w:val="bottom"/>
          </w:tcPr>
          <w:p w14:paraId="0C5DD2C2" w14:textId="1A490806" w:rsidR="00057722" w:rsidRDefault="00057722" w:rsidP="00522727">
            <w:pPr>
              <w:pStyle w:val="TableBody"/>
            </w:pPr>
            <w:r>
              <w:t>454</w:t>
            </w:r>
          </w:p>
        </w:tc>
        <w:tc>
          <w:tcPr>
            <w:tcW w:w="1244" w:type="dxa"/>
            <w:vAlign w:val="bottom"/>
          </w:tcPr>
          <w:p w14:paraId="066B1B58" w14:textId="7EC58F10" w:rsidR="00057722" w:rsidRDefault="00057722" w:rsidP="00522727">
            <w:pPr>
              <w:pStyle w:val="TableBody"/>
            </w:pPr>
            <w:r>
              <w:t>$86,180</w:t>
            </w:r>
          </w:p>
        </w:tc>
      </w:tr>
      <w:tr w:rsidR="00057722" w14:paraId="28462C8C"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40CC7CF3" w14:textId="77777777" w:rsidR="00057722" w:rsidRPr="00057722" w:rsidRDefault="00057722" w:rsidP="00057722">
            <w:pPr>
              <w:pStyle w:val="TableHeading"/>
              <w:rPr>
                <w:b/>
                <w:bCs/>
                <w:color w:val="auto"/>
              </w:rPr>
            </w:pPr>
          </w:p>
        </w:tc>
        <w:tc>
          <w:tcPr>
            <w:tcW w:w="1108" w:type="dxa"/>
          </w:tcPr>
          <w:p w14:paraId="7FE25BA7" w14:textId="0A41E0A3" w:rsidR="00057722" w:rsidRPr="00057722" w:rsidRDefault="00057722" w:rsidP="00057722">
            <w:pPr>
              <w:pStyle w:val="TableHeading"/>
              <w:rPr>
                <w:b/>
                <w:bCs/>
                <w:color w:val="auto"/>
              </w:rPr>
            </w:pPr>
            <w:r w:rsidRPr="00057722">
              <w:rPr>
                <w:b/>
                <w:bCs/>
                <w:color w:val="auto"/>
              </w:rPr>
              <w:t>2022-23</w:t>
            </w:r>
          </w:p>
        </w:tc>
        <w:tc>
          <w:tcPr>
            <w:tcW w:w="1108" w:type="dxa"/>
            <w:vAlign w:val="bottom"/>
          </w:tcPr>
          <w:p w14:paraId="29E30CA8" w14:textId="7C9B2BA9" w:rsidR="00057722" w:rsidRPr="00E46EC8" w:rsidRDefault="00057722" w:rsidP="00522727">
            <w:pPr>
              <w:pStyle w:val="TableBody"/>
              <w:rPr>
                <w:color w:val="4986A0" w:themeColor="text2"/>
              </w:rPr>
            </w:pPr>
            <w:r w:rsidRPr="00E46EC8">
              <w:rPr>
                <w:color w:val="4986A0" w:themeColor="text2"/>
              </w:rPr>
              <w:t>24,955</w:t>
            </w:r>
          </w:p>
        </w:tc>
        <w:tc>
          <w:tcPr>
            <w:tcW w:w="1366" w:type="dxa"/>
            <w:vAlign w:val="bottom"/>
          </w:tcPr>
          <w:p w14:paraId="06694D98" w14:textId="67E6EE8C" w:rsidR="00057722" w:rsidRPr="00E46EC8" w:rsidRDefault="00057722" w:rsidP="00522727">
            <w:pPr>
              <w:pStyle w:val="TableBody"/>
              <w:rPr>
                <w:color w:val="4986A0" w:themeColor="text2"/>
              </w:rPr>
            </w:pPr>
            <w:r w:rsidRPr="00E46EC8">
              <w:rPr>
                <w:color w:val="4986A0" w:themeColor="text2"/>
              </w:rPr>
              <w:t>$4,066,830</w:t>
            </w:r>
          </w:p>
        </w:tc>
        <w:tc>
          <w:tcPr>
            <w:tcW w:w="1108" w:type="dxa"/>
            <w:vAlign w:val="bottom"/>
          </w:tcPr>
          <w:p w14:paraId="10D27B6A" w14:textId="0E9C0185" w:rsidR="00057722" w:rsidRPr="00E46EC8" w:rsidRDefault="00057722" w:rsidP="00522727">
            <w:pPr>
              <w:pStyle w:val="TableBody"/>
              <w:rPr>
                <w:color w:val="4986A0" w:themeColor="text2"/>
              </w:rPr>
            </w:pPr>
            <w:r w:rsidRPr="00E46EC8">
              <w:rPr>
                <w:color w:val="4986A0" w:themeColor="text2"/>
              </w:rPr>
              <w:t>204</w:t>
            </w:r>
          </w:p>
        </w:tc>
        <w:tc>
          <w:tcPr>
            <w:tcW w:w="1108" w:type="dxa"/>
            <w:vAlign w:val="bottom"/>
          </w:tcPr>
          <w:p w14:paraId="75D55803" w14:textId="11F2F62E" w:rsidR="00057722" w:rsidRPr="00E46EC8" w:rsidRDefault="00057722" w:rsidP="00522727">
            <w:pPr>
              <w:pStyle w:val="TableBody"/>
              <w:rPr>
                <w:color w:val="4986A0" w:themeColor="text2"/>
              </w:rPr>
            </w:pPr>
            <w:r w:rsidRPr="00E46EC8">
              <w:rPr>
                <w:color w:val="4986A0" w:themeColor="text2"/>
              </w:rPr>
              <w:t>$27,300</w:t>
            </w:r>
          </w:p>
        </w:tc>
        <w:tc>
          <w:tcPr>
            <w:tcW w:w="1157" w:type="dxa"/>
            <w:vAlign w:val="bottom"/>
          </w:tcPr>
          <w:p w14:paraId="149E685F" w14:textId="7C0E648D" w:rsidR="00057722" w:rsidRPr="00E46EC8" w:rsidRDefault="00057722" w:rsidP="00522727">
            <w:pPr>
              <w:pStyle w:val="TableBody"/>
              <w:rPr>
                <w:color w:val="4986A0" w:themeColor="text2"/>
              </w:rPr>
            </w:pPr>
            <w:r w:rsidRPr="00E46EC8">
              <w:rPr>
                <w:color w:val="4986A0" w:themeColor="text2"/>
              </w:rPr>
              <w:t>109</w:t>
            </w:r>
          </w:p>
        </w:tc>
        <w:tc>
          <w:tcPr>
            <w:tcW w:w="1108" w:type="dxa"/>
            <w:vAlign w:val="bottom"/>
          </w:tcPr>
          <w:p w14:paraId="1C16D2F7" w14:textId="4F346C48" w:rsidR="00057722" w:rsidRPr="00E46EC8" w:rsidRDefault="00057722" w:rsidP="00522727">
            <w:pPr>
              <w:pStyle w:val="TableBody"/>
              <w:rPr>
                <w:color w:val="4986A0" w:themeColor="text2"/>
              </w:rPr>
            </w:pPr>
            <w:r w:rsidRPr="00E46EC8">
              <w:rPr>
                <w:color w:val="4986A0" w:themeColor="text2"/>
              </w:rPr>
              <w:t>$15,090</w:t>
            </w:r>
          </w:p>
        </w:tc>
        <w:tc>
          <w:tcPr>
            <w:tcW w:w="1145" w:type="dxa"/>
            <w:vAlign w:val="bottom"/>
          </w:tcPr>
          <w:p w14:paraId="32A80807" w14:textId="292AF820" w:rsidR="00057722" w:rsidRPr="00E46EC8" w:rsidRDefault="00057722" w:rsidP="00522727">
            <w:pPr>
              <w:pStyle w:val="TableBody"/>
              <w:rPr>
                <w:color w:val="4986A0" w:themeColor="text2"/>
              </w:rPr>
            </w:pPr>
            <w:r w:rsidRPr="00E46EC8">
              <w:rPr>
                <w:color w:val="4986A0" w:themeColor="text2"/>
              </w:rPr>
              <w:t>6,994</w:t>
            </w:r>
          </w:p>
        </w:tc>
        <w:tc>
          <w:tcPr>
            <w:tcW w:w="1244" w:type="dxa"/>
            <w:vAlign w:val="bottom"/>
          </w:tcPr>
          <w:p w14:paraId="7348B427" w14:textId="707DA1AA" w:rsidR="00057722" w:rsidRPr="00E46EC8" w:rsidRDefault="00057722" w:rsidP="00522727">
            <w:pPr>
              <w:pStyle w:val="TableBody"/>
              <w:rPr>
                <w:color w:val="4986A0" w:themeColor="text2"/>
              </w:rPr>
            </w:pPr>
            <w:r w:rsidRPr="00E46EC8">
              <w:rPr>
                <w:color w:val="4986A0" w:themeColor="text2"/>
              </w:rPr>
              <w:t>$973,810</w:t>
            </w:r>
          </w:p>
        </w:tc>
        <w:tc>
          <w:tcPr>
            <w:tcW w:w="1109" w:type="dxa"/>
            <w:vAlign w:val="bottom"/>
          </w:tcPr>
          <w:p w14:paraId="4734448A" w14:textId="1EAFDFE2" w:rsidR="00057722" w:rsidRPr="00E46EC8" w:rsidRDefault="00057722" w:rsidP="00522727">
            <w:pPr>
              <w:pStyle w:val="TableBody"/>
              <w:rPr>
                <w:color w:val="4986A0" w:themeColor="text2"/>
              </w:rPr>
            </w:pPr>
            <w:r w:rsidRPr="00E46EC8">
              <w:rPr>
                <w:color w:val="4986A0" w:themeColor="text2"/>
              </w:rPr>
              <w:t>631</w:t>
            </w:r>
          </w:p>
        </w:tc>
        <w:tc>
          <w:tcPr>
            <w:tcW w:w="1244" w:type="dxa"/>
            <w:vAlign w:val="bottom"/>
          </w:tcPr>
          <w:p w14:paraId="3B362C16" w14:textId="5C2CB4F2" w:rsidR="00057722" w:rsidRPr="00E46EC8" w:rsidRDefault="00057722" w:rsidP="00522727">
            <w:pPr>
              <w:pStyle w:val="TableBody"/>
              <w:rPr>
                <w:color w:val="4986A0" w:themeColor="text2"/>
              </w:rPr>
            </w:pPr>
            <w:r w:rsidRPr="00E46EC8">
              <w:rPr>
                <w:color w:val="4986A0" w:themeColor="text2"/>
              </w:rPr>
              <w:t>$87,670</w:t>
            </w:r>
          </w:p>
        </w:tc>
      </w:tr>
      <w:tr w:rsidR="00057722" w14:paraId="2D098620"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tcPr>
          <w:p w14:paraId="51E7FCF2" w14:textId="77777777" w:rsidR="00057722" w:rsidRPr="00057722" w:rsidRDefault="00057722" w:rsidP="00057722">
            <w:pPr>
              <w:pStyle w:val="TableHeading"/>
              <w:rPr>
                <w:b/>
                <w:bCs/>
                <w:color w:val="auto"/>
              </w:rPr>
            </w:pPr>
          </w:p>
        </w:tc>
        <w:tc>
          <w:tcPr>
            <w:tcW w:w="1108" w:type="dxa"/>
          </w:tcPr>
          <w:p w14:paraId="4BDFC181" w14:textId="1C537FF2" w:rsidR="00057722" w:rsidRPr="00057722" w:rsidRDefault="00057722" w:rsidP="00057722">
            <w:pPr>
              <w:pStyle w:val="TableHeading"/>
              <w:rPr>
                <w:b/>
                <w:bCs/>
                <w:color w:val="auto"/>
              </w:rPr>
            </w:pPr>
            <w:r w:rsidRPr="00057722">
              <w:rPr>
                <w:b/>
                <w:bCs/>
                <w:color w:val="auto"/>
              </w:rPr>
              <w:t>2023-24</w:t>
            </w:r>
          </w:p>
        </w:tc>
        <w:tc>
          <w:tcPr>
            <w:tcW w:w="1108" w:type="dxa"/>
            <w:vAlign w:val="bottom"/>
          </w:tcPr>
          <w:p w14:paraId="620F59C9" w14:textId="215A7051" w:rsidR="00057722" w:rsidRPr="00E46EC8" w:rsidRDefault="00057722" w:rsidP="00522727">
            <w:pPr>
              <w:pStyle w:val="TableBody"/>
              <w:rPr>
                <w:color w:val="CE0058" w:themeColor="accent4"/>
              </w:rPr>
            </w:pPr>
            <w:r w:rsidRPr="00E46EC8">
              <w:rPr>
                <w:color w:val="CE0058" w:themeColor="accent4"/>
              </w:rPr>
              <w:t>30,504</w:t>
            </w:r>
          </w:p>
        </w:tc>
        <w:tc>
          <w:tcPr>
            <w:tcW w:w="1366" w:type="dxa"/>
            <w:vAlign w:val="bottom"/>
          </w:tcPr>
          <w:p w14:paraId="01F471C1" w14:textId="259385C8" w:rsidR="00057722" w:rsidRPr="00E46EC8" w:rsidRDefault="00057722" w:rsidP="00522727">
            <w:pPr>
              <w:pStyle w:val="TableBody"/>
              <w:rPr>
                <w:color w:val="CE0058" w:themeColor="accent4"/>
              </w:rPr>
            </w:pPr>
            <w:r w:rsidRPr="00E46EC8">
              <w:rPr>
                <w:color w:val="CE0058" w:themeColor="accent4"/>
              </w:rPr>
              <w:t>$4,750,350</w:t>
            </w:r>
          </w:p>
        </w:tc>
        <w:tc>
          <w:tcPr>
            <w:tcW w:w="1108" w:type="dxa"/>
            <w:vAlign w:val="bottom"/>
          </w:tcPr>
          <w:p w14:paraId="19BCA4A6" w14:textId="30DAF24B" w:rsidR="00057722" w:rsidRPr="00E46EC8" w:rsidRDefault="00057722" w:rsidP="00522727">
            <w:pPr>
              <w:pStyle w:val="TableBody"/>
              <w:rPr>
                <w:color w:val="CE0058" w:themeColor="accent4"/>
              </w:rPr>
            </w:pPr>
            <w:r w:rsidRPr="00E46EC8">
              <w:rPr>
                <w:color w:val="CE0058" w:themeColor="accent4"/>
              </w:rPr>
              <w:t>618</w:t>
            </w:r>
          </w:p>
        </w:tc>
        <w:tc>
          <w:tcPr>
            <w:tcW w:w="1108" w:type="dxa"/>
            <w:vAlign w:val="bottom"/>
          </w:tcPr>
          <w:p w14:paraId="75053C3C" w14:textId="5A8DE7D5" w:rsidR="00057722" w:rsidRPr="00E46EC8" w:rsidRDefault="00057722" w:rsidP="00522727">
            <w:pPr>
              <w:pStyle w:val="TableBody"/>
              <w:rPr>
                <w:color w:val="CE0058" w:themeColor="accent4"/>
              </w:rPr>
            </w:pPr>
            <w:r w:rsidRPr="00E46EC8">
              <w:rPr>
                <w:color w:val="CE0058" w:themeColor="accent4"/>
              </w:rPr>
              <w:t>$89,560</w:t>
            </w:r>
          </w:p>
        </w:tc>
        <w:tc>
          <w:tcPr>
            <w:tcW w:w="1157" w:type="dxa"/>
            <w:vAlign w:val="bottom"/>
          </w:tcPr>
          <w:p w14:paraId="64E4C906" w14:textId="3A268B92" w:rsidR="00057722" w:rsidRPr="00E46EC8" w:rsidRDefault="00057722" w:rsidP="00522727">
            <w:pPr>
              <w:pStyle w:val="TableBody"/>
              <w:rPr>
                <w:color w:val="CE0058" w:themeColor="accent4"/>
              </w:rPr>
            </w:pPr>
            <w:r w:rsidRPr="00E46EC8">
              <w:rPr>
                <w:color w:val="CE0058" w:themeColor="accent4"/>
              </w:rPr>
              <w:t>163</w:t>
            </w:r>
          </w:p>
        </w:tc>
        <w:tc>
          <w:tcPr>
            <w:tcW w:w="1108" w:type="dxa"/>
            <w:vAlign w:val="bottom"/>
          </w:tcPr>
          <w:p w14:paraId="3800D581" w14:textId="73C529D7" w:rsidR="00057722" w:rsidRPr="00E46EC8" w:rsidRDefault="00057722" w:rsidP="00522727">
            <w:pPr>
              <w:pStyle w:val="TableBody"/>
              <w:rPr>
                <w:color w:val="CE0058" w:themeColor="accent4"/>
              </w:rPr>
            </w:pPr>
            <w:r w:rsidRPr="00E46EC8">
              <w:rPr>
                <w:color w:val="CE0058" w:themeColor="accent4"/>
              </w:rPr>
              <w:t>$25,060</w:t>
            </w:r>
          </w:p>
        </w:tc>
        <w:tc>
          <w:tcPr>
            <w:tcW w:w="1145" w:type="dxa"/>
            <w:vAlign w:val="bottom"/>
          </w:tcPr>
          <w:p w14:paraId="130B860A" w14:textId="6DE31A15" w:rsidR="00057722" w:rsidRPr="00E46EC8" w:rsidRDefault="00057722" w:rsidP="00522727">
            <w:pPr>
              <w:pStyle w:val="TableBody"/>
              <w:rPr>
                <w:color w:val="CE0058" w:themeColor="accent4"/>
              </w:rPr>
            </w:pPr>
            <w:r w:rsidRPr="00E46EC8">
              <w:rPr>
                <w:color w:val="CE0058" w:themeColor="accent4"/>
              </w:rPr>
              <w:t>4,185</w:t>
            </w:r>
          </w:p>
        </w:tc>
        <w:tc>
          <w:tcPr>
            <w:tcW w:w="1244" w:type="dxa"/>
            <w:vAlign w:val="bottom"/>
          </w:tcPr>
          <w:p w14:paraId="3C21EEBF" w14:textId="3C6C96EF" w:rsidR="00057722" w:rsidRPr="00E46EC8" w:rsidRDefault="00057722" w:rsidP="00522727">
            <w:pPr>
              <w:pStyle w:val="TableBody"/>
              <w:rPr>
                <w:color w:val="CE0058" w:themeColor="accent4"/>
              </w:rPr>
            </w:pPr>
            <w:r w:rsidRPr="00E46EC8">
              <w:rPr>
                <w:color w:val="CE0058" w:themeColor="accent4"/>
              </w:rPr>
              <w:t>$601,790</w:t>
            </w:r>
          </w:p>
        </w:tc>
        <w:tc>
          <w:tcPr>
            <w:tcW w:w="1109" w:type="dxa"/>
            <w:vAlign w:val="bottom"/>
          </w:tcPr>
          <w:p w14:paraId="7CD0E94E" w14:textId="2CE719AE" w:rsidR="00057722" w:rsidRPr="00E46EC8" w:rsidRDefault="00057722" w:rsidP="00522727">
            <w:pPr>
              <w:pStyle w:val="TableBody"/>
              <w:rPr>
                <w:color w:val="CE0058" w:themeColor="accent4"/>
              </w:rPr>
            </w:pPr>
            <w:r w:rsidRPr="00E46EC8">
              <w:rPr>
                <w:color w:val="CE0058" w:themeColor="accent4"/>
              </w:rPr>
              <w:t>408</w:t>
            </w:r>
          </w:p>
        </w:tc>
        <w:tc>
          <w:tcPr>
            <w:tcW w:w="1244" w:type="dxa"/>
            <w:vAlign w:val="bottom"/>
          </w:tcPr>
          <w:p w14:paraId="75933FF5" w14:textId="38D0ED4C" w:rsidR="00057722" w:rsidRPr="00E46EC8" w:rsidRDefault="00057722" w:rsidP="00522727">
            <w:pPr>
              <w:pStyle w:val="TableBody"/>
              <w:rPr>
                <w:color w:val="CE0058" w:themeColor="accent4"/>
              </w:rPr>
            </w:pPr>
            <w:r w:rsidRPr="00E46EC8">
              <w:rPr>
                <w:color w:val="CE0058" w:themeColor="accent4"/>
              </w:rPr>
              <w:t>$54,250</w:t>
            </w:r>
          </w:p>
        </w:tc>
      </w:tr>
      <w:tr w:rsidR="00057722" w14:paraId="0FE37B7A"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3B631894" w14:textId="77777777" w:rsidR="00057722" w:rsidRPr="00057722" w:rsidRDefault="00057722" w:rsidP="00057722">
            <w:pPr>
              <w:pStyle w:val="TableHeading"/>
              <w:rPr>
                <w:b/>
                <w:bCs/>
                <w:color w:val="auto"/>
              </w:rPr>
            </w:pPr>
          </w:p>
        </w:tc>
        <w:tc>
          <w:tcPr>
            <w:tcW w:w="1108" w:type="dxa"/>
          </w:tcPr>
          <w:p w14:paraId="63B2B15E" w14:textId="4A601944" w:rsidR="00057722" w:rsidRPr="00057722" w:rsidRDefault="00057722" w:rsidP="00057722">
            <w:pPr>
              <w:pStyle w:val="TableHeading"/>
              <w:rPr>
                <w:b/>
                <w:bCs/>
                <w:color w:val="auto"/>
              </w:rPr>
            </w:pPr>
            <w:r w:rsidRPr="00057722">
              <w:rPr>
                <w:b/>
                <w:bCs/>
                <w:color w:val="auto"/>
              </w:rPr>
              <w:t>2024-25</w:t>
            </w:r>
          </w:p>
        </w:tc>
        <w:tc>
          <w:tcPr>
            <w:tcW w:w="1108" w:type="dxa"/>
            <w:vAlign w:val="bottom"/>
          </w:tcPr>
          <w:p w14:paraId="594B478D" w14:textId="277FFF88" w:rsidR="00057722" w:rsidRPr="00E46EC8" w:rsidRDefault="00057722" w:rsidP="00522727">
            <w:pPr>
              <w:pStyle w:val="TableBody"/>
              <w:rPr>
                <w:color w:val="ED8B00" w:themeColor="accent2"/>
              </w:rPr>
            </w:pPr>
            <w:r w:rsidRPr="00E46EC8">
              <w:rPr>
                <w:color w:val="ED8B00" w:themeColor="accent2"/>
              </w:rPr>
              <w:t>34,978</w:t>
            </w:r>
          </w:p>
        </w:tc>
        <w:tc>
          <w:tcPr>
            <w:tcW w:w="1366" w:type="dxa"/>
            <w:vAlign w:val="bottom"/>
          </w:tcPr>
          <w:p w14:paraId="3804D559" w14:textId="747ACEE2" w:rsidR="00057722" w:rsidRPr="00E46EC8" w:rsidRDefault="00057722" w:rsidP="00522727">
            <w:pPr>
              <w:pStyle w:val="TableBody"/>
              <w:rPr>
                <w:color w:val="ED8B00" w:themeColor="accent2"/>
              </w:rPr>
            </w:pPr>
            <w:r w:rsidRPr="00E46EC8">
              <w:rPr>
                <w:color w:val="ED8B00" w:themeColor="accent2"/>
              </w:rPr>
              <w:t>$5,408,090</w:t>
            </w:r>
          </w:p>
        </w:tc>
        <w:tc>
          <w:tcPr>
            <w:tcW w:w="1108" w:type="dxa"/>
            <w:vAlign w:val="bottom"/>
          </w:tcPr>
          <w:p w14:paraId="2C798B1A" w14:textId="1103C640" w:rsidR="00057722" w:rsidRPr="00E46EC8" w:rsidRDefault="00057722" w:rsidP="00522727">
            <w:pPr>
              <w:pStyle w:val="TableBody"/>
              <w:rPr>
                <w:color w:val="ED8B00" w:themeColor="accent2"/>
              </w:rPr>
            </w:pPr>
            <w:r w:rsidRPr="00E46EC8">
              <w:rPr>
                <w:color w:val="ED8B00" w:themeColor="accent2"/>
              </w:rPr>
              <w:t>366</w:t>
            </w:r>
          </w:p>
        </w:tc>
        <w:tc>
          <w:tcPr>
            <w:tcW w:w="1108" w:type="dxa"/>
            <w:vAlign w:val="bottom"/>
          </w:tcPr>
          <w:p w14:paraId="4DDA4122" w14:textId="58D93FFE" w:rsidR="00057722" w:rsidRPr="00E46EC8" w:rsidRDefault="00057722" w:rsidP="00522727">
            <w:pPr>
              <w:pStyle w:val="TableBody"/>
              <w:rPr>
                <w:color w:val="ED8B00" w:themeColor="accent2"/>
              </w:rPr>
            </w:pPr>
            <w:r w:rsidRPr="00E46EC8">
              <w:rPr>
                <w:color w:val="ED8B00" w:themeColor="accent2"/>
              </w:rPr>
              <w:t>$49,740</w:t>
            </w:r>
          </w:p>
        </w:tc>
        <w:tc>
          <w:tcPr>
            <w:tcW w:w="1157" w:type="dxa"/>
            <w:vAlign w:val="bottom"/>
          </w:tcPr>
          <w:p w14:paraId="49018347" w14:textId="422C4238" w:rsidR="00057722" w:rsidRPr="00E46EC8" w:rsidRDefault="00057722" w:rsidP="00522727">
            <w:pPr>
              <w:pStyle w:val="TableBody"/>
              <w:rPr>
                <w:color w:val="ED8B00" w:themeColor="accent2"/>
              </w:rPr>
            </w:pPr>
            <w:r w:rsidRPr="00E46EC8">
              <w:rPr>
                <w:color w:val="ED8B00" w:themeColor="accent2"/>
              </w:rPr>
              <w:t>457</w:t>
            </w:r>
          </w:p>
        </w:tc>
        <w:tc>
          <w:tcPr>
            <w:tcW w:w="1108" w:type="dxa"/>
            <w:vAlign w:val="bottom"/>
          </w:tcPr>
          <w:p w14:paraId="5A161109" w14:textId="36F52E5E" w:rsidR="00057722" w:rsidRPr="00E46EC8" w:rsidRDefault="00057722" w:rsidP="00522727">
            <w:pPr>
              <w:pStyle w:val="TableBody"/>
              <w:rPr>
                <w:color w:val="ED8B00" w:themeColor="accent2"/>
              </w:rPr>
            </w:pPr>
            <w:r w:rsidRPr="00E46EC8">
              <w:rPr>
                <w:color w:val="ED8B00" w:themeColor="accent2"/>
              </w:rPr>
              <w:t>$72,200</w:t>
            </w:r>
          </w:p>
        </w:tc>
        <w:tc>
          <w:tcPr>
            <w:tcW w:w="1145" w:type="dxa"/>
            <w:vAlign w:val="bottom"/>
          </w:tcPr>
          <w:p w14:paraId="1B9862BC" w14:textId="7700A5AF" w:rsidR="00057722" w:rsidRPr="00E46EC8" w:rsidRDefault="00057722" w:rsidP="00522727">
            <w:pPr>
              <w:pStyle w:val="TableBody"/>
              <w:rPr>
                <w:color w:val="ED8B00" w:themeColor="accent2"/>
              </w:rPr>
            </w:pPr>
            <w:r w:rsidRPr="00E46EC8">
              <w:rPr>
                <w:color w:val="ED8B00" w:themeColor="accent2"/>
              </w:rPr>
              <w:t>8,894</w:t>
            </w:r>
          </w:p>
        </w:tc>
        <w:tc>
          <w:tcPr>
            <w:tcW w:w="1244" w:type="dxa"/>
            <w:vAlign w:val="bottom"/>
          </w:tcPr>
          <w:p w14:paraId="40107F51" w14:textId="6EE12D19" w:rsidR="00057722" w:rsidRPr="00E46EC8" w:rsidRDefault="00057722" w:rsidP="00522727">
            <w:pPr>
              <w:pStyle w:val="TableBody"/>
              <w:rPr>
                <w:color w:val="ED8B00" w:themeColor="accent2"/>
              </w:rPr>
            </w:pPr>
            <w:r w:rsidRPr="00E46EC8">
              <w:rPr>
                <w:color w:val="ED8B00" w:themeColor="accent2"/>
              </w:rPr>
              <w:t>$1,456,940</w:t>
            </w:r>
          </w:p>
        </w:tc>
        <w:tc>
          <w:tcPr>
            <w:tcW w:w="1109" w:type="dxa"/>
            <w:vAlign w:val="bottom"/>
          </w:tcPr>
          <w:p w14:paraId="53F12908" w14:textId="4F8C021B" w:rsidR="00057722" w:rsidRPr="00E46EC8" w:rsidRDefault="00057722" w:rsidP="00522727">
            <w:pPr>
              <w:pStyle w:val="TableBody"/>
              <w:rPr>
                <w:color w:val="ED8B00" w:themeColor="accent2"/>
              </w:rPr>
            </w:pPr>
            <w:r w:rsidRPr="00E46EC8">
              <w:rPr>
                <w:color w:val="ED8B00" w:themeColor="accent2"/>
              </w:rPr>
              <w:t>786</w:t>
            </w:r>
          </w:p>
        </w:tc>
        <w:tc>
          <w:tcPr>
            <w:tcW w:w="1244" w:type="dxa"/>
            <w:vAlign w:val="bottom"/>
          </w:tcPr>
          <w:p w14:paraId="65BFF33E" w14:textId="4939A08C" w:rsidR="00057722" w:rsidRPr="00E46EC8" w:rsidRDefault="00057722" w:rsidP="00522727">
            <w:pPr>
              <w:pStyle w:val="TableBody"/>
              <w:rPr>
                <w:color w:val="ED8B00" w:themeColor="accent2"/>
              </w:rPr>
            </w:pPr>
            <w:r w:rsidRPr="00E46EC8">
              <w:rPr>
                <w:color w:val="ED8B00" w:themeColor="accent2"/>
              </w:rPr>
              <w:t>$128,810</w:t>
            </w:r>
          </w:p>
        </w:tc>
      </w:tr>
      <w:tr w:rsidR="00057722" w14:paraId="20C78571"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val="restart"/>
            <w:shd w:val="clear" w:color="auto" w:fill="F2F2F2" w:themeFill="background1" w:themeFillShade="F2"/>
          </w:tcPr>
          <w:p w14:paraId="56123BE7" w14:textId="164411BA" w:rsidR="00057722" w:rsidRPr="00057722" w:rsidRDefault="00057722" w:rsidP="00057722">
            <w:pPr>
              <w:pStyle w:val="TableHeading"/>
              <w:rPr>
                <w:rFonts w:ascii="Arial" w:hAnsi="Arial" w:cs="Arial"/>
                <w:b/>
                <w:bCs/>
                <w:color w:val="auto"/>
              </w:rPr>
            </w:pPr>
            <w:r w:rsidRPr="00057722">
              <w:rPr>
                <w:rFonts w:ascii="Arial" w:hAnsi="Arial" w:cs="Arial"/>
                <w:b/>
                <w:bCs/>
                <w:color w:val="auto"/>
              </w:rPr>
              <w:t xml:space="preserve">Low reliability payments for over 8 unplanned </w:t>
            </w:r>
            <w:r w:rsidRPr="00057722">
              <w:rPr>
                <w:rFonts w:ascii="Arial" w:hAnsi="Arial" w:cs="Arial"/>
                <w:b/>
                <w:bCs/>
                <w:color w:val="auto"/>
              </w:rPr>
              <w:lastRenderedPageBreak/>
              <w:t>sustained interruptions per year and momentary interruptions</w:t>
            </w:r>
          </w:p>
        </w:tc>
        <w:tc>
          <w:tcPr>
            <w:tcW w:w="1108" w:type="dxa"/>
          </w:tcPr>
          <w:p w14:paraId="1490E4E3" w14:textId="296DECA7" w:rsidR="00057722" w:rsidRPr="00057722" w:rsidRDefault="00057722" w:rsidP="00057722">
            <w:pPr>
              <w:pStyle w:val="TableHeading"/>
              <w:rPr>
                <w:b/>
                <w:bCs/>
                <w:color w:val="auto"/>
              </w:rPr>
            </w:pPr>
            <w:r w:rsidRPr="00057722">
              <w:rPr>
                <w:b/>
                <w:bCs/>
                <w:color w:val="auto"/>
              </w:rPr>
              <w:lastRenderedPageBreak/>
              <w:t>2021-22</w:t>
            </w:r>
          </w:p>
        </w:tc>
        <w:tc>
          <w:tcPr>
            <w:tcW w:w="1108" w:type="dxa"/>
            <w:vAlign w:val="bottom"/>
          </w:tcPr>
          <w:p w14:paraId="15A99562" w14:textId="265FA312" w:rsidR="00057722" w:rsidRDefault="00057722" w:rsidP="00522727">
            <w:pPr>
              <w:pStyle w:val="TableBody"/>
            </w:pPr>
            <w:r>
              <w:t>17,139</w:t>
            </w:r>
          </w:p>
        </w:tc>
        <w:tc>
          <w:tcPr>
            <w:tcW w:w="1366" w:type="dxa"/>
            <w:vAlign w:val="bottom"/>
          </w:tcPr>
          <w:p w14:paraId="25D49DEE" w14:textId="3DFFC3D4" w:rsidR="00057722" w:rsidRDefault="00057722" w:rsidP="00522727">
            <w:pPr>
              <w:pStyle w:val="TableBody"/>
            </w:pPr>
            <w:r>
              <w:t>$1,057,190</w:t>
            </w:r>
          </w:p>
        </w:tc>
        <w:tc>
          <w:tcPr>
            <w:tcW w:w="1108" w:type="dxa"/>
            <w:vAlign w:val="bottom"/>
          </w:tcPr>
          <w:p w14:paraId="68BB7851" w14:textId="2178DCB3" w:rsidR="00057722" w:rsidRDefault="00057722" w:rsidP="00522727">
            <w:pPr>
              <w:pStyle w:val="TableBody"/>
            </w:pPr>
            <w:r>
              <w:t>0</w:t>
            </w:r>
          </w:p>
        </w:tc>
        <w:tc>
          <w:tcPr>
            <w:tcW w:w="1108" w:type="dxa"/>
            <w:vAlign w:val="bottom"/>
          </w:tcPr>
          <w:p w14:paraId="7B03B8DA" w14:textId="34B7884F" w:rsidR="00057722" w:rsidRDefault="00057722" w:rsidP="00522727">
            <w:pPr>
              <w:pStyle w:val="TableBody"/>
            </w:pPr>
            <w:r>
              <w:t>$0</w:t>
            </w:r>
          </w:p>
        </w:tc>
        <w:tc>
          <w:tcPr>
            <w:tcW w:w="1157" w:type="dxa"/>
            <w:vAlign w:val="bottom"/>
          </w:tcPr>
          <w:p w14:paraId="58D785F2" w14:textId="42D0F36D" w:rsidR="00057722" w:rsidRDefault="00057722" w:rsidP="00522727">
            <w:pPr>
              <w:pStyle w:val="TableBody"/>
            </w:pPr>
            <w:r>
              <w:t>1</w:t>
            </w:r>
          </w:p>
        </w:tc>
        <w:tc>
          <w:tcPr>
            <w:tcW w:w="1108" w:type="dxa"/>
            <w:vAlign w:val="bottom"/>
          </w:tcPr>
          <w:p w14:paraId="5F3A6D67" w14:textId="65176AE5" w:rsidR="00057722" w:rsidRDefault="00057722" w:rsidP="00522727">
            <w:pPr>
              <w:pStyle w:val="TableBody"/>
            </w:pPr>
            <w:r>
              <w:t>$40</w:t>
            </w:r>
          </w:p>
        </w:tc>
        <w:tc>
          <w:tcPr>
            <w:tcW w:w="1145" w:type="dxa"/>
            <w:vAlign w:val="bottom"/>
          </w:tcPr>
          <w:p w14:paraId="5F83F61D" w14:textId="4E6CCC46" w:rsidR="00057722" w:rsidRDefault="00057722" w:rsidP="00522727">
            <w:pPr>
              <w:pStyle w:val="TableBody"/>
            </w:pPr>
            <w:r>
              <w:t>17,232</w:t>
            </w:r>
          </w:p>
        </w:tc>
        <w:tc>
          <w:tcPr>
            <w:tcW w:w="1244" w:type="dxa"/>
            <w:vAlign w:val="bottom"/>
          </w:tcPr>
          <w:p w14:paraId="64858D60" w14:textId="3EE587A6" w:rsidR="00057722" w:rsidRDefault="00057722" w:rsidP="00522727">
            <w:pPr>
              <w:pStyle w:val="TableBody"/>
            </w:pPr>
            <w:r>
              <w:t>$2,320,950</w:t>
            </w:r>
          </w:p>
        </w:tc>
        <w:tc>
          <w:tcPr>
            <w:tcW w:w="1109" w:type="dxa"/>
            <w:vAlign w:val="bottom"/>
          </w:tcPr>
          <w:p w14:paraId="728D89B8" w14:textId="0691CC91" w:rsidR="00057722" w:rsidRDefault="00057722" w:rsidP="00522727">
            <w:pPr>
              <w:pStyle w:val="TableBody"/>
            </w:pPr>
            <w:r>
              <w:t>25</w:t>
            </w:r>
          </w:p>
        </w:tc>
        <w:tc>
          <w:tcPr>
            <w:tcW w:w="1244" w:type="dxa"/>
            <w:vAlign w:val="bottom"/>
          </w:tcPr>
          <w:p w14:paraId="3AE93C9F" w14:textId="22618150" w:rsidR="00057722" w:rsidRDefault="00057722" w:rsidP="00522727">
            <w:pPr>
              <w:pStyle w:val="TableBody"/>
            </w:pPr>
            <w:r>
              <w:t>$3,250</w:t>
            </w:r>
          </w:p>
        </w:tc>
      </w:tr>
      <w:tr w:rsidR="00057722" w14:paraId="754E1D1C"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76264199" w14:textId="77777777" w:rsidR="00057722" w:rsidRPr="00057722" w:rsidRDefault="00057722" w:rsidP="00057722">
            <w:pPr>
              <w:pStyle w:val="TableHeading"/>
              <w:rPr>
                <w:b/>
                <w:bCs/>
                <w:color w:val="auto"/>
              </w:rPr>
            </w:pPr>
          </w:p>
        </w:tc>
        <w:tc>
          <w:tcPr>
            <w:tcW w:w="1108" w:type="dxa"/>
          </w:tcPr>
          <w:p w14:paraId="34AF797A" w14:textId="791C89FF" w:rsidR="00057722" w:rsidRPr="00057722" w:rsidRDefault="00057722" w:rsidP="00057722">
            <w:pPr>
              <w:pStyle w:val="TableHeading"/>
              <w:rPr>
                <w:b/>
                <w:bCs/>
                <w:color w:val="auto"/>
              </w:rPr>
            </w:pPr>
            <w:r w:rsidRPr="00057722">
              <w:rPr>
                <w:b/>
                <w:bCs/>
                <w:color w:val="auto"/>
              </w:rPr>
              <w:t>2022-23</w:t>
            </w:r>
          </w:p>
        </w:tc>
        <w:tc>
          <w:tcPr>
            <w:tcW w:w="1108" w:type="dxa"/>
            <w:vAlign w:val="bottom"/>
          </w:tcPr>
          <w:p w14:paraId="4AD41091" w14:textId="18087123" w:rsidR="00057722" w:rsidRPr="00E46EC8" w:rsidRDefault="00057722" w:rsidP="00522727">
            <w:pPr>
              <w:pStyle w:val="TableBody"/>
              <w:rPr>
                <w:color w:val="4986A0" w:themeColor="text2"/>
              </w:rPr>
            </w:pPr>
            <w:r w:rsidRPr="00E46EC8">
              <w:rPr>
                <w:color w:val="4986A0" w:themeColor="text2"/>
              </w:rPr>
              <w:t>20,863</w:t>
            </w:r>
          </w:p>
        </w:tc>
        <w:tc>
          <w:tcPr>
            <w:tcW w:w="1366" w:type="dxa"/>
            <w:vAlign w:val="bottom"/>
          </w:tcPr>
          <w:p w14:paraId="448C5CF2" w14:textId="16E90C61" w:rsidR="00057722" w:rsidRPr="00E46EC8" w:rsidRDefault="00057722" w:rsidP="00522727">
            <w:pPr>
              <w:pStyle w:val="TableBody"/>
              <w:rPr>
                <w:color w:val="4986A0" w:themeColor="text2"/>
              </w:rPr>
            </w:pPr>
            <w:r w:rsidRPr="00E46EC8">
              <w:rPr>
                <w:color w:val="4986A0" w:themeColor="text2"/>
              </w:rPr>
              <w:t>$1,600,170</w:t>
            </w:r>
          </w:p>
        </w:tc>
        <w:tc>
          <w:tcPr>
            <w:tcW w:w="1108" w:type="dxa"/>
            <w:vAlign w:val="bottom"/>
          </w:tcPr>
          <w:p w14:paraId="57D69AB0" w14:textId="7FF50AE6" w:rsidR="00057722" w:rsidRPr="00E46EC8" w:rsidRDefault="00057722" w:rsidP="00522727">
            <w:pPr>
              <w:pStyle w:val="TableBody"/>
              <w:rPr>
                <w:color w:val="4986A0" w:themeColor="text2"/>
              </w:rPr>
            </w:pPr>
            <w:r w:rsidRPr="00E46EC8">
              <w:rPr>
                <w:color w:val="4986A0" w:themeColor="text2"/>
              </w:rPr>
              <w:t>0</w:t>
            </w:r>
          </w:p>
        </w:tc>
        <w:tc>
          <w:tcPr>
            <w:tcW w:w="1108" w:type="dxa"/>
            <w:vAlign w:val="bottom"/>
          </w:tcPr>
          <w:p w14:paraId="5EF9258E" w14:textId="76B00F57" w:rsidR="00057722" w:rsidRPr="00E46EC8" w:rsidRDefault="00057722" w:rsidP="00522727">
            <w:pPr>
              <w:pStyle w:val="TableBody"/>
              <w:rPr>
                <w:color w:val="4986A0" w:themeColor="text2"/>
              </w:rPr>
            </w:pPr>
            <w:r w:rsidRPr="00E46EC8">
              <w:rPr>
                <w:color w:val="4986A0" w:themeColor="text2"/>
              </w:rPr>
              <w:t>$0</w:t>
            </w:r>
          </w:p>
        </w:tc>
        <w:tc>
          <w:tcPr>
            <w:tcW w:w="1157" w:type="dxa"/>
            <w:vAlign w:val="bottom"/>
          </w:tcPr>
          <w:p w14:paraId="1722ADB4" w14:textId="11AA9B1A" w:rsidR="00057722" w:rsidRPr="00E46EC8" w:rsidRDefault="00057722" w:rsidP="00522727">
            <w:pPr>
              <w:pStyle w:val="TableBody"/>
              <w:rPr>
                <w:color w:val="4986A0" w:themeColor="text2"/>
              </w:rPr>
            </w:pPr>
            <w:r w:rsidRPr="00E46EC8">
              <w:rPr>
                <w:color w:val="4986A0" w:themeColor="text2"/>
              </w:rPr>
              <w:t>0</w:t>
            </w:r>
          </w:p>
        </w:tc>
        <w:tc>
          <w:tcPr>
            <w:tcW w:w="1108" w:type="dxa"/>
            <w:vAlign w:val="bottom"/>
          </w:tcPr>
          <w:p w14:paraId="286E8232" w14:textId="590D0165" w:rsidR="00057722" w:rsidRPr="00E46EC8" w:rsidRDefault="00057722" w:rsidP="00522727">
            <w:pPr>
              <w:pStyle w:val="TableBody"/>
              <w:rPr>
                <w:color w:val="4986A0" w:themeColor="text2"/>
              </w:rPr>
            </w:pPr>
            <w:r w:rsidRPr="00E46EC8">
              <w:rPr>
                <w:color w:val="4986A0" w:themeColor="text2"/>
              </w:rPr>
              <w:t>$0</w:t>
            </w:r>
          </w:p>
        </w:tc>
        <w:tc>
          <w:tcPr>
            <w:tcW w:w="1145" w:type="dxa"/>
            <w:vAlign w:val="bottom"/>
          </w:tcPr>
          <w:p w14:paraId="32858DA9" w14:textId="62FB6E6F" w:rsidR="00057722" w:rsidRPr="00E46EC8" w:rsidRDefault="00057722" w:rsidP="00522727">
            <w:pPr>
              <w:pStyle w:val="TableBody"/>
              <w:rPr>
                <w:color w:val="4986A0" w:themeColor="text2"/>
              </w:rPr>
            </w:pPr>
            <w:r w:rsidRPr="00E46EC8">
              <w:rPr>
                <w:color w:val="4986A0" w:themeColor="text2"/>
              </w:rPr>
              <w:t>14,738</w:t>
            </w:r>
          </w:p>
        </w:tc>
        <w:tc>
          <w:tcPr>
            <w:tcW w:w="1244" w:type="dxa"/>
            <w:vAlign w:val="bottom"/>
          </w:tcPr>
          <w:p w14:paraId="48984989" w14:textId="62C883FF" w:rsidR="00057722" w:rsidRPr="00E46EC8" w:rsidRDefault="00057722" w:rsidP="00522727">
            <w:pPr>
              <w:pStyle w:val="TableBody"/>
              <w:rPr>
                <w:color w:val="4986A0" w:themeColor="text2"/>
              </w:rPr>
            </w:pPr>
            <w:r w:rsidRPr="00E46EC8">
              <w:rPr>
                <w:color w:val="4986A0" w:themeColor="text2"/>
              </w:rPr>
              <w:t>$2,029,520</w:t>
            </w:r>
          </w:p>
        </w:tc>
        <w:tc>
          <w:tcPr>
            <w:tcW w:w="1109" w:type="dxa"/>
            <w:vAlign w:val="bottom"/>
          </w:tcPr>
          <w:p w14:paraId="1549EF01" w14:textId="417CA826" w:rsidR="00057722" w:rsidRPr="00E46EC8" w:rsidRDefault="00057722" w:rsidP="00522727">
            <w:pPr>
              <w:pStyle w:val="TableBody"/>
              <w:rPr>
                <w:color w:val="4986A0" w:themeColor="text2"/>
              </w:rPr>
            </w:pPr>
            <w:r w:rsidRPr="00E46EC8">
              <w:rPr>
                <w:color w:val="4986A0" w:themeColor="text2"/>
              </w:rPr>
              <w:t>0</w:t>
            </w:r>
          </w:p>
        </w:tc>
        <w:tc>
          <w:tcPr>
            <w:tcW w:w="1244" w:type="dxa"/>
            <w:vAlign w:val="bottom"/>
          </w:tcPr>
          <w:p w14:paraId="5062B1DC" w14:textId="664BA3D4" w:rsidR="00057722" w:rsidRPr="00E46EC8" w:rsidRDefault="00057722" w:rsidP="00522727">
            <w:pPr>
              <w:pStyle w:val="TableBody"/>
              <w:rPr>
                <w:color w:val="4986A0" w:themeColor="text2"/>
              </w:rPr>
            </w:pPr>
            <w:r w:rsidRPr="00E46EC8">
              <w:rPr>
                <w:color w:val="4986A0" w:themeColor="text2"/>
              </w:rPr>
              <w:t>$0</w:t>
            </w:r>
          </w:p>
        </w:tc>
      </w:tr>
      <w:tr w:rsidR="00057722" w14:paraId="64401041"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shd w:val="clear" w:color="auto" w:fill="F2F2F2" w:themeFill="background1" w:themeFillShade="F2"/>
          </w:tcPr>
          <w:p w14:paraId="3B658285" w14:textId="77777777" w:rsidR="00057722" w:rsidRPr="00057722" w:rsidRDefault="00057722" w:rsidP="00057722">
            <w:pPr>
              <w:pStyle w:val="TableHeading"/>
              <w:rPr>
                <w:b/>
                <w:bCs/>
                <w:color w:val="auto"/>
              </w:rPr>
            </w:pPr>
          </w:p>
        </w:tc>
        <w:tc>
          <w:tcPr>
            <w:tcW w:w="1108" w:type="dxa"/>
          </w:tcPr>
          <w:p w14:paraId="404CEDB3" w14:textId="56E6F8D7" w:rsidR="00057722" w:rsidRPr="00057722" w:rsidRDefault="00057722" w:rsidP="00057722">
            <w:pPr>
              <w:pStyle w:val="TableHeading"/>
              <w:rPr>
                <w:b/>
                <w:bCs/>
                <w:color w:val="auto"/>
              </w:rPr>
            </w:pPr>
            <w:r w:rsidRPr="00057722">
              <w:rPr>
                <w:b/>
                <w:bCs/>
                <w:color w:val="auto"/>
              </w:rPr>
              <w:t>2023-24</w:t>
            </w:r>
          </w:p>
        </w:tc>
        <w:tc>
          <w:tcPr>
            <w:tcW w:w="1108" w:type="dxa"/>
            <w:vAlign w:val="bottom"/>
          </w:tcPr>
          <w:p w14:paraId="6247CD82" w14:textId="058CB5B7" w:rsidR="00057722" w:rsidRPr="00E46EC8" w:rsidRDefault="00057722" w:rsidP="00522727">
            <w:pPr>
              <w:pStyle w:val="TableBody"/>
              <w:rPr>
                <w:color w:val="CE0058" w:themeColor="accent4"/>
              </w:rPr>
            </w:pPr>
            <w:r w:rsidRPr="00E46EC8">
              <w:rPr>
                <w:color w:val="CE0058" w:themeColor="accent4"/>
              </w:rPr>
              <w:t>14,848</w:t>
            </w:r>
          </w:p>
        </w:tc>
        <w:tc>
          <w:tcPr>
            <w:tcW w:w="1366" w:type="dxa"/>
            <w:vAlign w:val="bottom"/>
          </w:tcPr>
          <w:p w14:paraId="77A3DA20" w14:textId="0223E41B" w:rsidR="00057722" w:rsidRPr="00E46EC8" w:rsidRDefault="00057722" w:rsidP="00522727">
            <w:pPr>
              <w:pStyle w:val="TableBody"/>
              <w:rPr>
                <w:color w:val="CE0058" w:themeColor="accent4"/>
              </w:rPr>
            </w:pPr>
            <w:r w:rsidRPr="00E46EC8">
              <w:rPr>
                <w:color w:val="CE0058" w:themeColor="accent4"/>
              </w:rPr>
              <w:t>$1,244,810</w:t>
            </w:r>
          </w:p>
        </w:tc>
        <w:tc>
          <w:tcPr>
            <w:tcW w:w="1108" w:type="dxa"/>
            <w:vAlign w:val="bottom"/>
          </w:tcPr>
          <w:p w14:paraId="63F3FF06" w14:textId="5B496B20" w:rsidR="00057722" w:rsidRPr="00E46EC8" w:rsidRDefault="00057722" w:rsidP="00522727">
            <w:pPr>
              <w:pStyle w:val="TableBody"/>
              <w:rPr>
                <w:color w:val="CE0058" w:themeColor="accent4"/>
              </w:rPr>
            </w:pPr>
            <w:r w:rsidRPr="00E46EC8">
              <w:rPr>
                <w:color w:val="CE0058" w:themeColor="accent4"/>
              </w:rPr>
              <w:t>0</w:t>
            </w:r>
          </w:p>
        </w:tc>
        <w:tc>
          <w:tcPr>
            <w:tcW w:w="1108" w:type="dxa"/>
            <w:vAlign w:val="bottom"/>
          </w:tcPr>
          <w:p w14:paraId="228B7DB2" w14:textId="2A9F8178" w:rsidR="00057722" w:rsidRPr="00E46EC8" w:rsidRDefault="00057722" w:rsidP="00522727">
            <w:pPr>
              <w:pStyle w:val="TableBody"/>
              <w:rPr>
                <w:color w:val="CE0058" w:themeColor="accent4"/>
              </w:rPr>
            </w:pPr>
            <w:r w:rsidRPr="00E46EC8">
              <w:rPr>
                <w:color w:val="CE0058" w:themeColor="accent4"/>
              </w:rPr>
              <w:t>$0</w:t>
            </w:r>
          </w:p>
        </w:tc>
        <w:tc>
          <w:tcPr>
            <w:tcW w:w="1157" w:type="dxa"/>
            <w:vAlign w:val="bottom"/>
          </w:tcPr>
          <w:p w14:paraId="5C61DA72" w14:textId="7ED8D6AD" w:rsidR="00057722" w:rsidRPr="00E46EC8" w:rsidRDefault="00057722" w:rsidP="00522727">
            <w:pPr>
              <w:pStyle w:val="TableBody"/>
              <w:rPr>
                <w:color w:val="CE0058" w:themeColor="accent4"/>
              </w:rPr>
            </w:pPr>
            <w:r w:rsidRPr="00E46EC8">
              <w:rPr>
                <w:color w:val="CE0058" w:themeColor="accent4"/>
              </w:rPr>
              <w:t>0</w:t>
            </w:r>
          </w:p>
        </w:tc>
        <w:tc>
          <w:tcPr>
            <w:tcW w:w="1108" w:type="dxa"/>
            <w:vAlign w:val="bottom"/>
          </w:tcPr>
          <w:p w14:paraId="31063DE0" w14:textId="5FB0A2CE" w:rsidR="00057722" w:rsidRPr="00E46EC8" w:rsidRDefault="00057722" w:rsidP="00522727">
            <w:pPr>
              <w:pStyle w:val="TableBody"/>
              <w:rPr>
                <w:color w:val="CE0058" w:themeColor="accent4"/>
              </w:rPr>
            </w:pPr>
            <w:r w:rsidRPr="00E46EC8">
              <w:rPr>
                <w:color w:val="CE0058" w:themeColor="accent4"/>
              </w:rPr>
              <w:t>$0</w:t>
            </w:r>
          </w:p>
        </w:tc>
        <w:tc>
          <w:tcPr>
            <w:tcW w:w="1145" w:type="dxa"/>
            <w:vAlign w:val="bottom"/>
          </w:tcPr>
          <w:p w14:paraId="57809AE2" w14:textId="1662B1B3" w:rsidR="00057722" w:rsidRPr="00E46EC8" w:rsidRDefault="00057722" w:rsidP="00522727">
            <w:pPr>
              <w:pStyle w:val="TableBody"/>
              <w:rPr>
                <w:color w:val="CE0058" w:themeColor="accent4"/>
              </w:rPr>
            </w:pPr>
            <w:r w:rsidRPr="00E46EC8">
              <w:rPr>
                <w:color w:val="CE0058" w:themeColor="accent4"/>
              </w:rPr>
              <w:t>2,671</w:t>
            </w:r>
          </w:p>
        </w:tc>
        <w:tc>
          <w:tcPr>
            <w:tcW w:w="1244" w:type="dxa"/>
            <w:vAlign w:val="bottom"/>
          </w:tcPr>
          <w:p w14:paraId="7BC2A824" w14:textId="6347D2FA" w:rsidR="00057722" w:rsidRPr="00E46EC8" w:rsidRDefault="00057722" w:rsidP="00522727">
            <w:pPr>
              <w:pStyle w:val="TableBody"/>
              <w:rPr>
                <w:color w:val="CE0058" w:themeColor="accent4"/>
              </w:rPr>
            </w:pPr>
            <w:r w:rsidRPr="00E46EC8">
              <w:rPr>
                <w:color w:val="CE0058" w:themeColor="accent4"/>
              </w:rPr>
              <w:t>$385,380</w:t>
            </w:r>
          </w:p>
        </w:tc>
        <w:tc>
          <w:tcPr>
            <w:tcW w:w="1109" w:type="dxa"/>
            <w:vAlign w:val="bottom"/>
          </w:tcPr>
          <w:p w14:paraId="75B95753" w14:textId="5575AE70" w:rsidR="00057722" w:rsidRPr="00E46EC8" w:rsidRDefault="00057722" w:rsidP="00522727">
            <w:pPr>
              <w:pStyle w:val="TableBody"/>
              <w:rPr>
                <w:color w:val="CE0058" w:themeColor="accent4"/>
              </w:rPr>
            </w:pPr>
            <w:r w:rsidRPr="00E46EC8">
              <w:rPr>
                <w:color w:val="CE0058" w:themeColor="accent4"/>
              </w:rPr>
              <w:t>25</w:t>
            </w:r>
          </w:p>
        </w:tc>
        <w:tc>
          <w:tcPr>
            <w:tcW w:w="1244" w:type="dxa"/>
            <w:vAlign w:val="bottom"/>
          </w:tcPr>
          <w:p w14:paraId="6257FADE" w14:textId="1EB1F4ED" w:rsidR="00057722" w:rsidRPr="00E46EC8" w:rsidRDefault="00057722" w:rsidP="00522727">
            <w:pPr>
              <w:pStyle w:val="TableBody"/>
              <w:rPr>
                <w:color w:val="CE0058" w:themeColor="accent4"/>
              </w:rPr>
            </w:pPr>
            <w:r w:rsidRPr="00E46EC8">
              <w:rPr>
                <w:color w:val="CE0058" w:themeColor="accent4"/>
              </w:rPr>
              <w:t>$3,250</w:t>
            </w:r>
          </w:p>
        </w:tc>
      </w:tr>
      <w:tr w:rsidR="00057722" w14:paraId="17CDACCC"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2D853DF0" w14:textId="77777777" w:rsidR="00057722" w:rsidRPr="00057722" w:rsidRDefault="00057722" w:rsidP="00057722">
            <w:pPr>
              <w:pStyle w:val="TableHeading"/>
              <w:rPr>
                <w:b/>
                <w:bCs/>
                <w:color w:val="auto"/>
              </w:rPr>
            </w:pPr>
          </w:p>
        </w:tc>
        <w:tc>
          <w:tcPr>
            <w:tcW w:w="1108" w:type="dxa"/>
          </w:tcPr>
          <w:p w14:paraId="6BA5ECB0" w14:textId="75E53E06" w:rsidR="00057722" w:rsidRPr="00057722" w:rsidRDefault="00057722" w:rsidP="00057722">
            <w:pPr>
              <w:pStyle w:val="TableHeading"/>
              <w:rPr>
                <w:b/>
                <w:bCs/>
                <w:color w:val="auto"/>
              </w:rPr>
            </w:pPr>
            <w:r w:rsidRPr="00057722">
              <w:rPr>
                <w:b/>
                <w:bCs/>
                <w:color w:val="auto"/>
              </w:rPr>
              <w:t>2024-25</w:t>
            </w:r>
          </w:p>
        </w:tc>
        <w:tc>
          <w:tcPr>
            <w:tcW w:w="1108" w:type="dxa"/>
            <w:vAlign w:val="bottom"/>
          </w:tcPr>
          <w:p w14:paraId="5776073C" w14:textId="35F2A33F" w:rsidR="00057722" w:rsidRPr="00E46EC8" w:rsidRDefault="00057722" w:rsidP="00522727">
            <w:pPr>
              <w:pStyle w:val="TableBody"/>
              <w:rPr>
                <w:color w:val="ED8B00" w:themeColor="accent2"/>
              </w:rPr>
            </w:pPr>
            <w:r w:rsidRPr="00E46EC8">
              <w:rPr>
                <w:color w:val="ED8B00" w:themeColor="accent2"/>
              </w:rPr>
              <w:t>16,746</w:t>
            </w:r>
          </w:p>
        </w:tc>
        <w:tc>
          <w:tcPr>
            <w:tcW w:w="1366" w:type="dxa"/>
            <w:vAlign w:val="bottom"/>
          </w:tcPr>
          <w:p w14:paraId="660066D4" w14:textId="386D6DA6" w:rsidR="00057722" w:rsidRPr="00E46EC8" w:rsidRDefault="00057722" w:rsidP="00522727">
            <w:pPr>
              <w:pStyle w:val="TableBody"/>
              <w:rPr>
                <w:color w:val="ED8B00" w:themeColor="accent2"/>
              </w:rPr>
            </w:pPr>
            <w:r w:rsidRPr="00E46EC8">
              <w:rPr>
                <w:color w:val="ED8B00" w:themeColor="accent2"/>
              </w:rPr>
              <w:t>$1,564,000</w:t>
            </w:r>
          </w:p>
        </w:tc>
        <w:tc>
          <w:tcPr>
            <w:tcW w:w="1108" w:type="dxa"/>
            <w:vAlign w:val="bottom"/>
          </w:tcPr>
          <w:p w14:paraId="3875D1A5" w14:textId="4436A013" w:rsidR="00057722" w:rsidRPr="00E46EC8" w:rsidRDefault="00057722" w:rsidP="00522727">
            <w:pPr>
              <w:pStyle w:val="TableBody"/>
              <w:rPr>
                <w:color w:val="ED8B00" w:themeColor="accent2"/>
              </w:rPr>
            </w:pPr>
            <w:r w:rsidRPr="00E46EC8">
              <w:rPr>
                <w:color w:val="ED8B00" w:themeColor="accent2"/>
              </w:rPr>
              <w:t>48</w:t>
            </w:r>
          </w:p>
        </w:tc>
        <w:tc>
          <w:tcPr>
            <w:tcW w:w="1108" w:type="dxa"/>
            <w:vAlign w:val="bottom"/>
          </w:tcPr>
          <w:p w14:paraId="1AF87FBC" w14:textId="7EA7DDAD" w:rsidR="00057722" w:rsidRPr="00E46EC8" w:rsidRDefault="00057722" w:rsidP="00522727">
            <w:pPr>
              <w:pStyle w:val="TableBody"/>
              <w:rPr>
                <w:color w:val="ED8B00" w:themeColor="accent2"/>
              </w:rPr>
            </w:pPr>
            <w:r w:rsidRPr="00E46EC8">
              <w:rPr>
                <w:color w:val="ED8B00" w:themeColor="accent2"/>
              </w:rPr>
              <w:t>$6,240</w:t>
            </w:r>
          </w:p>
        </w:tc>
        <w:tc>
          <w:tcPr>
            <w:tcW w:w="1157" w:type="dxa"/>
            <w:vAlign w:val="bottom"/>
          </w:tcPr>
          <w:p w14:paraId="4A490C23" w14:textId="2C0DF3B4" w:rsidR="00057722" w:rsidRPr="00E46EC8" w:rsidRDefault="00057722" w:rsidP="00522727">
            <w:pPr>
              <w:pStyle w:val="TableBody"/>
              <w:rPr>
                <w:color w:val="ED8B00" w:themeColor="accent2"/>
              </w:rPr>
            </w:pPr>
            <w:r w:rsidRPr="00E46EC8">
              <w:rPr>
                <w:color w:val="ED8B00" w:themeColor="accent2"/>
              </w:rPr>
              <w:t>0</w:t>
            </w:r>
          </w:p>
        </w:tc>
        <w:tc>
          <w:tcPr>
            <w:tcW w:w="1108" w:type="dxa"/>
            <w:vAlign w:val="bottom"/>
          </w:tcPr>
          <w:p w14:paraId="6F63876F" w14:textId="2E4AFE6F" w:rsidR="00057722" w:rsidRPr="00E46EC8" w:rsidRDefault="00057722" w:rsidP="00522727">
            <w:pPr>
              <w:pStyle w:val="TableBody"/>
              <w:rPr>
                <w:color w:val="ED8B00" w:themeColor="accent2"/>
              </w:rPr>
            </w:pPr>
            <w:r w:rsidRPr="00E46EC8">
              <w:rPr>
                <w:color w:val="ED8B00" w:themeColor="accent2"/>
              </w:rPr>
              <w:t>$0</w:t>
            </w:r>
          </w:p>
        </w:tc>
        <w:tc>
          <w:tcPr>
            <w:tcW w:w="1145" w:type="dxa"/>
            <w:vAlign w:val="bottom"/>
          </w:tcPr>
          <w:p w14:paraId="584F9CAB" w14:textId="0E0FAB17" w:rsidR="00057722" w:rsidRPr="00E46EC8" w:rsidRDefault="00057722" w:rsidP="00522727">
            <w:pPr>
              <w:pStyle w:val="TableBody"/>
              <w:rPr>
                <w:color w:val="ED8B00" w:themeColor="accent2"/>
              </w:rPr>
            </w:pPr>
            <w:r w:rsidRPr="00E46EC8">
              <w:rPr>
                <w:color w:val="ED8B00" w:themeColor="accent2"/>
              </w:rPr>
              <w:t>3,184</w:t>
            </w:r>
          </w:p>
        </w:tc>
        <w:tc>
          <w:tcPr>
            <w:tcW w:w="1244" w:type="dxa"/>
            <w:vAlign w:val="bottom"/>
          </w:tcPr>
          <w:p w14:paraId="013A22F8" w14:textId="0A233EC4" w:rsidR="00057722" w:rsidRPr="00E46EC8" w:rsidRDefault="00057722" w:rsidP="00522727">
            <w:pPr>
              <w:pStyle w:val="TableBody"/>
              <w:rPr>
                <w:color w:val="ED8B00" w:themeColor="accent2"/>
              </w:rPr>
            </w:pPr>
            <w:r w:rsidRPr="00E46EC8">
              <w:rPr>
                <w:color w:val="ED8B00" w:themeColor="accent2"/>
              </w:rPr>
              <w:t>$470,110</w:t>
            </w:r>
          </w:p>
        </w:tc>
        <w:tc>
          <w:tcPr>
            <w:tcW w:w="1109" w:type="dxa"/>
            <w:vAlign w:val="bottom"/>
          </w:tcPr>
          <w:p w14:paraId="2E5C2537" w14:textId="4A11C833" w:rsidR="00057722" w:rsidRPr="00E46EC8" w:rsidRDefault="00057722" w:rsidP="00522727">
            <w:pPr>
              <w:pStyle w:val="TableBody"/>
              <w:rPr>
                <w:color w:val="ED8B00" w:themeColor="accent2"/>
              </w:rPr>
            </w:pPr>
            <w:r w:rsidRPr="00E46EC8">
              <w:rPr>
                <w:color w:val="ED8B00" w:themeColor="accent2"/>
              </w:rPr>
              <w:t>0</w:t>
            </w:r>
          </w:p>
        </w:tc>
        <w:tc>
          <w:tcPr>
            <w:tcW w:w="1244" w:type="dxa"/>
            <w:vAlign w:val="bottom"/>
          </w:tcPr>
          <w:p w14:paraId="200C6D66" w14:textId="74FA57F7" w:rsidR="00057722" w:rsidRPr="00E46EC8" w:rsidRDefault="00057722" w:rsidP="00522727">
            <w:pPr>
              <w:pStyle w:val="TableBody"/>
              <w:rPr>
                <w:color w:val="ED8B00" w:themeColor="accent2"/>
              </w:rPr>
            </w:pPr>
            <w:r w:rsidRPr="00E46EC8">
              <w:rPr>
                <w:color w:val="ED8B00" w:themeColor="accent2"/>
              </w:rPr>
              <w:t>$0</w:t>
            </w:r>
          </w:p>
        </w:tc>
      </w:tr>
      <w:tr w:rsidR="00057722" w14:paraId="3C36D4DE"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val="restart"/>
          </w:tcPr>
          <w:p w14:paraId="65BFF553" w14:textId="6092EDA0" w:rsidR="00057722" w:rsidRPr="00057722" w:rsidRDefault="00057722" w:rsidP="00057722">
            <w:pPr>
              <w:pStyle w:val="TableHeading"/>
              <w:rPr>
                <w:rFonts w:ascii="Arial" w:hAnsi="Arial" w:cs="Arial"/>
                <w:b/>
                <w:bCs/>
                <w:color w:val="auto"/>
              </w:rPr>
            </w:pPr>
            <w:r w:rsidRPr="00057722">
              <w:rPr>
                <w:rFonts w:ascii="Arial" w:hAnsi="Arial" w:cs="Arial"/>
                <w:b/>
                <w:bCs/>
                <w:color w:val="auto"/>
              </w:rPr>
              <w:t>Major event day payments for over 12 hours of unplanned sustained interruptions during storm events</w:t>
            </w:r>
          </w:p>
        </w:tc>
        <w:tc>
          <w:tcPr>
            <w:tcW w:w="1108" w:type="dxa"/>
          </w:tcPr>
          <w:p w14:paraId="10336239" w14:textId="1392218D" w:rsidR="00057722" w:rsidRPr="00057722" w:rsidRDefault="00057722" w:rsidP="00057722">
            <w:pPr>
              <w:pStyle w:val="TableHeading"/>
              <w:rPr>
                <w:b/>
                <w:bCs/>
                <w:color w:val="auto"/>
              </w:rPr>
            </w:pPr>
            <w:r w:rsidRPr="00057722">
              <w:rPr>
                <w:b/>
                <w:bCs/>
                <w:color w:val="auto"/>
              </w:rPr>
              <w:t>2021-22</w:t>
            </w:r>
          </w:p>
        </w:tc>
        <w:tc>
          <w:tcPr>
            <w:tcW w:w="1108" w:type="dxa"/>
            <w:vAlign w:val="bottom"/>
          </w:tcPr>
          <w:p w14:paraId="1E4BDBDB" w14:textId="591447E7" w:rsidR="00057722" w:rsidRDefault="00057722" w:rsidP="00522727">
            <w:pPr>
              <w:pStyle w:val="TableBody"/>
            </w:pPr>
            <w:r>
              <w:t>100,133</w:t>
            </w:r>
          </w:p>
        </w:tc>
        <w:tc>
          <w:tcPr>
            <w:tcW w:w="1366" w:type="dxa"/>
            <w:vAlign w:val="bottom"/>
          </w:tcPr>
          <w:p w14:paraId="5F3E2E68" w14:textId="7A175782" w:rsidR="00057722" w:rsidRDefault="00057722" w:rsidP="00522727">
            <w:pPr>
              <w:pStyle w:val="TableBody"/>
            </w:pPr>
            <w:r>
              <w:t>$9,011,970</w:t>
            </w:r>
          </w:p>
        </w:tc>
        <w:tc>
          <w:tcPr>
            <w:tcW w:w="1108" w:type="dxa"/>
            <w:vAlign w:val="bottom"/>
          </w:tcPr>
          <w:p w14:paraId="6F87416B" w14:textId="08F041D1" w:rsidR="00057722" w:rsidRDefault="00057722" w:rsidP="00522727">
            <w:pPr>
              <w:pStyle w:val="TableBody"/>
            </w:pPr>
            <w:r>
              <w:t>6,321</w:t>
            </w:r>
          </w:p>
        </w:tc>
        <w:tc>
          <w:tcPr>
            <w:tcW w:w="1108" w:type="dxa"/>
            <w:vAlign w:val="bottom"/>
          </w:tcPr>
          <w:p w14:paraId="32E58674" w14:textId="0419AE18" w:rsidR="00057722" w:rsidRDefault="00057722" w:rsidP="00522727">
            <w:pPr>
              <w:pStyle w:val="TableBody"/>
            </w:pPr>
            <w:r>
              <w:t>$568,890</w:t>
            </w:r>
          </w:p>
        </w:tc>
        <w:tc>
          <w:tcPr>
            <w:tcW w:w="1157" w:type="dxa"/>
            <w:vAlign w:val="bottom"/>
          </w:tcPr>
          <w:p w14:paraId="2A63EF3A" w14:textId="430D9B56" w:rsidR="00057722" w:rsidRDefault="00057722" w:rsidP="00522727">
            <w:pPr>
              <w:pStyle w:val="TableBody"/>
            </w:pPr>
            <w:r>
              <w:t>402</w:t>
            </w:r>
          </w:p>
        </w:tc>
        <w:tc>
          <w:tcPr>
            <w:tcW w:w="1108" w:type="dxa"/>
            <w:vAlign w:val="bottom"/>
          </w:tcPr>
          <w:p w14:paraId="56DD4ACD" w14:textId="7C0D0EC6" w:rsidR="00057722" w:rsidRDefault="00057722" w:rsidP="00522727">
            <w:pPr>
              <w:pStyle w:val="TableBody"/>
            </w:pPr>
            <w:r>
              <w:t>$36,180</w:t>
            </w:r>
          </w:p>
        </w:tc>
        <w:tc>
          <w:tcPr>
            <w:tcW w:w="1145" w:type="dxa"/>
            <w:vAlign w:val="bottom"/>
          </w:tcPr>
          <w:p w14:paraId="028B864C" w14:textId="1BFCCEA6" w:rsidR="00057722" w:rsidRDefault="00057722" w:rsidP="00522727">
            <w:pPr>
              <w:pStyle w:val="TableBody"/>
            </w:pPr>
            <w:r>
              <w:t>27,479</w:t>
            </w:r>
          </w:p>
        </w:tc>
        <w:tc>
          <w:tcPr>
            <w:tcW w:w="1244" w:type="dxa"/>
            <w:vAlign w:val="bottom"/>
          </w:tcPr>
          <w:p w14:paraId="3DABD3B2" w14:textId="4C906E93" w:rsidR="00057722" w:rsidRDefault="00057722" w:rsidP="00522727">
            <w:pPr>
              <w:pStyle w:val="TableBody"/>
            </w:pPr>
            <w:r>
              <w:t>$2,473,110</w:t>
            </w:r>
          </w:p>
        </w:tc>
        <w:tc>
          <w:tcPr>
            <w:tcW w:w="1109" w:type="dxa"/>
            <w:vAlign w:val="bottom"/>
          </w:tcPr>
          <w:p w14:paraId="03E53574" w14:textId="5BEEE70D" w:rsidR="00057722" w:rsidRDefault="00057722" w:rsidP="00522727">
            <w:pPr>
              <w:pStyle w:val="TableBody"/>
            </w:pPr>
            <w:r>
              <w:t>34,482</w:t>
            </w:r>
          </w:p>
        </w:tc>
        <w:tc>
          <w:tcPr>
            <w:tcW w:w="1244" w:type="dxa"/>
            <w:vAlign w:val="bottom"/>
          </w:tcPr>
          <w:p w14:paraId="0B4048D5" w14:textId="7722BBE8" w:rsidR="00057722" w:rsidRDefault="00057722" w:rsidP="00522727">
            <w:pPr>
              <w:pStyle w:val="TableBody"/>
            </w:pPr>
            <w:r>
              <w:t>$3,103,380</w:t>
            </w:r>
          </w:p>
        </w:tc>
      </w:tr>
      <w:tr w:rsidR="00057722" w14:paraId="6D1AE14F"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5DDFF49F" w14:textId="77777777" w:rsidR="00057722" w:rsidRPr="00057722" w:rsidRDefault="00057722" w:rsidP="00057722">
            <w:pPr>
              <w:pStyle w:val="TableHeading"/>
              <w:rPr>
                <w:b/>
                <w:bCs/>
                <w:color w:val="auto"/>
              </w:rPr>
            </w:pPr>
          </w:p>
        </w:tc>
        <w:tc>
          <w:tcPr>
            <w:tcW w:w="1108" w:type="dxa"/>
          </w:tcPr>
          <w:p w14:paraId="73B8508D" w14:textId="681DD7B1" w:rsidR="00057722" w:rsidRPr="00057722" w:rsidRDefault="00057722" w:rsidP="00057722">
            <w:pPr>
              <w:pStyle w:val="TableHeading"/>
              <w:rPr>
                <w:b/>
                <w:bCs/>
                <w:color w:val="auto"/>
              </w:rPr>
            </w:pPr>
            <w:r w:rsidRPr="00057722">
              <w:rPr>
                <w:b/>
                <w:bCs/>
                <w:color w:val="auto"/>
              </w:rPr>
              <w:t>2022-23</w:t>
            </w:r>
          </w:p>
        </w:tc>
        <w:tc>
          <w:tcPr>
            <w:tcW w:w="1108" w:type="dxa"/>
            <w:vAlign w:val="bottom"/>
          </w:tcPr>
          <w:p w14:paraId="00F7146F" w14:textId="6C851A53" w:rsidR="00057722" w:rsidRPr="00E46EC8" w:rsidRDefault="00057722" w:rsidP="00522727">
            <w:pPr>
              <w:pStyle w:val="TableBody"/>
              <w:rPr>
                <w:color w:val="4986A0" w:themeColor="text2"/>
              </w:rPr>
            </w:pPr>
            <w:r w:rsidRPr="00E46EC8">
              <w:rPr>
                <w:color w:val="4986A0" w:themeColor="text2"/>
              </w:rPr>
              <w:t>13,755</w:t>
            </w:r>
          </w:p>
        </w:tc>
        <w:tc>
          <w:tcPr>
            <w:tcW w:w="1366" w:type="dxa"/>
            <w:vAlign w:val="bottom"/>
          </w:tcPr>
          <w:p w14:paraId="21D78652" w14:textId="494FC4FC" w:rsidR="00057722" w:rsidRPr="00E46EC8" w:rsidRDefault="00057722" w:rsidP="00522727">
            <w:pPr>
              <w:pStyle w:val="TableBody"/>
              <w:rPr>
                <w:color w:val="4986A0" w:themeColor="text2"/>
              </w:rPr>
            </w:pPr>
            <w:r w:rsidRPr="00E46EC8">
              <w:rPr>
                <w:color w:val="4986A0" w:themeColor="text2"/>
              </w:rPr>
              <w:t>$1,237,950</w:t>
            </w:r>
          </w:p>
        </w:tc>
        <w:tc>
          <w:tcPr>
            <w:tcW w:w="1108" w:type="dxa"/>
            <w:vAlign w:val="bottom"/>
          </w:tcPr>
          <w:p w14:paraId="6448C0C5" w14:textId="683886EA" w:rsidR="00057722" w:rsidRPr="00E46EC8" w:rsidRDefault="00057722" w:rsidP="00522727">
            <w:pPr>
              <w:pStyle w:val="TableBody"/>
              <w:rPr>
                <w:color w:val="4986A0" w:themeColor="text2"/>
              </w:rPr>
            </w:pPr>
            <w:r w:rsidRPr="00E46EC8">
              <w:rPr>
                <w:color w:val="4986A0" w:themeColor="text2"/>
              </w:rPr>
              <w:t>0</w:t>
            </w:r>
          </w:p>
        </w:tc>
        <w:tc>
          <w:tcPr>
            <w:tcW w:w="1108" w:type="dxa"/>
            <w:vAlign w:val="bottom"/>
          </w:tcPr>
          <w:p w14:paraId="561827C2" w14:textId="5B9CA1B0" w:rsidR="00057722" w:rsidRPr="00E46EC8" w:rsidRDefault="00057722" w:rsidP="00522727">
            <w:pPr>
              <w:pStyle w:val="TableBody"/>
              <w:rPr>
                <w:color w:val="4986A0" w:themeColor="text2"/>
              </w:rPr>
            </w:pPr>
            <w:r w:rsidRPr="00E46EC8">
              <w:rPr>
                <w:color w:val="4986A0" w:themeColor="text2"/>
              </w:rPr>
              <w:t>$0</w:t>
            </w:r>
          </w:p>
        </w:tc>
        <w:tc>
          <w:tcPr>
            <w:tcW w:w="1157" w:type="dxa"/>
            <w:vAlign w:val="bottom"/>
          </w:tcPr>
          <w:p w14:paraId="77BA2C11" w14:textId="0A8F997D" w:rsidR="00057722" w:rsidRPr="00E46EC8" w:rsidRDefault="00057722" w:rsidP="00522727">
            <w:pPr>
              <w:pStyle w:val="TableBody"/>
              <w:rPr>
                <w:color w:val="4986A0" w:themeColor="text2"/>
              </w:rPr>
            </w:pPr>
            <w:r w:rsidRPr="00E46EC8">
              <w:rPr>
                <w:color w:val="4986A0" w:themeColor="text2"/>
              </w:rPr>
              <w:t>15</w:t>
            </w:r>
          </w:p>
        </w:tc>
        <w:tc>
          <w:tcPr>
            <w:tcW w:w="1108" w:type="dxa"/>
            <w:vAlign w:val="bottom"/>
          </w:tcPr>
          <w:p w14:paraId="3C398C46" w14:textId="41FFFA98" w:rsidR="00057722" w:rsidRPr="00E46EC8" w:rsidRDefault="00057722" w:rsidP="00522727">
            <w:pPr>
              <w:pStyle w:val="TableBody"/>
              <w:rPr>
                <w:color w:val="4986A0" w:themeColor="text2"/>
              </w:rPr>
            </w:pPr>
            <w:r w:rsidRPr="00E46EC8">
              <w:rPr>
                <w:color w:val="4986A0" w:themeColor="text2"/>
              </w:rPr>
              <w:t>$1,350</w:t>
            </w:r>
          </w:p>
        </w:tc>
        <w:tc>
          <w:tcPr>
            <w:tcW w:w="1145" w:type="dxa"/>
            <w:vAlign w:val="bottom"/>
          </w:tcPr>
          <w:p w14:paraId="06C73C44" w14:textId="143D7D2D" w:rsidR="00057722" w:rsidRPr="00E46EC8" w:rsidRDefault="00057722" w:rsidP="00522727">
            <w:pPr>
              <w:pStyle w:val="TableBody"/>
              <w:rPr>
                <w:color w:val="4986A0" w:themeColor="text2"/>
              </w:rPr>
            </w:pPr>
            <w:r w:rsidRPr="00E46EC8">
              <w:rPr>
                <w:color w:val="4986A0" w:themeColor="text2"/>
              </w:rPr>
              <w:t>7,579</w:t>
            </w:r>
          </w:p>
        </w:tc>
        <w:tc>
          <w:tcPr>
            <w:tcW w:w="1244" w:type="dxa"/>
            <w:vAlign w:val="bottom"/>
          </w:tcPr>
          <w:p w14:paraId="245FA039" w14:textId="15F7E6AA" w:rsidR="00057722" w:rsidRPr="00E46EC8" w:rsidRDefault="00057722" w:rsidP="00522727">
            <w:pPr>
              <w:pStyle w:val="TableBody"/>
              <w:rPr>
                <w:color w:val="4986A0" w:themeColor="text2"/>
              </w:rPr>
            </w:pPr>
            <w:r w:rsidRPr="00E46EC8">
              <w:rPr>
                <w:color w:val="4986A0" w:themeColor="text2"/>
              </w:rPr>
              <w:t>$682,110</w:t>
            </w:r>
          </w:p>
        </w:tc>
        <w:tc>
          <w:tcPr>
            <w:tcW w:w="1109" w:type="dxa"/>
            <w:vAlign w:val="bottom"/>
          </w:tcPr>
          <w:p w14:paraId="039261EF" w14:textId="6258CDE4" w:rsidR="00057722" w:rsidRPr="00E46EC8" w:rsidRDefault="00057722" w:rsidP="00522727">
            <w:pPr>
              <w:pStyle w:val="TableBody"/>
              <w:rPr>
                <w:color w:val="4986A0" w:themeColor="text2"/>
              </w:rPr>
            </w:pPr>
            <w:r w:rsidRPr="00E46EC8">
              <w:rPr>
                <w:color w:val="4986A0" w:themeColor="text2"/>
              </w:rPr>
              <w:t>0</w:t>
            </w:r>
          </w:p>
        </w:tc>
        <w:tc>
          <w:tcPr>
            <w:tcW w:w="1244" w:type="dxa"/>
            <w:vAlign w:val="bottom"/>
          </w:tcPr>
          <w:p w14:paraId="21C3BC48" w14:textId="03DF7E45" w:rsidR="00057722" w:rsidRPr="00E46EC8" w:rsidRDefault="00057722" w:rsidP="00522727">
            <w:pPr>
              <w:pStyle w:val="TableBody"/>
              <w:rPr>
                <w:color w:val="4986A0" w:themeColor="text2"/>
              </w:rPr>
            </w:pPr>
            <w:r w:rsidRPr="00E46EC8">
              <w:rPr>
                <w:color w:val="4986A0" w:themeColor="text2"/>
              </w:rPr>
              <w:t>$0</w:t>
            </w:r>
          </w:p>
        </w:tc>
      </w:tr>
      <w:tr w:rsidR="00057722" w14:paraId="608EDFF6" w14:textId="77777777" w:rsidTr="00057722">
        <w:trPr>
          <w:cnfStyle w:val="000000010000" w:firstRow="0" w:lastRow="0" w:firstColumn="0" w:lastColumn="0" w:oddVBand="0" w:evenVBand="0" w:oddHBand="0" w:evenHBand="1" w:firstRowFirstColumn="0" w:firstRowLastColumn="0" w:lastRowFirstColumn="0" w:lastRowLastColumn="0"/>
          <w:trHeight w:val="282"/>
        </w:trPr>
        <w:tc>
          <w:tcPr>
            <w:tcW w:w="1488" w:type="dxa"/>
            <w:vMerge/>
          </w:tcPr>
          <w:p w14:paraId="1FEF7B8E" w14:textId="77777777" w:rsidR="00057722" w:rsidRPr="00057722" w:rsidRDefault="00057722" w:rsidP="00057722">
            <w:pPr>
              <w:pStyle w:val="TableHeading"/>
              <w:rPr>
                <w:b/>
                <w:bCs/>
                <w:color w:val="auto"/>
              </w:rPr>
            </w:pPr>
          </w:p>
        </w:tc>
        <w:tc>
          <w:tcPr>
            <w:tcW w:w="1108" w:type="dxa"/>
          </w:tcPr>
          <w:p w14:paraId="4163B573" w14:textId="5BE8875A" w:rsidR="00057722" w:rsidRPr="00057722" w:rsidRDefault="00057722" w:rsidP="00057722">
            <w:pPr>
              <w:pStyle w:val="TableHeading"/>
              <w:rPr>
                <w:b/>
                <w:bCs/>
                <w:color w:val="auto"/>
              </w:rPr>
            </w:pPr>
            <w:r w:rsidRPr="00057722">
              <w:rPr>
                <w:b/>
                <w:bCs/>
                <w:color w:val="auto"/>
              </w:rPr>
              <w:t>2023-24</w:t>
            </w:r>
          </w:p>
        </w:tc>
        <w:tc>
          <w:tcPr>
            <w:tcW w:w="1108" w:type="dxa"/>
            <w:vAlign w:val="bottom"/>
          </w:tcPr>
          <w:p w14:paraId="2934E5D4" w14:textId="1444C181" w:rsidR="00057722" w:rsidRPr="00E46EC8" w:rsidRDefault="00057722" w:rsidP="00522727">
            <w:pPr>
              <w:pStyle w:val="TableBody"/>
              <w:rPr>
                <w:color w:val="CE0058" w:themeColor="accent4"/>
              </w:rPr>
            </w:pPr>
            <w:r w:rsidRPr="00E46EC8">
              <w:rPr>
                <w:color w:val="CE0058" w:themeColor="accent4"/>
              </w:rPr>
              <w:t>225,971</w:t>
            </w:r>
          </w:p>
        </w:tc>
        <w:tc>
          <w:tcPr>
            <w:tcW w:w="1366" w:type="dxa"/>
            <w:vAlign w:val="bottom"/>
          </w:tcPr>
          <w:p w14:paraId="6D61C2D1" w14:textId="2CC0300E" w:rsidR="00057722" w:rsidRPr="00E46EC8" w:rsidRDefault="00057722" w:rsidP="00522727">
            <w:pPr>
              <w:pStyle w:val="TableBody"/>
              <w:rPr>
                <w:color w:val="CE0058" w:themeColor="accent4"/>
              </w:rPr>
            </w:pPr>
            <w:r w:rsidRPr="00E46EC8">
              <w:rPr>
                <w:color w:val="CE0058" w:themeColor="accent4"/>
              </w:rPr>
              <w:t>$20,337,390</w:t>
            </w:r>
          </w:p>
        </w:tc>
        <w:tc>
          <w:tcPr>
            <w:tcW w:w="1108" w:type="dxa"/>
            <w:vAlign w:val="bottom"/>
          </w:tcPr>
          <w:p w14:paraId="5A7BACBB" w14:textId="22F3BF3F" w:rsidR="00057722" w:rsidRPr="00E46EC8" w:rsidRDefault="00057722" w:rsidP="00522727">
            <w:pPr>
              <w:pStyle w:val="TableBody"/>
              <w:rPr>
                <w:color w:val="CE0058" w:themeColor="accent4"/>
              </w:rPr>
            </w:pPr>
            <w:r w:rsidRPr="00E46EC8">
              <w:rPr>
                <w:color w:val="CE0058" w:themeColor="accent4"/>
              </w:rPr>
              <w:t>0</w:t>
            </w:r>
          </w:p>
        </w:tc>
        <w:tc>
          <w:tcPr>
            <w:tcW w:w="1108" w:type="dxa"/>
            <w:vAlign w:val="bottom"/>
          </w:tcPr>
          <w:p w14:paraId="559E75D9" w14:textId="7BFC9359" w:rsidR="00057722" w:rsidRPr="00E46EC8" w:rsidRDefault="00057722" w:rsidP="00522727">
            <w:pPr>
              <w:pStyle w:val="TableBody"/>
              <w:rPr>
                <w:color w:val="CE0058" w:themeColor="accent4"/>
              </w:rPr>
            </w:pPr>
            <w:r w:rsidRPr="00E46EC8">
              <w:rPr>
                <w:color w:val="CE0058" w:themeColor="accent4"/>
              </w:rPr>
              <w:t>$0</w:t>
            </w:r>
          </w:p>
        </w:tc>
        <w:tc>
          <w:tcPr>
            <w:tcW w:w="1157" w:type="dxa"/>
            <w:vAlign w:val="bottom"/>
          </w:tcPr>
          <w:p w14:paraId="3B1BDF99" w14:textId="2FFBD9C2" w:rsidR="00057722" w:rsidRPr="00E46EC8" w:rsidRDefault="00057722" w:rsidP="00522727">
            <w:pPr>
              <w:pStyle w:val="TableBody"/>
              <w:rPr>
                <w:color w:val="CE0058" w:themeColor="accent4"/>
              </w:rPr>
            </w:pPr>
            <w:r w:rsidRPr="00E46EC8">
              <w:rPr>
                <w:color w:val="CE0058" w:themeColor="accent4"/>
              </w:rPr>
              <w:t>110</w:t>
            </w:r>
          </w:p>
        </w:tc>
        <w:tc>
          <w:tcPr>
            <w:tcW w:w="1108" w:type="dxa"/>
            <w:vAlign w:val="bottom"/>
          </w:tcPr>
          <w:p w14:paraId="375DBB49" w14:textId="6BDDC642" w:rsidR="00057722" w:rsidRPr="00E46EC8" w:rsidRDefault="00057722" w:rsidP="00522727">
            <w:pPr>
              <w:pStyle w:val="TableBody"/>
              <w:rPr>
                <w:color w:val="CE0058" w:themeColor="accent4"/>
              </w:rPr>
            </w:pPr>
            <w:r w:rsidRPr="00E46EC8">
              <w:rPr>
                <w:color w:val="CE0058" w:themeColor="accent4"/>
              </w:rPr>
              <w:t>$9,900</w:t>
            </w:r>
          </w:p>
        </w:tc>
        <w:tc>
          <w:tcPr>
            <w:tcW w:w="1145" w:type="dxa"/>
            <w:vAlign w:val="bottom"/>
          </w:tcPr>
          <w:p w14:paraId="21E6BD08" w14:textId="360BC990" w:rsidR="00057722" w:rsidRPr="00E46EC8" w:rsidRDefault="00057722" w:rsidP="00522727">
            <w:pPr>
              <w:pStyle w:val="TableBody"/>
              <w:rPr>
                <w:color w:val="CE0058" w:themeColor="accent4"/>
              </w:rPr>
            </w:pPr>
            <w:r w:rsidRPr="00E46EC8">
              <w:rPr>
                <w:color w:val="CE0058" w:themeColor="accent4"/>
              </w:rPr>
              <w:t>13,225</w:t>
            </w:r>
          </w:p>
        </w:tc>
        <w:tc>
          <w:tcPr>
            <w:tcW w:w="1244" w:type="dxa"/>
            <w:vAlign w:val="bottom"/>
          </w:tcPr>
          <w:p w14:paraId="2BEEA9C2" w14:textId="7D406F40" w:rsidR="00057722" w:rsidRPr="00E46EC8" w:rsidRDefault="00057722" w:rsidP="00522727">
            <w:pPr>
              <w:pStyle w:val="TableBody"/>
              <w:rPr>
                <w:color w:val="CE0058" w:themeColor="accent4"/>
              </w:rPr>
            </w:pPr>
            <w:r w:rsidRPr="00E46EC8">
              <w:rPr>
                <w:color w:val="CE0058" w:themeColor="accent4"/>
              </w:rPr>
              <w:t>$1,190,250</w:t>
            </w:r>
          </w:p>
        </w:tc>
        <w:tc>
          <w:tcPr>
            <w:tcW w:w="1109" w:type="dxa"/>
            <w:vAlign w:val="bottom"/>
          </w:tcPr>
          <w:p w14:paraId="7DF346BF" w14:textId="2BF8F791" w:rsidR="00057722" w:rsidRPr="00E46EC8" w:rsidRDefault="00057722" w:rsidP="00522727">
            <w:pPr>
              <w:pStyle w:val="TableBody"/>
              <w:rPr>
                <w:color w:val="CE0058" w:themeColor="accent4"/>
              </w:rPr>
            </w:pPr>
            <w:r w:rsidRPr="00E46EC8">
              <w:rPr>
                <w:color w:val="CE0058" w:themeColor="accent4"/>
              </w:rPr>
              <w:t>44,347</w:t>
            </w:r>
          </w:p>
        </w:tc>
        <w:tc>
          <w:tcPr>
            <w:tcW w:w="1244" w:type="dxa"/>
            <w:vAlign w:val="bottom"/>
          </w:tcPr>
          <w:p w14:paraId="78EE1454" w14:textId="093E3F55" w:rsidR="00057722" w:rsidRPr="00E46EC8" w:rsidRDefault="00057722" w:rsidP="00522727">
            <w:pPr>
              <w:pStyle w:val="TableBody"/>
              <w:rPr>
                <w:color w:val="CE0058" w:themeColor="accent4"/>
              </w:rPr>
            </w:pPr>
            <w:r w:rsidRPr="00E46EC8">
              <w:rPr>
                <w:color w:val="CE0058" w:themeColor="accent4"/>
              </w:rPr>
              <w:t>$3,991,230</w:t>
            </w:r>
          </w:p>
        </w:tc>
      </w:tr>
      <w:tr w:rsidR="00057722" w14:paraId="3A07B1D4" w14:textId="77777777" w:rsidTr="00057722">
        <w:trPr>
          <w:cnfStyle w:val="000000100000" w:firstRow="0" w:lastRow="0" w:firstColumn="0" w:lastColumn="0" w:oddVBand="0" w:evenVBand="0" w:oddHBand="1" w:evenHBand="0" w:firstRowFirstColumn="0" w:firstRowLastColumn="0" w:lastRowFirstColumn="0" w:lastRowLastColumn="0"/>
          <w:trHeight w:val="282"/>
        </w:trPr>
        <w:tc>
          <w:tcPr>
            <w:tcW w:w="1488" w:type="dxa"/>
            <w:vMerge/>
          </w:tcPr>
          <w:p w14:paraId="2DDA00A5" w14:textId="77777777" w:rsidR="00057722" w:rsidRPr="00057722" w:rsidRDefault="00057722" w:rsidP="00057722">
            <w:pPr>
              <w:pStyle w:val="TableHeading"/>
              <w:rPr>
                <w:b/>
                <w:bCs/>
                <w:color w:val="auto"/>
              </w:rPr>
            </w:pPr>
          </w:p>
        </w:tc>
        <w:tc>
          <w:tcPr>
            <w:tcW w:w="1108" w:type="dxa"/>
          </w:tcPr>
          <w:p w14:paraId="1F57748A" w14:textId="029D70AD" w:rsidR="00057722" w:rsidRPr="00057722" w:rsidRDefault="00057722" w:rsidP="00057722">
            <w:pPr>
              <w:pStyle w:val="TableHeading"/>
              <w:rPr>
                <w:b/>
                <w:bCs/>
                <w:color w:val="auto"/>
              </w:rPr>
            </w:pPr>
            <w:r w:rsidRPr="00057722">
              <w:rPr>
                <w:b/>
                <w:bCs/>
                <w:color w:val="auto"/>
              </w:rPr>
              <w:t>2024-25</w:t>
            </w:r>
          </w:p>
        </w:tc>
        <w:tc>
          <w:tcPr>
            <w:tcW w:w="1108" w:type="dxa"/>
            <w:vAlign w:val="bottom"/>
          </w:tcPr>
          <w:p w14:paraId="791E8741" w14:textId="640059C8" w:rsidR="00057722" w:rsidRPr="00E46EC8" w:rsidRDefault="00057722" w:rsidP="00522727">
            <w:pPr>
              <w:pStyle w:val="TableBody"/>
              <w:rPr>
                <w:color w:val="ED8B00" w:themeColor="accent2"/>
              </w:rPr>
            </w:pPr>
            <w:r w:rsidRPr="00E46EC8">
              <w:rPr>
                <w:color w:val="ED8B00" w:themeColor="accent2"/>
              </w:rPr>
              <w:t>95,222</w:t>
            </w:r>
          </w:p>
        </w:tc>
        <w:tc>
          <w:tcPr>
            <w:tcW w:w="1366" w:type="dxa"/>
            <w:vAlign w:val="bottom"/>
          </w:tcPr>
          <w:p w14:paraId="2337C080" w14:textId="7C813F8B" w:rsidR="00057722" w:rsidRPr="00E46EC8" w:rsidRDefault="00057722" w:rsidP="00522727">
            <w:pPr>
              <w:pStyle w:val="TableBody"/>
              <w:rPr>
                <w:color w:val="ED8B00" w:themeColor="accent2"/>
              </w:rPr>
            </w:pPr>
            <w:r w:rsidRPr="00E46EC8">
              <w:rPr>
                <w:color w:val="ED8B00" w:themeColor="accent2"/>
              </w:rPr>
              <w:t>$8,569,980</w:t>
            </w:r>
          </w:p>
        </w:tc>
        <w:tc>
          <w:tcPr>
            <w:tcW w:w="1108" w:type="dxa"/>
            <w:vAlign w:val="bottom"/>
          </w:tcPr>
          <w:p w14:paraId="2CE0B9F4" w14:textId="23ADB7C4" w:rsidR="00057722" w:rsidRPr="00E46EC8" w:rsidRDefault="00057722" w:rsidP="00522727">
            <w:pPr>
              <w:pStyle w:val="TableBody"/>
              <w:rPr>
                <w:color w:val="ED8B00" w:themeColor="accent2"/>
              </w:rPr>
            </w:pPr>
            <w:r w:rsidRPr="00E46EC8">
              <w:rPr>
                <w:color w:val="ED8B00" w:themeColor="accent2"/>
              </w:rPr>
              <w:t>134</w:t>
            </w:r>
          </w:p>
        </w:tc>
        <w:tc>
          <w:tcPr>
            <w:tcW w:w="1108" w:type="dxa"/>
            <w:vAlign w:val="bottom"/>
          </w:tcPr>
          <w:p w14:paraId="444A9C1C" w14:textId="5A6FAC8C" w:rsidR="00057722" w:rsidRPr="00E46EC8" w:rsidRDefault="00057722" w:rsidP="00522727">
            <w:pPr>
              <w:pStyle w:val="TableBody"/>
              <w:rPr>
                <w:color w:val="ED8B00" w:themeColor="accent2"/>
              </w:rPr>
            </w:pPr>
            <w:r w:rsidRPr="00E46EC8">
              <w:rPr>
                <w:color w:val="ED8B00" w:themeColor="accent2"/>
              </w:rPr>
              <w:t>$12,060</w:t>
            </w:r>
          </w:p>
        </w:tc>
        <w:tc>
          <w:tcPr>
            <w:tcW w:w="1157" w:type="dxa"/>
            <w:vAlign w:val="bottom"/>
          </w:tcPr>
          <w:p w14:paraId="7D53A92C" w14:textId="3410688F" w:rsidR="00057722" w:rsidRPr="00E46EC8" w:rsidRDefault="00057722" w:rsidP="00522727">
            <w:pPr>
              <w:pStyle w:val="TableBody"/>
              <w:rPr>
                <w:color w:val="ED8B00" w:themeColor="accent2"/>
              </w:rPr>
            </w:pPr>
            <w:r w:rsidRPr="00E46EC8">
              <w:rPr>
                <w:color w:val="ED8B00" w:themeColor="accent2"/>
              </w:rPr>
              <w:t>0</w:t>
            </w:r>
          </w:p>
        </w:tc>
        <w:tc>
          <w:tcPr>
            <w:tcW w:w="1108" w:type="dxa"/>
            <w:vAlign w:val="bottom"/>
          </w:tcPr>
          <w:p w14:paraId="0D8DF65F" w14:textId="74881721" w:rsidR="00057722" w:rsidRPr="00E46EC8" w:rsidRDefault="00057722" w:rsidP="00522727">
            <w:pPr>
              <w:pStyle w:val="TableBody"/>
              <w:rPr>
                <w:color w:val="ED8B00" w:themeColor="accent2"/>
              </w:rPr>
            </w:pPr>
            <w:r w:rsidRPr="00E46EC8">
              <w:rPr>
                <w:color w:val="ED8B00" w:themeColor="accent2"/>
              </w:rPr>
              <w:t>$0</w:t>
            </w:r>
          </w:p>
        </w:tc>
        <w:tc>
          <w:tcPr>
            <w:tcW w:w="1145" w:type="dxa"/>
            <w:vAlign w:val="bottom"/>
          </w:tcPr>
          <w:p w14:paraId="1A3157E1" w14:textId="23EC3D62" w:rsidR="00057722" w:rsidRPr="00E46EC8" w:rsidRDefault="00057722" w:rsidP="00522727">
            <w:pPr>
              <w:pStyle w:val="TableBody"/>
              <w:rPr>
                <w:color w:val="ED8B00" w:themeColor="accent2"/>
              </w:rPr>
            </w:pPr>
            <w:r w:rsidRPr="00E46EC8">
              <w:rPr>
                <w:color w:val="ED8B00" w:themeColor="accent2"/>
              </w:rPr>
              <w:t>5,324</w:t>
            </w:r>
          </w:p>
        </w:tc>
        <w:tc>
          <w:tcPr>
            <w:tcW w:w="1244" w:type="dxa"/>
            <w:vAlign w:val="bottom"/>
          </w:tcPr>
          <w:p w14:paraId="72052382" w14:textId="38FB9DC3" w:rsidR="00057722" w:rsidRPr="00E46EC8" w:rsidRDefault="00057722" w:rsidP="00522727">
            <w:pPr>
              <w:pStyle w:val="TableBody"/>
              <w:rPr>
                <w:color w:val="ED8B00" w:themeColor="accent2"/>
              </w:rPr>
            </w:pPr>
            <w:r w:rsidRPr="00E46EC8">
              <w:rPr>
                <w:color w:val="ED8B00" w:themeColor="accent2"/>
              </w:rPr>
              <w:t>$479,160</w:t>
            </w:r>
          </w:p>
        </w:tc>
        <w:tc>
          <w:tcPr>
            <w:tcW w:w="1109" w:type="dxa"/>
            <w:vAlign w:val="bottom"/>
          </w:tcPr>
          <w:p w14:paraId="4A302B16" w14:textId="27E00E6B" w:rsidR="00057722" w:rsidRPr="00E46EC8" w:rsidRDefault="00057722" w:rsidP="00522727">
            <w:pPr>
              <w:pStyle w:val="TableBody"/>
              <w:rPr>
                <w:color w:val="ED8B00" w:themeColor="accent2"/>
              </w:rPr>
            </w:pPr>
            <w:r w:rsidRPr="00E46EC8">
              <w:rPr>
                <w:color w:val="ED8B00" w:themeColor="accent2"/>
              </w:rPr>
              <w:t>2,802</w:t>
            </w:r>
          </w:p>
        </w:tc>
        <w:tc>
          <w:tcPr>
            <w:tcW w:w="1244" w:type="dxa"/>
            <w:vAlign w:val="bottom"/>
          </w:tcPr>
          <w:p w14:paraId="34F1C462" w14:textId="5995EAC6" w:rsidR="00057722" w:rsidRPr="00E46EC8" w:rsidRDefault="00057722" w:rsidP="00522727">
            <w:pPr>
              <w:pStyle w:val="TableBody"/>
              <w:rPr>
                <w:color w:val="ED8B00" w:themeColor="accent2"/>
              </w:rPr>
            </w:pPr>
            <w:r w:rsidRPr="00E46EC8">
              <w:rPr>
                <w:color w:val="ED8B00" w:themeColor="accent2"/>
              </w:rPr>
              <w:t>$252,180</w:t>
            </w:r>
          </w:p>
        </w:tc>
      </w:tr>
    </w:tbl>
    <w:p w14:paraId="5A51D39C" w14:textId="055A0EE5" w:rsidR="000F7F84" w:rsidRDefault="000F7F84" w:rsidP="00057722"/>
    <w:p w14:paraId="6AFA0FBA" w14:textId="77777777" w:rsidR="000F7F84" w:rsidRDefault="000F7F84">
      <w:pPr>
        <w:spacing w:before="0" w:line="259" w:lineRule="auto"/>
      </w:pPr>
      <w:r>
        <w:br w:type="page"/>
      </w:r>
    </w:p>
    <w:p w14:paraId="250D2BE7" w14:textId="43CCC3E6" w:rsidR="00057722" w:rsidRDefault="000F7F84" w:rsidP="000F7F84">
      <w:pPr>
        <w:pStyle w:val="Heading2"/>
      </w:pPr>
      <w:r w:rsidRPr="000F7F84">
        <w:lastRenderedPageBreak/>
        <w:t>Graph</w:t>
      </w:r>
      <w:r>
        <w:t>s</w:t>
      </w:r>
      <w:r w:rsidRPr="000F7F84">
        <w:t xml:space="preserve"> showing total distributor GSL </w:t>
      </w:r>
      <w:r>
        <w:t>performance</w:t>
      </w:r>
      <w:r w:rsidR="00BA6CD3">
        <w:t xml:space="preserve"> </w:t>
      </w:r>
      <w:r w:rsidR="006D1741">
        <w:t>2021-2022 to 2024-25</w:t>
      </w:r>
    </w:p>
    <w:p w14:paraId="4C3406D4" w14:textId="65CC82DB" w:rsidR="000F7F84" w:rsidRDefault="000F7F84" w:rsidP="00057722">
      <w:r>
        <w:rPr>
          <w:noProof/>
        </w:rPr>
        <w:drawing>
          <wp:inline distT="0" distB="0" distL="0" distR="0" wp14:anchorId="71C50829" wp14:editId="3CF65D04">
            <wp:extent cx="9500235" cy="5652655"/>
            <wp:effectExtent l="0" t="0" r="5715" b="5715"/>
            <wp:docPr id="216508528" name="Chart 1">
              <a:extLst xmlns:a="http://schemas.openxmlformats.org/drawingml/2006/main">
                <a:ext uri="{FF2B5EF4-FFF2-40B4-BE49-F238E27FC236}">
                  <a16:creationId xmlns:a16="http://schemas.microsoft.com/office/drawing/2014/main" id="{A2293010-C099-E4D7-1EB7-24C7DE9CB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26819B" w14:textId="396715BC" w:rsidR="000F7F84" w:rsidRDefault="000F7F84" w:rsidP="00057722">
      <w:r>
        <w:rPr>
          <w:noProof/>
        </w:rPr>
        <w:lastRenderedPageBreak/>
        <w:drawing>
          <wp:inline distT="0" distB="0" distL="0" distR="0" wp14:anchorId="42B9AE08" wp14:editId="24A4775D">
            <wp:extent cx="9496758" cy="5720862"/>
            <wp:effectExtent l="0" t="0" r="9525" b="13335"/>
            <wp:docPr id="1090119667" name="Chart 1">
              <a:extLst xmlns:a="http://schemas.openxmlformats.org/drawingml/2006/main">
                <a:ext uri="{FF2B5EF4-FFF2-40B4-BE49-F238E27FC236}">
                  <a16:creationId xmlns:a16="http://schemas.microsoft.com/office/drawing/2014/main" id="{BC6DA4B6-195B-1197-A216-D0DAC667FA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1A3DAB" w14:textId="77777777" w:rsidR="00DA7077" w:rsidRDefault="00DA7077" w:rsidP="00057722"/>
    <w:p w14:paraId="76F0F6F6" w14:textId="5483F351" w:rsidR="0040079E" w:rsidRDefault="0040079E" w:rsidP="00057722">
      <w:r w:rsidRPr="0040079E">
        <w:lastRenderedPageBreak/>
        <w:t xml:space="preserve">For more detailed information about GSL payments, eligibility criteria, and service standards, please refer to our </w:t>
      </w:r>
      <w:hyperlink r:id="rId11" w:history="1">
        <w:r w:rsidRPr="0040079E">
          <w:rPr>
            <w:rStyle w:val="Hyperlink"/>
          </w:rPr>
          <w:t>GSL webpage</w:t>
        </w:r>
      </w:hyperlink>
      <w:r>
        <w:t>.</w:t>
      </w:r>
    </w:p>
    <w:p w14:paraId="30066C54" w14:textId="77777777" w:rsidR="0040079E" w:rsidRDefault="0040079E" w:rsidP="0040079E">
      <w:pPr>
        <w:pStyle w:val="Pull-out"/>
      </w:pPr>
      <w:r>
        <w:t xml:space="preserve">Please be advised that this publication is to provide general guidance only. It does not constitute legal or other professional advice and should not be relied on as a statement of the law. While we have made every reasonable effort to provide current and accurate information, you should obtain professional advice if you have any specific concern, before relying on the accuracy, </w:t>
      </w:r>
      <w:proofErr w:type="gramStart"/>
      <w:r>
        <w:t>currency</w:t>
      </w:r>
      <w:proofErr w:type="gramEnd"/>
      <w:r>
        <w:t xml:space="preserve"> or completeness of this information.</w:t>
      </w:r>
    </w:p>
    <w:p w14:paraId="0176AD8F" w14:textId="77777777" w:rsidR="0040079E" w:rsidRDefault="0040079E" w:rsidP="0040079E"/>
    <w:p w14:paraId="458E7A99" w14:textId="77777777" w:rsidR="0040079E" w:rsidRPr="00057722" w:rsidRDefault="0040079E" w:rsidP="00057722"/>
    <w:sectPr w:rsidR="0040079E" w:rsidRPr="00057722" w:rsidSect="00057722">
      <w:headerReference w:type="default" r:id="rId12"/>
      <w:footerReference w:type="default" r:id="rId13"/>
      <w:headerReference w:type="first" r:id="rId14"/>
      <w:footerReference w:type="first" r:id="rId15"/>
      <w:type w:val="continuous"/>
      <w:pgSz w:w="16838" w:h="11906" w:orient="landscape"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BE05" w14:textId="77777777" w:rsidR="00C268B8" w:rsidRDefault="00C268B8" w:rsidP="00AE03FA">
      <w:pPr>
        <w:spacing w:after="0"/>
      </w:pPr>
      <w:r>
        <w:separator/>
      </w:r>
    </w:p>
    <w:p w14:paraId="28687852" w14:textId="77777777" w:rsidR="00C268B8" w:rsidRDefault="00C268B8"/>
  </w:endnote>
  <w:endnote w:type="continuationSeparator" w:id="0">
    <w:p w14:paraId="0DC9C72F" w14:textId="77777777" w:rsidR="00C268B8" w:rsidRDefault="00C268B8" w:rsidP="00AE03FA">
      <w:pPr>
        <w:spacing w:after="0"/>
      </w:pPr>
      <w:r>
        <w:continuationSeparator/>
      </w:r>
    </w:p>
    <w:p w14:paraId="10EB1F6F" w14:textId="77777777" w:rsidR="00C268B8" w:rsidRDefault="00C26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717A2C50" w14:textId="77777777" w:rsidTr="0004541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B73B883" w14:textId="77777777" w:rsidR="00440B1F" w:rsidRPr="009E15D6" w:rsidRDefault="00440B1F" w:rsidP="0004541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7D4A87">
            <w:rPr>
              <w:rStyle w:val="PageNumber"/>
              <w:noProof/>
            </w:rPr>
            <w:t>2</w:t>
          </w:r>
          <w:r w:rsidRPr="009E15D6">
            <w:rPr>
              <w:rStyle w:val="PageNumber"/>
            </w:rPr>
            <w:fldChar w:fldCharType="end"/>
          </w:r>
        </w:p>
      </w:tc>
    </w:tr>
  </w:tbl>
  <w:p w14:paraId="7702F823" w14:textId="1D67DE67" w:rsidR="00CF34A7" w:rsidRPr="00440B1F" w:rsidRDefault="00440B1F" w:rsidP="00AC2016">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057722" w:rsidRPr="00A12413">
          <w:rPr>
            <w:b/>
          </w:rPr>
          <w:t>Annual performance data for distributors’ guaranteed service level (GSL) payments</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D68A6" w14:paraId="2FB10DA4" w14:textId="77777777" w:rsidTr="005E5734">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165F692" w14:textId="77777777" w:rsidR="008D68A6" w:rsidRPr="009E15D6" w:rsidRDefault="008D68A6" w:rsidP="005E5734">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7D4A87">
            <w:rPr>
              <w:rStyle w:val="PageNumber"/>
              <w:noProof/>
            </w:rPr>
            <w:t>1</w:t>
          </w:r>
          <w:r w:rsidRPr="009E15D6">
            <w:rPr>
              <w:rStyle w:val="PageNumber"/>
            </w:rPr>
            <w:fldChar w:fldCharType="end"/>
          </w:r>
        </w:p>
      </w:tc>
    </w:tr>
  </w:tbl>
  <w:p w14:paraId="366514CF" w14:textId="08DFC37C" w:rsidR="0064367E" w:rsidRPr="008D68A6" w:rsidRDefault="008D68A6" w:rsidP="00AC2016">
    <w:pPr>
      <w:pStyle w:val="Footer"/>
      <w:ind w:right="707"/>
      <w:rPr>
        <w:b/>
      </w:rPr>
    </w:pPr>
    <w:r>
      <w:t xml:space="preserve">Essential Services Commission </w:t>
    </w:r>
    <w:sdt>
      <w:sdtPr>
        <w:rPr>
          <w:b/>
        </w:rPr>
        <w:alias w:val="Title"/>
        <w:tag w:val=""/>
        <w:id w:val="1814057343"/>
        <w:dataBinding w:prefixMappings="xmlns:ns0='http://purl.org/dc/elements/1.1/' xmlns:ns1='http://schemas.openxmlformats.org/package/2006/metadata/core-properties' " w:xpath="/ns1:coreProperties[1]/ns0:title[1]" w:storeItemID="{6C3C8BC8-F283-45AE-878A-BAB7291924A1}"/>
        <w:text/>
      </w:sdtPr>
      <w:sdtEndPr/>
      <w:sdtContent>
        <w:r w:rsidR="00057722" w:rsidRPr="00057722">
          <w:rPr>
            <w:b/>
          </w:rPr>
          <w:t>Annual performance data for distributors’ guaranteed service level (GSL) payments</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0E9C" w14:textId="77777777" w:rsidR="00C268B8" w:rsidRPr="00CF33F6" w:rsidRDefault="00C268B8" w:rsidP="00AE03FA">
      <w:pPr>
        <w:spacing w:after="0"/>
        <w:rPr>
          <w:color w:val="75787B" w:themeColor="background2"/>
        </w:rPr>
      </w:pPr>
      <w:bookmarkStart w:id="0" w:name="_Hlk480978878"/>
      <w:bookmarkEnd w:id="0"/>
      <w:r w:rsidRPr="00CF33F6">
        <w:rPr>
          <w:color w:val="75787B" w:themeColor="background2"/>
        </w:rPr>
        <w:separator/>
      </w:r>
    </w:p>
    <w:p w14:paraId="797C4891" w14:textId="77777777" w:rsidR="00C268B8" w:rsidRDefault="00C268B8" w:rsidP="00CF33F6">
      <w:pPr>
        <w:pStyle w:val="NoSpacing"/>
      </w:pPr>
    </w:p>
  </w:footnote>
  <w:footnote w:type="continuationSeparator" w:id="0">
    <w:p w14:paraId="7775A251" w14:textId="77777777" w:rsidR="00C268B8" w:rsidRDefault="00C268B8" w:rsidP="00AE03FA">
      <w:pPr>
        <w:spacing w:after="0"/>
      </w:pPr>
      <w:r>
        <w:continuationSeparator/>
      </w:r>
    </w:p>
    <w:p w14:paraId="76E0F0AA" w14:textId="77777777" w:rsidR="00C268B8" w:rsidRDefault="00C26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E4B1" w14:textId="089A23EA" w:rsidR="003A30F3" w:rsidRPr="00633068" w:rsidRDefault="003A30F3" w:rsidP="00633068">
    <w:pPr>
      <w:pStyle w:val="Header"/>
      <w:tabs>
        <w:tab w:val="clear" w:pos="4680"/>
        <w:tab w:val="clear" w:pos="9360"/>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42FB" w14:textId="04994FE1" w:rsidR="0064367E" w:rsidRDefault="0064367E">
    <w:pPr>
      <w:pStyle w:val="Header"/>
    </w:pPr>
    <w:r>
      <w:rPr>
        <w:noProof/>
        <w:lang w:eastAsia="en-AU"/>
      </w:rPr>
      <w:drawing>
        <wp:anchor distT="0" distB="180340" distL="114300" distR="114300" simplePos="0" relativeHeight="251659264" behindDoc="0" locked="0" layoutInCell="1" allowOverlap="1" wp14:anchorId="134DF40B" wp14:editId="30980557">
          <wp:simplePos x="0" y="0"/>
          <wp:positionH relativeFrom="column">
            <wp:posOffset>-4445</wp:posOffset>
          </wp:positionH>
          <wp:positionV relativeFrom="paragraph">
            <wp:posOffset>263525</wp:posOffset>
          </wp:positionV>
          <wp:extent cx="2653030" cy="82423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030" cy="824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E64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835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85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7A7A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B3C049B"/>
    <w:multiLevelType w:val="multilevel"/>
    <w:tmpl w:val="6D9A2BC2"/>
    <w:numStyleLink w:val="NumberedHeadings"/>
  </w:abstractNum>
  <w:abstractNum w:abstractNumId="15" w15:restartNumberingAfterBreak="0">
    <w:nsid w:val="1E8052EF"/>
    <w:multiLevelType w:val="multilevel"/>
    <w:tmpl w:val="DF4A9966"/>
    <w:numStyleLink w:val="TableBullets"/>
  </w:abstractNum>
  <w:abstractNum w:abstractNumId="16"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391238"/>
    <w:multiLevelType w:val="multilevel"/>
    <w:tmpl w:val="6D9A2BC2"/>
    <w:numStyleLink w:val="NumberedHeadings"/>
  </w:abstractNum>
  <w:abstractNum w:abstractNumId="18" w15:restartNumberingAfterBreak="0">
    <w:nsid w:val="359E348D"/>
    <w:multiLevelType w:val="multilevel"/>
    <w:tmpl w:val="3D66CBA2"/>
    <w:numStyleLink w:val="CustomNumberlist"/>
  </w:abstractNum>
  <w:abstractNum w:abstractNumId="19" w15:restartNumberingAfterBreak="0">
    <w:nsid w:val="39C20E77"/>
    <w:multiLevelType w:val="multilevel"/>
    <w:tmpl w:val="6D9A2BC2"/>
    <w:numStyleLink w:val="NumberedHeadings"/>
  </w:abstractNum>
  <w:abstractNum w:abstractNumId="20" w15:restartNumberingAfterBreak="0">
    <w:nsid w:val="3AA454D7"/>
    <w:multiLevelType w:val="multilevel"/>
    <w:tmpl w:val="6D9A2BC2"/>
    <w:numStyleLink w:val="NumberedHeadings"/>
  </w:abstractNum>
  <w:abstractNum w:abstractNumId="2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8B0109"/>
    <w:multiLevelType w:val="multilevel"/>
    <w:tmpl w:val="3D66CBA2"/>
    <w:numStyleLink w:val="CustomNumberlist"/>
  </w:abstractNum>
  <w:abstractNum w:abstractNumId="24"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05317"/>
    <w:multiLevelType w:val="multilevel"/>
    <w:tmpl w:val="3D66CBA2"/>
    <w:numStyleLink w:val="CustomNumberlist"/>
  </w:abstractNum>
  <w:abstractNum w:abstractNumId="27"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749674">
    <w:abstractNumId w:val="9"/>
  </w:num>
  <w:num w:numId="2" w16cid:durableId="395980570">
    <w:abstractNumId w:val="7"/>
  </w:num>
  <w:num w:numId="3" w16cid:durableId="1292905265">
    <w:abstractNumId w:val="6"/>
  </w:num>
  <w:num w:numId="4" w16cid:durableId="687291935">
    <w:abstractNumId w:val="5"/>
  </w:num>
  <w:num w:numId="5" w16cid:durableId="825976560">
    <w:abstractNumId w:val="4"/>
  </w:num>
  <w:num w:numId="6" w16cid:durableId="807548196">
    <w:abstractNumId w:val="8"/>
  </w:num>
  <w:num w:numId="7" w16cid:durableId="1706904348">
    <w:abstractNumId w:val="3"/>
  </w:num>
  <w:num w:numId="8" w16cid:durableId="370346860">
    <w:abstractNumId w:val="2"/>
  </w:num>
  <w:num w:numId="9" w16cid:durableId="1433089622">
    <w:abstractNumId w:val="1"/>
  </w:num>
  <w:num w:numId="10" w16cid:durableId="1875072661">
    <w:abstractNumId w:val="21"/>
  </w:num>
  <w:num w:numId="11" w16cid:durableId="2017145717">
    <w:abstractNumId w:val="16"/>
  </w:num>
  <w:num w:numId="12" w16cid:durableId="299652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73213">
    <w:abstractNumId w:val="0"/>
  </w:num>
  <w:num w:numId="14" w16cid:durableId="1736389432">
    <w:abstractNumId w:val="16"/>
  </w:num>
  <w:num w:numId="15" w16cid:durableId="440297499">
    <w:abstractNumId w:val="17"/>
  </w:num>
  <w:num w:numId="16" w16cid:durableId="1046293284">
    <w:abstractNumId w:val="11"/>
  </w:num>
  <w:num w:numId="17" w16cid:durableId="1580870567">
    <w:abstractNumId w:val="22"/>
  </w:num>
  <w:num w:numId="18" w16cid:durableId="1425607627">
    <w:abstractNumId w:val="22"/>
  </w:num>
  <w:num w:numId="19" w16cid:durableId="1792164184">
    <w:abstractNumId w:val="18"/>
  </w:num>
  <w:num w:numId="20" w16cid:durableId="385180336">
    <w:abstractNumId w:val="13"/>
  </w:num>
  <w:num w:numId="21" w16cid:durableId="688146811">
    <w:abstractNumId w:val="24"/>
  </w:num>
  <w:num w:numId="22" w16cid:durableId="1217619031">
    <w:abstractNumId w:val="26"/>
  </w:num>
  <w:num w:numId="23" w16cid:durableId="1095050801">
    <w:abstractNumId w:val="12"/>
  </w:num>
  <w:num w:numId="24" w16cid:durableId="51657716">
    <w:abstractNumId w:val="29"/>
  </w:num>
  <w:num w:numId="25" w16cid:durableId="1815178258">
    <w:abstractNumId w:val="25"/>
  </w:num>
  <w:num w:numId="26" w16cid:durableId="1741706960">
    <w:abstractNumId w:val="27"/>
  </w:num>
  <w:num w:numId="27" w16cid:durableId="822820636">
    <w:abstractNumId w:val="15"/>
  </w:num>
  <w:num w:numId="28" w16cid:durableId="1997804140">
    <w:abstractNumId w:val="20"/>
  </w:num>
  <w:num w:numId="29" w16cid:durableId="1332872268">
    <w:abstractNumId w:val="19"/>
  </w:num>
  <w:num w:numId="30" w16cid:durableId="573509917">
    <w:abstractNumId w:val="14"/>
  </w:num>
  <w:num w:numId="31" w16cid:durableId="1430270812">
    <w:abstractNumId w:val="23"/>
  </w:num>
  <w:num w:numId="32" w16cid:durableId="1203976491">
    <w:abstractNumId w:val="10"/>
  </w:num>
  <w:num w:numId="33" w16cid:durableId="761099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97986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2"/>
    <w:rsid w:val="000046BD"/>
    <w:rsid w:val="00015588"/>
    <w:rsid w:val="0001759C"/>
    <w:rsid w:val="000518F3"/>
    <w:rsid w:val="000566E0"/>
    <w:rsid w:val="00057722"/>
    <w:rsid w:val="00062AE4"/>
    <w:rsid w:val="00066664"/>
    <w:rsid w:val="00067DD9"/>
    <w:rsid w:val="0007095D"/>
    <w:rsid w:val="00073E46"/>
    <w:rsid w:val="00092C6C"/>
    <w:rsid w:val="000A1292"/>
    <w:rsid w:val="000A759D"/>
    <w:rsid w:val="000A7FD9"/>
    <w:rsid w:val="000D4547"/>
    <w:rsid w:val="000F7F84"/>
    <w:rsid w:val="00106608"/>
    <w:rsid w:val="00121C14"/>
    <w:rsid w:val="001466DD"/>
    <w:rsid w:val="00150052"/>
    <w:rsid w:val="00153081"/>
    <w:rsid w:val="00160F48"/>
    <w:rsid w:val="00184CEF"/>
    <w:rsid w:val="001869B0"/>
    <w:rsid w:val="00187ACF"/>
    <w:rsid w:val="001A4ACF"/>
    <w:rsid w:val="001C750A"/>
    <w:rsid w:val="001D07CD"/>
    <w:rsid w:val="001E0DF1"/>
    <w:rsid w:val="001E3CE3"/>
    <w:rsid w:val="001F3997"/>
    <w:rsid w:val="001F64A3"/>
    <w:rsid w:val="00204C88"/>
    <w:rsid w:val="002056BA"/>
    <w:rsid w:val="0022708E"/>
    <w:rsid w:val="00232581"/>
    <w:rsid w:val="00251145"/>
    <w:rsid w:val="00267B81"/>
    <w:rsid w:val="002750C4"/>
    <w:rsid w:val="002966CE"/>
    <w:rsid w:val="002A059D"/>
    <w:rsid w:val="002C2ADF"/>
    <w:rsid w:val="002D3B02"/>
    <w:rsid w:val="002D682B"/>
    <w:rsid w:val="002E48AC"/>
    <w:rsid w:val="00317C67"/>
    <w:rsid w:val="00344D56"/>
    <w:rsid w:val="00353663"/>
    <w:rsid w:val="00360763"/>
    <w:rsid w:val="00375CBF"/>
    <w:rsid w:val="00375EFC"/>
    <w:rsid w:val="003837CC"/>
    <w:rsid w:val="003904B9"/>
    <w:rsid w:val="00391E7F"/>
    <w:rsid w:val="00394187"/>
    <w:rsid w:val="00395CFE"/>
    <w:rsid w:val="003A16E1"/>
    <w:rsid w:val="003A2748"/>
    <w:rsid w:val="003A30F3"/>
    <w:rsid w:val="003C39F4"/>
    <w:rsid w:val="003C62B6"/>
    <w:rsid w:val="003F1859"/>
    <w:rsid w:val="003F1961"/>
    <w:rsid w:val="003F66EC"/>
    <w:rsid w:val="0040079E"/>
    <w:rsid w:val="004064CD"/>
    <w:rsid w:val="00414AB9"/>
    <w:rsid w:val="0043066B"/>
    <w:rsid w:val="004309BF"/>
    <w:rsid w:val="00440B1F"/>
    <w:rsid w:val="00453AD0"/>
    <w:rsid w:val="004558CC"/>
    <w:rsid w:val="0046312A"/>
    <w:rsid w:val="00474670"/>
    <w:rsid w:val="00484F2D"/>
    <w:rsid w:val="004855CE"/>
    <w:rsid w:val="00495E2E"/>
    <w:rsid w:val="00496717"/>
    <w:rsid w:val="00496CF9"/>
    <w:rsid w:val="004A05CB"/>
    <w:rsid w:val="004A3224"/>
    <w:rsid w:val="004E0FF2"/>
    <w:rsid w:val="0050064B"/>
    <w:rsid w:val="005014C6"/>
    <w:rsid w:val="00505D68"/>
    <w:rsid w:val="00522727"/>
    <w:rsid w:val="00541F9A"/>
    <w:rsid w:val="00545E3C"/>
    <w:rsid w:val="0056203A"/>
    <w:rsid w:val="00563AD8"/>
    <w:rsid w:val="00564BE8"/>
    <w:rsid w:val="00570E5B"/>
    <w:rsid w:val="005A1443"/>
    <w:rsid w:val="005A33B5"/>
    <w:rsid w:val="005C6E04"/>
    <w:rsid w:val="005E2A78"/>
    <w:rsid w:val="005E2E03"/>
    <w:rsid w:val="005E70B3"/>
    <w:rsid w:val="005F1DA6"/>
    <w:rsid w:val="005F3D90"/>
    <w:rsid w:val="005F5578"/>
    <w:rsid w:val="00615C49"/>
    <w:rsid w:val="00630874"/>
    <w:rsid w:val="00633068"/>
    <w:rsid w:val="0063494B"/>
    <w:rsid w:val="006415DC"/>
    <w:rsid w:val="0064367E"/>
    <w:rsid w:val="00666190"/>
    <w:rsid w:val="006817B0"/>
    <w:rsid w:val="006C4904"/>
    <w:rsid w:val="006D0A5E"/>
    <w:rsid w:val="006D1741"/>
    <w:rsid w:val="006D4CD9"/>
    <w:rsid w:val="006E50A3"/>
    <w:rsid w:val="006E6549"/>
    <w:rsid w:val="006E6B2B"/>
    <w:rsid w:val="006F29EA"/>
    <w:rsid w:val="00703C67"/>
    <w:rsid w:val="00707B2F"/>
    <w:rsid w:val="00710792"/>
    <w:rsid w:val="00711BA5"/>
    <w:rsid w:val="0071799F"/>
    <w:rsid w:val="00717CCA"/>
    <w:rsid w:val="007202C6"/>
    <w:rsid w:val="00727B03"/>
    <w:rsid w:val="00740720"/>
    <w:rsid w:val="00747563"/>
    <w:rsid w:val="00750535"/>
    <w:rsid w:val="00754368"/>
    <w:rsid w:val="00757301"/>
    <w:rsid w:val="00764333"/>
    <w:rsid w:val="00764568"/>
    <w:rsid w:val="00772EB1"/>
    <w:rsid w:val="00781227"/>
    <w:rsid w:val="00782E55"/>
    <w:rsid w:val="00784DEB"/>
    <w:rsid w:val="00792B10"/>
    <w:rsid w:val="00796928"/>
    <w:rsid w:val="007A5734"/>
    <w:rsid w:val="007B565F"/>
    <w:rsid w:val="007B6C8C"/>
    <w:rsid w:val="007C7E2D"/>
    <w:rsid w:val="007D495A"/>
    <w:rsid w:val="007D4A87"/>
    <w:rsid w:val="007F7162"/>
    <w:rsid w:val="00865ECE"/>
    <w:rsid w:val="00881E07"/>
    <w:rsid w:val="00882783"/>
    <w:rsid w:val="0088402D"/>
    <w:rsid w:val="008964EA"/>
    <w:rsid w:val="008A6E85"/>
    <w:rsid w:val="008A7A8E"/>
    <w:rsid w:val="008B6874"/>
    <w:rsid w:val="008C1818"/>
    <w:rsid w:val="008D2C44"/>
    <w:rsid w:val="008D5E13"/>
    <w:rsid w:val="008D68A6"/>
    <w:rsid w:val="008F7087"/>
    <w:rsid w:val="009058B1"/>
    <w:rsid w:val="00916721"/>
    <w:rsid w:val="009230CE"/>
    <w:rsid w:val="00935EDD"/>
    <w:rsid w:val="00943BDE"/>
    <w:rsid w:val="00971B71"/>
    <w:rsid w:val="00986CF3"/>
    <w:rsid w:val="00993443"/>
    <w:rsid w:val="009A4DB9"/>
    <w:rsid w:val="009B084F"/>
    <w:rsid w:val="009B3ECA"/>
    <w:rsid w:val="009B583F"/>
    <w:rsid w:val="009C3565"/>
    <w:rsid w:val="009E15D6"/>
    <w:rsid w:val="009E2C7E"/>
    <w:rsid w:val="009E4355"/>
    <w:rsid w:val="00A030DE"/>
    <w:rsid w:val="00A07CBD"/>
    <w:rsid w:val="00A12413"/>
    <w:rsid w:val="00A27C06"/>
    <w:rsid w:val="00A27D94"/>
    <w:rsid w:val="00A36C5E"/>
    <w:rsid w:val="00A672AE"/>
    <w:rsid w:val="00A67A25"/>
    <w:rsid w:val="00A90C3B"/>
    <w:rsid w:val="00A9257F"/>
    <w:rsid w:val="00A93CAF"/>
    <w:rsid w:val="00AA5609"/>
    <w:rsid w:val="00AC2016"/>
    <w:rsid w:val="00AD29CB"/>
    <w:rsid w:val="00AD2E14"/>
    <w:rsid w:val="00AE03FA"/>
    <w:rsid w:val="00AE0C8F"/>
    <w:rsid w:val="00AE2C4D"/>
    <w:rsid w:val="00AF63AC"/>
    <w:rsid w:val="00B027ED"/>
    <w:rsid w:val="00B04857"/>
    <w:rsid w:val="00B37A15"/>
    <w:rsid w:val="00B503C2"/>
    <w:rsid w:val="00B52E6C"/>
    <w:rsid w:val="00B6173A"/>
    <w:rsid w:val="00B655D9"/>
    <w:rsid w:val="00B72AB0"/>
    <w:rsid w:val="00BA0B0E"/>
    <w:rsid w:val="00BA6CD3"/>
    <w:rsid w:val="00BC0E1F"/>
    <w:rsid w:val="00BD181E"/>
    <w:rsid w:val="00BD19DB"/>
    <w:rsid w:val="00BD24AA"/>
    <w:rsid w:val="00BD6DDE"/>
    <w:rsid w:val="00C03B3C"/>
    <w:rsid w:val="00C045A9"/>
    <w:rsid w:val="00C06310"/>
    <w:rsid w:val="00C268B8"/>
    <w:rsid w:val="00C313B7"/>
    <w:rsid w:val="00C34EF4"/>
    <w:rsid w:val="00C36028"/>
    <w:rsid w:val="00C36E8A"/>
    <w:rsid w:val="00C41F42"/>
    <w:rsid w:val="00C45BF3"/>
    <w:rsid w:val="00C47364"/>
    <w:rsid w:val="00C54EEC"/>
    <w:rsid w:val="00C753B8"/>
    <w:rsid w:val="00C80CDA"/>
    <w:rsid w:val="00C848F1"/>
    <w:rsid w:val="00CA216A"/>
    <w:rsid w:val="00CB7FB8"/>
    <w:rsid w:val="00CE324D"/>
    <w:rsid w:val="00CF2B15"/>
    <w:rsid w:val="00CF33F6"/>
    <w:rsid w:val="00CF34A7"/>
    <w:rsid w:val="00D02383"/>
    <w:rsid w:val="00D23A3D"/>
    <w:rsid w:val="00D30FA8"/>
    <w:rsid w:val="00D3670C"/>
    <w:rsid w:val="00DA005C"/>
    <w:rsid w:val="00DA65A7"/>
    <w:rsid w:val="00DA7077"/>
    <w:rsid w:val="00DB79C6"/>
    <w:rsid w:val="00DC2B59"/>
    <w:rsid w:val="00DC3BE7"/>
    <w:rsid w:val="00E017DA"/>
    <w:rsid w:val="00E03B00"/>
    <w:rsid w:val="00E46EC8"/>
    <w:rsid w:val="00E5390E"/>
    <w:rsid w:val="00E62AE6"/>
    <w:rsid w:val="00E640D1"/>
    <w:rsid w:val="00E736EA"/>
    <w:rsid w:val="00E9393A"/>
    <w:rsid w:val="00E95D4A"/>
    <w:rsid w:val="00E96A82"/>
    <w:rsid w:val="00EA23C9"/>
    <w:rsid w:val="00EA47A3"/>
    <w:rsid w:val="00EB6E73"/>
    <w:rsid w:val="00EE3779"/>
    <w:rsid w:val="00EE5935"/>
    <w:rsid w:val="00EE6EBB"/>
    <w:rsid w:val="00F1136A"/>
    <w:rsid w:val="00F274F6"/>
    <w:rsid w:val="00F666F0"/>
    <w:rsid w:val="00F81408"/>
    <w:rsid w:val="00F83935"/>
    <w:rsid w:val="00F963FF"/>
    <w:rsid w:val="00FB2CF8"/>
    <w:rsid w:val="00FC5279"/>
    <w:rsid w:val="00FC6E2C"/>
    <w:rsid w:val="00FE077A"/>
    <w:rsid w:val="00FF6261"/>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433A"/>
  <w15:docId w15:val="{98BC0654-05DF-4B98-9228-0212EF48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87"/>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E95D4A"/>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01759C"/>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01759C"/>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01759C"/>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7D4A87"/>
    <w:pPr>
      <w:ind w:left="568" w:hanging="284"/>
    </w:pPr>
    <w:rPr>
      <w:b w:val="0"/>
      <w:noProof/>
    </w:rPr>
  </w:style>
  <w:style w:type="paragraph" w:styleId="TOC1">
    <w:name w:val="toc 1"/>
    <w:basedOn w:val="Normal"/>
    <w:next w:val="Normal"/>
    <w:autoRedefine/>
    <w:uiPriority w:val="39"/>
    <w:semiHidden/>
    <w:rsid w:val="007D4A87"/>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C54EEC"/>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semiHidden/>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A90C3B"/>
    <w:pPr>
      <w:numPr>
        <w:numId w:val="32"/>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A90C3B"/>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01759C"/>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qFormat/>
    <w:rsid w:val="007D4A87"/>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30"/>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semiHidden/>
    <w:rsid w:val="007D4A87"/>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7D4A87"/>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7D4A87"/>
    <w:pPr>
      <w:tabs>
        <w:tab w:val="right" w:pos="9582"/>
      </w:tabs>
      <w:spacing w:before="40" w:after="40" w:line="288" w:lineRule="auto"/>
      <w:ind w:left="1702" w:right="567" w:hanging="851"/>
    </w:pPr>
  </w:style>
  <w:style w:type="paragraph" w:customStyle="1" w:styleId="Pull-outheading0">
    <w:name w:val="Pull-out heading"/>
    <w:basedOn w:val="Pull-out"/>
    <w:semiHidden/>
    <w:qFormat/>
    <w:rsid w:val="00CF34A7"/>
    <w:rPr>
      <w:rFonts w:ascii="Tahoma" w:hAnsi="Tahoma"/>
      <w:b/>
    </w:rPr>
  </w:style>
  <w:style w:type="character" w:customStyle="1" w:styleId="Heading5Char">
    <w:name w:val="Heading 5 Char"/>
    <w:basedOn w:val="DefaultParagraphFont"/>
    <w:link w:val="Heading5"/>
    <w:uiPriority w:val="9"/>
    <w:semiHidden/>
    <w:rsid w:val="00E95D4A"/>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453AD0"/>
    <w:rPr>
      <w:color w:val="B16700" w:themeColor="accent2" w:themeShade="BF"/>
    </w:rPr>
  </w:style>
  <w:style w:type="paragraph" w:styleId="TOC7">
    <w:name w:val="toc 7"/>
    <w:basedOn w:val="Normal"/>
    <w:next w:val="Normal"/>
    <w:autoRedefine/>
    <w:uiPriority w:val="39"/>
    <w:semiHidden/>
    <w:unhideWhenUsed/>
    <w:rsid w:val="007D4A87"/>
    <w:pPr>
      <w:spacing w:before="40" w:after="40" w:line="288" w:lineRule="auto"/>
      <w:ind w:left="1321"/>
    </w:pPr>
  </w:style>
  <w:style w:type="paragraph" w:styleId="TOC8">
    <w:name w:val="toc 8"/>
    <w:basedOn w:val="Normal"/>
    <w:next w:val="Normal"/>
    <w:autoRedefine/>
    <w:uiPriority w:val="39"/>
    <w:semiHidden/>
    <w:unhideWhenUsed/>
    <w:rsid w:val="007D4A87"/>
    <w:pPr>
      <w:spacing w:before="40" w:after="40" w:line="288" w:lineRule="auto"/>
      <w:ind w:left="1542"/>
    </w:pPr>
  </w:style>
  <w:style w:type="paragraph" w:styleId="TOC9">
    <w:name w:val="toc 9"/>
    <w:basedOn w:val="Normal"/>
    <w:next w:val="Normal"/>
    <w:autoRedefine/>
    <w:uiPriority w:val="39"/>
    <w:semiHidden/>
    <w:unhideWhenUsed/>
    <w:rsid w:val="007D4A87"/>
    <w:pPr>
      <w:spacing w:before="40" w:after="40" w:line="288" w:lineRule="auto"/>
      <w:ind w:left="1758"/>
    </w:pPr>
  </w:style>
  <w:style w:type="character" w:styleId="UnresolvedMention">
    <w:name w:val="Unresolved Mention"/>
    <w:basedOn w:val="DefaultParagraphFont"/>
    <w:uiPriority w:val="99"/>
    <w:semiHidden/>
    <w:unhideWhenUsed/>
    <w:rsid w:val="00057722"/>
    <w:rPr>
      <w:color w:val="605E5C"/>
      <w:shd w:val="clear" w:color="auto" w:fill="E1DFDD"/>
    </w:rPr>
  </w:style>
  <w:style w:type="paragraph" w:styleId="Revision">
    <w:name w:val="Revision"/>
    <w:hidden/>
    <w:uiPriority w:val="99"/>
    <w:semiHidden/>
    <w:rsid w:val="004A3224"/>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vic.gov.au/electricity-and-gas/codes-guidelines-and-policies/electricity-distribution-code-pract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c.vic.gov.au/electricity-and-gas/information-for-electricity-and-gas-consumers/guaranteed-service-level-payments-energy-outages-and-voltage-clai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AHossain\OneDrive%20-%20Essential%20Services%20Commission\Desktop\GSL%20payments%20by%20distributo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Hossain\OneDrive%20-%20Essential%20Services%20Commission\Desktop\GSL%20payments%20by%20distributor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a:t>Graph</a:t>
            </a:r>
            <a:r>
              <a:rPr lang="en-AU" sz="1400" baseline="0"/>
              <a:t> 1: Total GSL count for each financial year</a:t>
            </a:r>
            <a:endParaRPr lang="en-AU"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manualLayout>
          <c:layoutTarget val="inner"/>
          <c:xMode val="edge"/>
          <c:yMode val="edge"/>
          <c:x val="9.7314540114007711E-2"/>
          <c:y val="8.6687950659352614E-2"/>
          <c:w val="0.86328561225119171"/>
          <c:h val="0.77119831709610598"/>
        </c:manualLayout>
      </c:layout>
      <c:barChart>
        <c:barDir val="col"/>
        <c:grouping val="clustered"/>
        <c:varyColors val="0"/>
        <c:ser>
          <c:idx val="0"/>
          <c:order val="0"/>
          <c:tx>
            <c:strRef>
              <c:f>Sheet2!$B$27</c:f>
              <c:strCache>
                <c:ptCount val="1"/>
                <c:pt idx="0">
                  <c:v>2021-22</c:v>
                </c:pt>
              </c:strCache>
            </c:strRef>
          </c:tx>
          <c:spPr>
            <a:solidFill>
              <a:schemeClr val="tx1">
                <a:lumMod val="65000"/>
                <a:lumOff val="35000"/>
              </a:schemeClr>
            </a:solidFill>
            <a:ln>
              <a:noFill/>
            </a:ln>
            <a:effectLst/>
          </c:spPr>
          <c:invertIfNegative val="0"/>
          <c:dLbls>
            <c:dLbl>
              <c:idx val="1"/>
              <c:layout>
                <c:manualLayout>
                  <c:x val="0"/>
                  <c:y val="-8.82221252501574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33-4359-A97F-60CDB7DA08CD}"/>
                </c:ext>
              </c:extLst>
            </c:dLbl>
            <c:dLbl>
              <c:idx val="3"/>
              <c:layout>
                <c:manualLayout>
                  <c:x val="0"/>
                  <c:y val="-8.42120286478775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33-4359-A97F-60CDB7DA08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Sheet2!$C$26:$G$26</c:f>
              <c:strCache>
                <c:ptCount val="5"/>
                <c:pt idx="0">
                  <c:v>AusNet Services</c:v>
                </c:pt>
                <c:pt idx="1">
                  <c:v>Jemena</c:v>
                </c:pt>
                <c:pt idx="2">
                  <c:v>CitiPower</c:v>
                </c:pt>
                <c:pt idx="3">
                  <c:v>Powercor</c:v>
                </c:pt>
                <c:pt idx="4">
                  <c:v>United Energy</c:v>
                </c:pt>
              </c:strCache>
            </c:strRef>
          </c:cat>
          <c:val>
            <c:numRef>
              <c:f>Sheet2!$C$27:$G$27</c:f>
              <c:numCache>
                <c:formatCode>#,##0</c:formatCode>
                <c:ptCount val="5"/>
                <c:pt idx="0">
                  <c:v>138701</c:v>
                </c:pt>
                <c:pt idx="1">
                  <c:v>6655</c:v>
                </c:pt>
                <c:pt idx="2" formatCode="General">
                  <c:v>859</c:v>
                </c:pt>
                <c:pt idx="3">
                  <c:v>50283</c:v>
                </c:pt>
                <c:pt idx="4">
                  <c:v>35007</c:v>
                </c:pt>
              </c:numCache>
            </c:numRef>
          </c:val>
          <c:extLst>
            <c:ext xmlns:c16="http://schemas.microsoft.com/office/drawing/2014/chart" uri="{C3380CC4-5D6E-409C-BE32-E72D297353CC}">
              <c16:uniqueId val="{00000002-7733-4359-A97F-60CDB7DA08CD}"/>
            </c:ext>
          </c:extLst>
        </c:ser>
        <c:ser>
          <c:idx val="1"/>
          <c:order val="1"/>
          <c:tx>
            <c:strRef>
              <c:f>Sheet2!$B$28</c:f>
              <c:strCache>
                <c:ptCount val="1"/>
                <c:pt idx="0">
                  <c:v>2022-23</c:v>
                </c:pt>
              </c:strCache>
            </c:strRef>
          </c:tx>
          <c:spPr>
            <a:solidFill>
              <a:schemeClr val="tx2"/>
            </a:solidFill>
            <a:ln>
              <a:noFill/>
            </a:ln>
            <a:effectLst/>
          </c:spPr>
          <c:invertIfNegative val="0"/>
          <c:dLbls>
            <c:dLbl>
              <c:idx val="1"/>
              <c:layout>
                <c:manualLayout>
                  <c:x val="0"/>
                  <c:y val="8.02019320455961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33-4359-A97F-60CDB7DA08CD}"/>
                </c:ext>
              </c:extLst>
            </c:dLbl>
            <c:dLbl>
              <c:idx val="3"/>
              <c:layout>
                <c:manualLayout>
                  <c:x val="8.677137750769338E-17"/>
                  <c:y val="-6.817164223875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33-4359-A97F-60CDB7DA08C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Sheet2!$C$26:$G$26</c:f>
              <c:strCache>
                <c:ptCount val="5"/>
                <c:pt idx="0">
                  <c:v>AusNet Services</c:v>
                </c:pt>
                <c:pt idx="1">
                  <c:v>Jemena</c:v>
                </c:pt>
                <c:pt idx="2">
                  <c:v>CitiPower</c:v>
                </c:pt>
                <c:pt idx="3">
                  <c:v>Powercor</c:v>
                </c:pt>
                <c:pt idx="4">
                  <c:v>United Energy</c:v>
                </c:pt>
              </c:strCache>
            </c:strRef>
          </c:cat>
          <c:val>
            <c:numRef>
              <c:f>Sheet2!$C$28:$G$28</c:f>
              <c:numCache>
                <c:formatCode>#,##0</c:formatCode>
                <c:ptCount val="5"/>
                <c:pt idx="0">
                  <c:v>62070</c:v>
                </c:pt>
                <c:pt idx="1">
                  <c:v>219</c:v>
                </c:pt>
                <c:pt idx="2" formatCode="General">
                  <c:v>225</c:v>
                </c:pt>
                <c:pt idx="3">
                  <c:v>29796</c:v>
                </c:pt>
                <c:pt idx="4">
                  <c:v>1885</c:v>
                </c:pt>
              </c:numCache>
            </c:numRef>
          </c:val>
          <c:extLst>
            <c:ext xmlns:c16="http://schemas.microsoft.com/office/drawing/2014/chart" uri="{C3380CC4-5D6E-409C-BE32-E72D297353CC}">
              <c16:uniqueId val="{00000005-7733-4359-A97F-60CDB7DA08CD}"/>
            </c:ext>
          </c:extLst>
        </c:ser>
        <c:ser>
          <c:idx val="2"/>
          <c:order val="2"/>
          <c:tx>
            <c:strRef>
              <c:f>Sheet2!$B$29</c:f>
              <c:strCache>
                <c:ptCount val="1"/>
                <c:pt idx="0">
                  <c:v>2023-24</c:v>
                </c:pt>
              </c:strCache>
            </c:strRef>
          </c:tx>
          <c:spPr>
            <a:solidFill>
              <a:schemeClr val="accent4"/>
            </a:solidFill>
            <a:ln>
              <a:noFill/>
            </a:ln>
            <a:effectLst/>
          </c:spPr>
          <c:invertIfNegative val="0"/>
          <c:dLbls>
            <c:dLbl>
              <c:idx val="1"/>
              <c:layout>
                <c:manualLayout>
                  <c:x val="4.338568875384669E-17"/>
                  <c:y val="-6.41615456364781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33-4359-A97F-60CDB7DA08CD}"/>
                </c:ext>
              </c:extLst>
            </c:dLbl>
            <c:dLbl>
              <c:idx val="2"/>
              <c:layout>
                <c:manualLayout>
                  <c:x val="0"/>
                  <c:y val="-3.60908694205189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33-4359-A97F-60CDB7DA08CD}"/>
                </c:ext>
              </c:extLst>
            </c:dLbl>
            <c:dLbl>
              <c:idx val="3"/>
              <c:layout>
                <c:manualLayout>
                  <c:x val="-8.677137750769338E-17"/>
                  <c:y val="-3.6090869420519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33-4359-A97F-60CDB7DA08CD}"/>
                </c:ext>
              </c:extLst>
            </c:dLbl>
            <c:dLbl>
              <c:idx val="4"/>
              <c:layout>
                <c:manualLayout>
                  <c:x val="0"/>
                  <c:y val="-4.0100966022798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33-4359-A97F-60CDB7DA08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Sheet2!$C$26:$G$26</c:f>
              <c:strCache>
                <c:ptCount val="5"/>
                <c:pt idx="0">
                  <c:v>AusNet Services</c:v>
                </c:pt>
                <c:pt idx="1">
                  <c:v>Jemena</c:v>
                </c:pt>
                <c:pt idx="2">
                  <c:v>CitiPower</c:v>
                </c:pt>
                <c:pt idx="3">
                  <c:v>Powercor</c:v>
                </c:pt>
                <c:pt idx="4">
                  <c:v>United Energy</c:v>
                </c:pt>
              </c:strCache>
            </c:strRef>
          </c:cat>
          <c:val>
            <c:numRef>
              <c:f>Sheet2!$C$29:$G$29</c:f>
              <c:numCache>
                <c:formatCode>#,##0</c:formatCode>
                <c:ptCount val="5"/>
                <c:pt idx="0">
                  <c:v>276279</c:v>
                </c:pt>
                <c:pt idx="1">
                  <c:v>621</c:v>
                </c:pt>
                <c:pt idx="2" formatCode="General">
                  <c:v>321</c:v>
                </c:pt>
                <c:pt idx="3">
                  <c:v>20625</c:v>
                </c:pt>
                <c:pt idx="4">
                  <c:v>44938</c:v>
                </c:pt>
              </c:numCache>
            </c:numRef>
          </c:val>
          <c:extLst>
            <c:ext xmlns:c16="http://schemas.microsoft.com/office/drawing/2014/chart" uri="{C3380CC4-5D6E-409C-BE32-E72D297353CC}">
              <c16:uniqueId val="{0000000A-7733-4359-A97F-60CDB7DA08CD}"/>
            </c:ext>
          </c:extLst>
        </c:ser>
        <c:ser>
          <c:idx val="3"/>
          <c:order val="3"/>
          <c:tx>
            <c:strRef>
              <c:f>Sheet2!$B$30</c:f>
              <c:strCache>
                <c:ptCount val="1"/>
                <c:pt idx="0">
                  <c:v>2024-25</c:v>
                </c:pt>
              </c:strCache>
            </c:strRef>
          </c:tx>
          <c:spPr>
            <a:solidFill>
              <a:schemeClr val="accent2"/>
            </a:solidFill>
            <a:ln>
              <a:noFill/>
            </a:ln>
            <a:effectLst/>
          </c:spPr>
          <c:invertIfNegative val="0"/>
          <c:dLbls>
            <c:dLbl>
              <c:idx val="1"/>
              <c:layout>
                <c:manualLayout>
                  <c:x val="-8.677137750769338E-17"/>
                  <c:y val="-2.4060579613679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33-4359-A97F-60CDB7DA08CD}"/>
                </c:ext>
              </c:extLst>
            </c:dLbl>
            <c:dLbl>
              <c:idx val="2"/>
              <c:layout>
                <c:manualLayout>
                  <c:x val="-8.677137750769338E-17"/>
                  <c:y val="-8.82221252501573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733-4359-A97F-60CDB7DA08CD}"/>
                </c:ext>
              </c:extLst>
            </c:dLbl>
            <c:dLbl>
              <c:idx val="4"/>
              <c:layout>
                <c:manualLayout>
                  <c:x val="-1.7354275501538676E-16"/>
                  <c:y val="-2.80706762159591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33-4359-A97F-60CDB7DA08C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Sheet2!$C$26:$G$26</c:f>
              <c:strCache>
                <c:ptCount val="5"/>
                <c:pt idx="0">
                  <c:v>AusNet Services</c:v>
                </c:pt>
                <c:pt idx="1">
                  <c:v>Jemena</c:v>
                </c:pt>
                <c:pt idx="2">
                  <c:v>CitiPower</c:v>
                </c:pt>
                <c:pt idx="3">
                  <c:v>Powercor</c:v>
                </c:pt>
                <c:pt idx="4">
                  <c:v>United Energy</c:v>
                </c:pt>
              </c:strCache>
            </c:strRef>
          </c:cat>
          <c:val>
            <c:numRef>
              <c:f>Sheet2!$C$30:$G$30</c:f>
              <c:numCache>
                <c:formatCode>#,##0</c:formatCode>
                <c:ptCount val="5"/>
                <c:pt idx="0">
                  <c:v>146946</c:v>
                </c:pt>
                <c:pt idx="1">
                  <c:v>574</c:v>
                </c:pt>
                <c:pt idx="2" formatCode="General">
                  <c:v>479</c:v>
                </c:pt>
                <c:pt idx="3">
                  <c:v>17615</c:v>
                </c:pt>
                <c:pt idx="4">
                  <c:v>3637</c:v>
                </c:pt>
              </c:numCache>
            </c:numRef>
          </c:val>
          <c:extLst>
            <c:ext xmlns:c16="http://schemas.microsoft.com/office/drawing/2014/chart" uri="{C3380CC4-5D6E-409C-BE32-E72D297353CC}">
              <c16:uniqueId val="{0000000E-7733-4359-A97F-60CDB7DA08CD}"/>
            </c:ext>
          </c:extLst>
        </c:ser>
        <c:dLbls>
          <c:dLblPos val="outEnd"/>
          <c:showLegendKey val="0"/>
          <c:showVal val="1"/>
          <c:showCatName val="0"/>
          <c:showSerName val="0"/>
          <c:showPercent val="0"/>
          <c:showBubbleSize val="0"/>
        </c:dLbls>
        <c:gapWidth val="219"/>
        <c:overlap val="-27"/>
        <c:axId val="511139087"/>
        <c:axId val="511143407"/>
      </c:barChart>
      <c:catAx>
        <c:axId val="51113908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143407"/>
        <c:crosses val="autoZero"/>
        <c:auto val="1"/>
        <c:lblAlgn val="ctr"/>
        <c:lblOffset val="100"/>
        <c:noMultiLvlLbl val="0"/>
      </c:catAx>
      <c:valAx>
        <c:axId val="5111434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139087"/>
        <c:crosses val="autoZero"/>
        <c:crossBetween val="between"/>
      </c:valAx>
      <c:spPr>
        <a:noFill/>
        <a:ln>
          <a:noFill/>
        </a:ln>
        <a:effectLst/>
      </c:spPr>
    </c:plotArea>
    <c:legend>
      <c:legendPos val="b"/>
      <c:layout>
        <c:manualLayout>
          <c:xMode val="edge"/>
          <c:yMode val="edge"/>
          <c:x val="0.36502402308995513"/>
          <c:y val="0.90951206933309292"/>
          <c:w val="0.26995184855953563"/>
          <c:h val="3.81293988980519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Graph 2: Total GSL dollar amount for each financial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Sheet2!$M$27</c:f>
              <c:strCache>
                <c:ptCount val="1"/>
                <c:pt idx="0">
                  <c:v>2021-22</c:v>
                </c:pt>
              </c:strCache>
            </c:strRef>
          </c:tx>
          <c:spPr>
            <a:solidFill>
              <a:schemeClr val="tx1">
                <a:lumMod val="65000"/>
                <a:lumOff val="35000"/>
              </a:schemeClr>
            </a:solidFill>
            <a:ln>
              <a:noFill/>
            </a:ln>
            <a:effectLst/>
          </c:spPr>
          <c:invertIfNegative val="0"/>
          <c:dLbls>
            <c:dLbl>
              <c:idx val="1"/>
              <c:layout>
                <c:manualLayout>
                  <c:x val="0"/>
                  <c:y val="-0.106023584688154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B9-480F-839B-836422F8CC68}"/>
                </c:ext>
              </c:extLst>
            </c:dLbl>
            <c:dLbl>
              <c:idx val="2"/>
              <c:layout>
                <c:manualLayout>
                  <c:x val="-6.8050472791758214E-17"/>
                  <c:y val="-9.2465179943064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B9-480F-839B-836422F8CC68}"/>
                </c:ext>
              </c:extLst>
            </c:dLbl>
            <c:dLbl>
              <c:idx val="3"/>
              <c:layout>
                <c:manualLayout>
                  <c:x val="0"/>
                  <c:y val="-7.70543166192207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B9-480F-839B-836422F8CC68}"/>
                </c:ext>
              </c:extLst>
            </c:dLbl>
            <c:dLbl>
              <c:idx val="4"/>
              <c:layout>
                <c:manualLayout>
                  <c:x val="0"/>
                  <c:y val="-7.0889971289682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B9-480F-839B-836422F8CC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Sheet2!$N$25:$R$26</c:f>
              <c:strCache>
                <c:ptCount val="5"/>
                <c:pt idx="0">
                  <c:v>AusNet Services</c:v>
                </c:pt>
                <c:pt idx="1">
                  <c:v>Jemena</c:v>
                </c:pt>
                <c:pt idx="2">
                  <c:v>CitiPower</c:v>
                </c:pt>
                <c:pt idx="3">
                  <c:v>Powercor</c:v>
                </c:pt>
                <c:pt idx="4">
                  <c:v>United Energy</c:v>
                </c:pt>
              </c:strCache>
            </c:strRef>
          </c:cat>
          <c:val>
            <c:numRef>
              <c:f>Sheet2!$N$27:$R$27</c:f>
              <c:numCache>
                <c:formatCode>"$"#,##0_);[Red]\("$"#,##0\)</c:formatCode>
                <c:ptCount val="5"/>
                <c:pt idx="0">
                  <c:v>13598485</c:v>
                </c:pt>
                <c:pt idx="1">
                  <c:v>627410</c:v>
                </c:pt>
                <c:pt idx="2">
                  <c:v>88070</c:v>
                </c:pt>
                <c:pt idx="3">
                  <c:v>5589520</c:v>
                </c:pt>
                <c:pt idx="4">
                  <c:v>3200335</c:v>
                </c:pt>
              </c:numCache>
            </c:numRef>
          </c:val>
          <c:extLst>
            <c:ext xmlns:c16="http://schemas.microsoft.com/office/drawing/2014/chart" uri="{C3380CC4-5D6E-409C-BE32-E72D297353CC}">
              <c16:uniqueId val="{00000004-68B9-480F-839B-836422F8CC68}"/>
            </c:ext>
          </c:extLst>
        </c:ser>
        <c:ser>
          <c:idx val="1"/>
          <c:order val="1"/>
          <c:tx>
            <c:strRef>
              <c:f>Sheet2!$M$28</c:f>
              <c:strCache>
                <c:ptCount val="1"/>
                <c:pt idx="0">
                  <c:v>2022-23</c:v>
                </c:pt>
              </c:strCache>
            </c:strRef>
          </c:tx>
          <c:spPr>
            <a:solidFill>
              <a:schemeClr val="tx2"/>
            </a:solidFill>
            <a:ln>
              <a:noFill/>
            </a:ln>
            <a:effectLst/>
          </c:spPr>
          <c:invertIfNegative val="0"/>
          <c:dLbls>
            <c:dLbl>
              <c:idx val="3"/>
              <c:layout>
                <c:manualLayout>
                  <c:x val="0"/>
                  <c:y val="-7.0889971289682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B9-480F-839B-836422F8CC68}"/>
                </c:ext>
              </c:extLst>
            </c:dLbl>
            <c:dLbl>
              <c:idx val="4"/>
              <c:layout>
                <c:manualLayout>
                  <c:x val="-1.1985872824844332E-16"/>
                  <c:y val="-4.46153872633687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B9-480F-839B-836422F8CC68}"/>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Sheet2!$N$25:$R$26</c:f>
              <c:strCache>
                <c:ptCount val="5"/>
                <c:pt idx="0">
                  <c:v>AusNet Services</c:v>
                </c:pt>
                <c:pt idx="1">
                  <c:v>Jemena</c:v>
                </c:pt>
                <c:pt idx="2">
                  <c:v>CitiPower</c:v>
                </c:pt>
                <c:pt idx="3">
                  <c:v>Powercor</c:v>
                </c:pt>
                <c:pt idx="4">
                  <c:v>United Energy</c:v>
                </c:pt>
              </c:strCache>
            </c:strRef>
          </c:cat>
          <c:val>
            <c:numRef>
              <c:f>Sheet2!$N$28:$R$28</c:f>
              <c:numCache>
                <c:formatCode>"$"#,##0_);[Red]\("$"#,##0\)</c:formatCode>
                <c:ptCount val="5"/>
                <c:pt idx="0">
                  <c:v>7403540</c:v>
                </c:pt>
                <c:pt idx="1">
                  <c:v>31930</c:v>
                </c:pt>
                <c:pt idx="2">
                  <c:v>23950</c:v>
                </c:pt>
                <c:pt idx="3">
                  <c:v>3779305</c:v>
                </c:pt>
                <c:pt idx="4">
                  <c:v>397935</c:v>
                </c:pt>
              </c:numCache>
            </c:numRef>
          </c:val>
          <c:extLst>
            <c:ext xmlns:c16="http://schemas.microsoft.com/office/drawing/2014/chart" uri="{C3380CC4-5D6E-409C-BE32-E72D297353CC}">
              <c16:uniqueId val="{00000007-68B9-480F-839B-836422F8CC68}"/>
            </c:ext>
          </c:extLst>
        </c:ser>
        <c:ser>
          <c:idx val="2"/>
          <c:order val="2"/>
          <c:tx>
            <c:strRef>
              <c:f>Sheet2!$M$29</c:f>
              <c:strCache>
                <c:ptCount val="1"/>
                <c:pt idx="0">
                  <c:v>2023-24</c:v>
                </c:pt>
              </c:strCache>
            </c:strRef>
          </c:tx>
          <c:spPr>
            <a:solidFill>
              <a:schemeClr val="accent4"/>
            </a:solidFill>
            <a:ln>
              <a:noFill/>
            </a:ln>
            <a:effectLst/>
          </c:spPr>
          <c:invertIfNegative val="0"/>
          <c:dLbls>
            <c:dLbl>
              <c:idx val="1"/>
              <c:layout>
                <c:manualLayout>
                  <c:x val="0"/>
                  <c:y val="-6.47256259601453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B9-480F-839B-836422F8CC68}"/>
                </c:ext>
              </c:extLst>
            </c:dLbl>
            <c:dLbl>
              <c:idx val="2"/>
              <c:layout>
                <c:manualLayout>
                  <c:x val="-6.8050472791758214E-17"/>
                  <c:y val="-4.00682446419947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B9-480F-839B-836422F8CC68}"/>
                </c:ext>
              </c:extLst>
            </c:dLbl>
            <c:dLbl>
              <c:idx val="3"/>
              <c:layout>
                <c:manualLayout>
                  <c:x val="-1.3610094558351643E-16"/>
                  <c:y val="-1.2328690659075299E-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B9-480F-839B-836422F8CC68}"/>
                </c:ext>
              </c:extLst>
            </c:dLbl>
            <c:dLbl>
              <c:idx val="4"/>
              <c:layout>
                <c:manualLayout>
                  <c:x val="0"/>
                  <c:y val="-8.63008346135270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8B9-480F-839B-836422F8CC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Sheet2!$N$25:$R$26</c:f>
              <c:strCache>
                <c:ptCount val="5"/>
                <c:pt idx="0">
                  <c:v>AusNet Services</c:v>
                </c:pt>
                <c:pt idx="1">
                  <c:v>Jemena</c:v>
                </c:pt>
                <c:pt idx="2">
                  <c:v>CitiPower</c:v>
                </c:pt>
                <c:pt idx="3">
                  <c:v>Powercor</c:v>
                </c:pt>
                <c:pt idx="4">
                  <c:v>United Energy</c:v>
                </c:pt>
              </c:strCache>
            </c:strRef>
          </c:cat>
          <c:val>
            <c:numRef>
              <c:f>Sheet2!$N$29:$R$29</c:f>
              <c:numCache>
                <c:formatCode>"$"#,##0_);[Red]\("$"#,##0\)</c:formatCode>
                <c:ptCount val="5"/>
                <c:pt idx="0">
                  <c:v>27954200</c:v>
                </c:pt>
                <c:pt idx="1">
                  <c:v>89800</c:v>
                </c:pt>
                <c:pt idx="2">
                  <c:v>38360</c:v>
                </c:pt>
                <c:pt idx="3">
                  <c:v>2251310</c:v>
                </c:pt>
                <c:pt idx="4">
                  <c:v>4073885</c:v>
                </c:pt>
              </c:numCache>
            </c:numRef>
          </c:val>
          <c:extLst>
            <c:ext xmlns:c16="http://schemas.microsoft.com/office/drawing/2014/chart" uri="{C3380CC4-5D6E-409C-BE32-E72D297353CC}">
              <c16:uniqueId val="{0000000C-68B9-480F-839B-836422F8CC68}"/>
            </c:ext>
          </c:extLst>
        </c:ser>
        <c:ser>
          <c:idx val="3"/>
          <c:order val="3"/>
          <c:tx>
            <c:strRef>
              <c:f>Sheet2!$M$30</c:f>
              <c:strCache>
                <c:ptCount val="1"/>
                <c:pt idx="0">
                  <c:v>2024-25</c:v>
                </c:pt>
              </c:strCache>
            </c:strRef>
          </c:tx>
          <c:spPr>
            <a:solidFill>
              <a:schemeClr val="accent2"/>
            </a:solidFill>
            <a:ln>
              <a:noFill/>
            </a:ln>
            <a:effectLst/>
          </c:spPr>
          <c:invertIfNegative val="0"/>
          <c:dLbls>
            <c:dLbl>
              <c:idx val="0"/>
              <c:layout>
                <c:manualLayout>
                  <c:x val="-6.3611326008161447E-6"/>
                  <c:y val="-5.53865458489523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8B9-480F-839B-836422F8CC68}"/>
                </c:ext>
              </c:extLst>
            </c:dLbl>
            <c:dLbl>
              <c:idx val="1"/>
              <c:layout>
                <c:manualLayout>
                  <c:x val="-5.3694738920372657E-17"/>
                  <c:y val="-2.01707740432207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8B9-480F-839B-836422F8CC68}"/>
                </c:ext>
              </c:extLst>
            </c:dLbl>
            <c:dLbl>
              <c:idx val="2"/>
              <c:layout>
                <c:manualLayout>
                  <c:x val="0"/>
                  <c:y val="-7.3972143954451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8B9-480F-839B-836422F8CC68}"/>
                </c:ext>
              </c:extLst>
            </c:dLbl>
            <c:dLbl>
              <c:idx val="3"/>
              <c:layout>
                <c:manualLayout>
                  <c:x val="0"/>
                  <c:y val="-5.54791079658389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8B9-480F-839B-836422F8CC68}"/>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Sheet2!$N$25:$R$26</c:f>
              <c:strCache>
                <c:ptCount val="5"/>
                <c:pt idx="0">
                  <c:v>AusNet Services</c:v>
                </c:pt>
                <c:pt idx="1">
                  <c:v>Jemena</c:v>
                </c:pt>
                <c:pt idx="2">
                  <c:v>CitiPower</c:v>
                </c:pt>
                <c:pt idx="3">
                  <c:v>Powercor</c:v>
                </c:pt>
                <c:pt idx="4">
                  <c:v>United Energy</c:v>
                </c:pt>
              </c:strCache>
            </c:strRef>
          </c:cat>
          <c:val>
            <c:numRef>
              <c:f>Sheet2!$N$30:$R$30</c:f>
              <c:numCache>
                <c:formatCode>"$"#,##0_);[Red]\("$"#,##0\)</c:formatCode>
                <c:ptCount val="5"/>
                <c:pt idx="0">
                  <c:v>15542070</c:v>
                </c:pt>
                <c:pt idx="1">
                  <c:v>71185</c:v>
                </c:pt>
                <c:pt idx="2">
                  <c:v>75420</c:v>
                </c:pt>
                <c:pt idx="3">
                  <c:v>2428670</c:v>
                </c:pt>
                <c:pt idx="4">
                  <c:v>396010</c:v>
                </c:pt>
              </c:numCache>
            </c:numRef>
          </c:val>
          <c:extLst>
            <c:ext xmlns:c16="http://schemas.microsoft.com/office/drawing/2014/chart" uri="{C3380CC4-5D6E-409C-BE32-E72D297353CC}">
              <c16:uniqueId val="{00000011-68B9-480F-839B-836422F8CC68}"/>
            </c:ext>
          </c:extLst>
        </c:ser>
        <c:dLbls>
          <c:dLblPos val="outEnd"/>
          <c:showLegendKey val="0"/>
          <c:showVal val="1"/>
          <c:showCatName val="0"/>
          <c:showSerName val="0"/>
          <c:showPercent val="0"/>
          <c:showBubbleSize val="0"/>
        </c:dLbls>
        <c:gapWidth val="219"/>
        <c:overlap val="-27"/>
        <c:axId val="478881807"/>
        <c:axId val="478884687"/>
      </c:barChart>
      <c:catAx>
        <c:axId val="478881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84687"/>
        <c:crossesAt val="0"/>
        <c:auto val="1"/>
        <c:lblAlgn val="ctr"/>
        <c:lblOffset val="100"/>
        <c:noMultiLvlLbl val="0"/>
      </c:catAx>
      <c:valAx>
        <c:axId val="478884687"/>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8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10B3-77CF-42C0-8A1F-1671D46E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Annual performance data for distributors’ guaranteed service level (GSL) payments</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data for distributors’ guaranteed service level (GSL) payments</dc:title>
  <dc:subject/>
  <dc:creator>Afnan Hossain (ESC)</dc:creator>
  <cp:keywords/>
  <dc:description/>
  <cp:lastModifiedBy>Afnan Hossain (ESC)</cp:lastModifiedBy>
  <cp:revision>39</cp:revision>
  <cp:lastPrinted>2025-12-18T04:19:00Z</cp:lastPrinted>
  <dcterms:created xsi:type="dcterms:W3CDTF">2025-12-15T04:21:00Z</dcterms:created>
  <dcterms:modified xsi:type="dcterms:W3CDTF">2025-12-18T04:19:00Z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e7f466-423d-4722-af16-ba0e3ba437ba_Enabled">
    <vt:lpwstr>true</vt:lpwstr>
  </property>
  <property fmtid="{D5CDD505-2E9C-101B-9397-08002B2CF9AE}" pid="3" name="MSIP_Label_90e7f466-423d-4722-af16-ba0e3ba437ba_SetDate">
    <vt:lpwstr>2025-12-15T04:34:56Z</vt:lpwstr>
  </property>
  <property fmtid="{D5CDD505-2E9C-101B-9397-08002B2CF9AE}" pid="4" name="MSIP_Label_90e7f466-423d-4722-af16-ba0e3ba437ba_Method">
    <vt:lpwstr>Privileged</vt:lpwstr>
  </property>
  <property fmtid="{D5CDD505-2E9C-101B-9397-08002B2CF9AE}" pid="5" name="MSIP_Label_90e7f466-423d-4722-af16-ba0e3ba437ba_Name">
    <vt:lpwstr>No Marking</vt:lpwstr>
  </property>
  <property fmtid="{D5CDD505-2E9C-101B-9397-08002B2CF9AE}" pid="6" name="MSIP_Label_90e7f466-423d-4722-af16-ba0e3ba437ba_SiteId">
    <vt:lpwstr>5f894de5-5651-487a-aaff-5a8c899b254d</vt:lpwstr>
  </property>
  <property fmtid="{D5CDD505-2E9C-101B-9397-08002B2CF9AE}" pid="7" name="MSIP_Label_90e7f466-423d-4722-af16-ba0e3ba437ba_ActionId">
    <vt:lpwstr>66861faf-d400-48ef-b19f-915d265349b0</vt:lpwstr>
  </property>
  <property fmtid="{D5CDD505-2E9C-101B-9397-08002B2CF9AE}" pid="8" name="MSIP_Label_90e7f466-423d-4722-af16-ba0e3ba437ba_ContentBits">
    <vt:lpwstr>0</vt:lpwstr>
  </property>
  <property fmtid="{D5CDD505-2E9C-101B-9397-08002B2CF9AE}" pid="9" name="MSIP_Label_90e7f466-423d-4722-af16-ba0e3ba437ba_Tag">
    <vt:lpwstr>10, 0, 1, 1</vt:lpwstr>
  </property>
</Properties>
</file>