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1A7C" w14:textId="77777777" w:rsidR="00290D6C" w:rsidRDefault="00290D6C">
      <w:pPr>
        <w:sectPr w:rsidR="00290D6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2711D9">
        <w:rPr>
          <w:noProof/>
          <w:u w:val="single"/>
          <w:lang w:eastAsia="en-AU"/>
        </w:rPr>
        <mc:AlternateContent>
          <mc:Choice Requires="wps">
            <w:drawing>
              <wp:anchor distT="0" distB="0" distL="114300" distR="114300" simplePos="0" relativeHeight="251659264" behindDoc="0" locked="0" layoutInCell="1" allowOverlap="1" wp14:anchorId="1CAA895D" wp14:editId="556463FD">
                <wp:simplePos x="0" y="0"/>
                <wp:positionH relativeFrom="page">
                  <wp:posOffset>847725</wp:posOffset>
                </wp:positionH>
                <wp:positionV relativeFrom="page">
                  <wp:posOffset>2219325</wp:posOffset>
                </wp:positionV>
                <wp:extent cx="5591175" cy="4381995"/>
                <wp:effectExtent l="0" t="0" r="9525" b="0"/>
                <wp:wrapTight wrapText="bothSides">
                  <wp:wrapPolygon edited="0">
                    <wp:start x="0" y="0"/>
                    <wp:lineTo x="0" y="21506"/>
                    <wp:lineTo x="21563" y="21506"/>
                    <wp:lineTo x="21563" y="0"/>
                    <wp:lineTo x="0" y="0"/>
                  </wp:wrapPolygon>
                </wp:wrapTight>
                <wp:docPr id="25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38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28985A8" w14:textId="77777777" w:rsidR="00DE0D26" w:rsidRPr="00507B0D" w:rsidRDefault="00DE0D26" w:rsidP="005214EA">
                            <w:pPr>
                              <w:widowControl w:val="0"/>
                              <w:suppressAutoHyphens/>
                              <w:autoSpaceDE w:val="0"/>
                              <w:autoSpaceDN w:val="0"/>
                              <w:adjustRightInd w:val="0"/>
                              <w:textAlignment w:val="center"/>
                              <w:rPr>
                                <w:rFonts w:ascii="HelveticaNeueLTStd-Lt" w:hAnsi="HelveticaNeueLTStd-Lt" w:cs="HelveticaNeueLTStd-Lt"/>
                                <w:color w:val="009FE3"/>
                                <w:sz w:val="72"/>
                                <w:szCs w:val="72"/>
                                <w:lang w:val="en-GB"/>
                              </w:rPr>
                            </w:pPr>
                            <w:r w:rsidRPr="00507B0D">
                              <w:rPr>
                                <w:rFonts w:ascii="HelveticaNeueLTStd-Lt" w:hAnsi="HelveticaNeueLTStd-Lt" w:cs="HelveticaNeueLTStd-Lt"/>
                                <w:color w:val="009FE3"/>
                                <w:sz w:val="72"/>
                                <w:szCs w:val="72"/>
                                <w:lang w:val="en-GB"/>
                              </w:rPr>
                              <w:t xml:space="preserve">Application for Annual Price Review of </w:t>
                            </w:r>
                          </w:p>
                          <w:p w14:paraId="40D94AC2" w14:textId="77777777" w:rsidR="00DE0D26" w:rsidRPr="00507B0D" w:rsidRDefault="00DE0D26" w:rsidP="005214EA">
                            <w:pPr>
                              <w:widowControl w:val="0"/>
                              <w:suppressAutoHyphens/>
                              <w:autoSpaceDE w:val="0"/>
                              <w:autoSpaceDN w:val="0"/>
                              <w:adjustRightInd w:val="0"/>
                              <w:textAlignment w:val="center"/>
                              <w:rPr>
                                <w:rFonts w:ascii="HelveticaNeueLTStd-Lt" w:hAnsi="HelveticaNeueLTStd-Lt" w:cs="HelveticaNeueLTStd-Lt"/>
                                <w:color w:val="009FE3"/>
                                <w:sz w:val="72"/>
                                <w:szCs w:val="72"/>
                                <w:lang w:val="en-GB"/>
                              </w:rPr>
                            </w:pPr>
                            <w:r w:rsidRPr="00507B0D">
                              <w:rPr>
                                <w:rFonts w:ascii="HelveticaNeueLTStd-Lt" w:hAnsi="HelveticaNeueLTStd-Lt" w:cs="HelveticaNeueLTStd-Lt"/>
                                <w:color w:val="009FE3"/>
                                <w:sz w:val="72"/>
                                <w:szCs w:val="72"/>
                                <w:lang w:val="en-GB"/>
                              </w:rPr>
                              <w:t xml:space="preserve">Fees and Charges </w:t>
                            </w:r>
                          </w:p>
                          <w:p w14:paraId="6B15CE50" w14:textId="77777777" w:rsidR="00DE0D26" w:rsidRPr="00507B0D" w:rsidRDefault="00DE0D26" w:rsidP="005214EA">
                            <w:pPr>
                              <w:widowControl w:val="0"/>
                              <w:suppressAutoHyphens/>
                              <w:autoSpaceDE w:val="0"/>
                              <w:autoSpaceDN w:val="0"/>
                              <w:adjustRightInd w:val="0"/>
                              <w:textAlignment w:val="center"/>
                              <w:rPr>
                                <w:rFonts w:ascii="HelveticaNeueLTStd-Lt" w:hAnsi="HelveticaNeueLTStd-Lt" w:cs="HelveticaNeueLTStd-Lt"/>
                                <w:color w:val="009FE3"/>
                                <w:sz w:val="72"/>
                                <w:szCs w:val="72"/>
                                <w:lang w:val="en-GB"/>
                              </w:rPr>
                            </w:pPr>
                            <w:r w:rsidRPr="00507B0D">
                              <w:rPr>
                                <w:rFonts w:ascii="HelveticaNeueLTStd-Lt" w:hAnsi="HelveticaNeueLTStd-Lt" w:cs="HelveticaNeueLTStd-Lt"/>
                                <w:color w:val="009FE3"/>
                                <w:sz w:val="72"/>
                                <w:szCs w:val="72"/>
                                <w:lang w:val="en-GB"/>
                              </w:rPr>
                              <w:t>202</w:t>
                            </w:r>
                            <w:r>
                              <w:rPr>
                                <w:rFonts w:ascii="HelveticaNeueLTStd-Lt" w:hAnsi="HelveticaNeueLTStd-Lt" w:cs="HelveticaNeueLTStd-Lt"/>
                                <w:color w:val="009FE3"/>
                                <w:sz w:val="72"/>
                                <w:szCs w:val="72"/>
                                <w:lang w:val="en-GB"/>
                              </w:rPr>
                              <w:t>3</w:t>
                            </w:r>
                            <w:r w:rsidRPr="00507B0D">
                              <w:rPr>
                                <w:rFonts w:ascii="HelveticaNeueLTStd-Lt" w:hAnsi="HelveticaNeueLTStd-Lt" w:cs="HelveticaNeueLTStd-Lt"/>
                                <w:color w:val="009FE3"/>
                                <w:sz w:val="72"/>
                                <w:szCs w:val="72"/>
                                <w:lang w:val="en-GB"/>
                              </w:rPr>
                              <w:t>/2</w:t>
                            </w:r>
                            <w:r>
                              <w:rPr>
                                <w:rFonts w:ascii="HelveticaNeueLTStd-Lt" w:hAnsi="HelveticaNeueLTStd-Lt" w:cs="HelveticaNeueLTStd-Lt"/>
                                <w:color w:val="009FE3"/>
                                <w:sz w:val="72"/>
                                <w:szCs w:val="72"/>
                                <w:lang w:val="en-GB"/>
                              </w:rPr>
                              <w:t>4</w:t>
                            </w:r>
                          </w:p>
                          <w:p w14:paraId="3E98CB19" w14:textId="77777777" w:rsidR="00DE0D26" w:rsidRPr="00612011" w:rsidRDefault="00DE0D26" w:rsidP="005214EA">
                            <w:pPr>
                              <w:pStyle w:val="Heading5"/>
                              <w:spacing w:before="100"/>
                              <w:rPr>
                                <w:rFonts w:ascii="Arial" w:hAnsi="Arial" w:cs="Arial"/>
                                <w:color w:val="404040" w:themeColor="text1" w:themeTint="BF"/>
                                <w:sz w:val="28"/>
                                <w:szCs w:val="28"/>
                                <w:highlight w:val="yellow"/>
                              </w:rPr>
                            </w:pPr>
                          </w:p>
                          <w:p w14:paraId="06B457A0" w14:textId="77777777" w:rsidR="00DE0D26" w:rsidRDefault="00DE0D26" w:rsidP="005214EA">
                            <w:pPr>
                              <w:pStyle w:val="Heading5"/>
                              <w:spacing w:before="100"/>
                              <w:rPr>
                                <w:rFonts w:ascii="Arial" w:hAnsi="Arial" w:cs="Arial"/>
                                <w:color w:val="404040" w:themeColor="text1" w:themeTint="BF"/>
                                <w:sz w:val="28"/>
                                <w:szCs w:val="28"/>
                              </w:rPr>
                            </w:pPr>
                            <w:r>
                              <w:rPr>
                                <w:rFonts w:ascii="Arial" w:hAnsi="Arial" w:cs="Arial"/>
                                <w:color w:val="404040" w:themeColor="text1" w:themeTint="BF"/>
                                <w:sz w:val="28"/>
                                <w:szCs w:val="28"/>
                              </w:rPr>
                              <w:t>26 April 2023</w:t>
                            </w:r>
                          </w:p>
                          <w:p w14:paraId="4F924AEC" w14:textId="77777777" w:rsidR="00DE0D26" w:rsidRPr="002E5C24" w:rsidRDefault="00DE0D26" w:rsidP="005214EA">
                            <w:pPr>
                              <w:widowControl w:val="0"/>
                              <w:suppressAutoHyphens/>
                              <w:autoSpaceDE w:val="0"/>
                              <w:autoSpaceDN w:val="0"/>
                              <w:adjustRightInd w:val="0"/>
                              <w:textAlignment w:val="center"/>
                              <w:rPr>
                                <w:rFonts w:ascii="HelveticaNeueLTStd-Lt" w:hAnsi="HelveticaNeueLTStd-Lt" w:cs="HelveticaNeueLTStd-Lt"/>
                                <w:color w:val="0092D2"/>
                                <w:sz w:val="81"/>
                                <w:szCs w:val="81"/>
                                <w:lang w:val="en-GB"/>
                              </w:rPr>
                            </w:pPr>
                          </w:p>
                          <w:p w14:paraId="3A51299C" w14:textId="77777777" w:rsidR="00DE0D26" w:rsidRDefault="00DE0D26" w:rsidP="005214EA"/>
                          <w:p w14:paraId="56B61266" w14:textId="77777777" w:rsidR="00DE0D26" w:rsidRDefault="00DE0D26" w:rsidP="005214EA">
                            <w:pPr>
                              <w:pStyle w:val="Footer"/>
                              <w:ind w:right="-1056"/>
                              <w:rPr>
                                <w:rFonts w:ascii="Calibri" w:hAnsi="Calibri" w:cs="Calibri"/>
                                <w:color w:val="404040" w:themeColor="text1" w:themeTint="BF"/>
                              </w:rPr>
                            </w:pPr>
                          </w:p>
                          <w:p w14:paraId="21ECACE5" w14:textId="77777777" w:rsidR="00DE0D26" w:rsidRDefault="00DE0D26" w:rsidP="005214EA">
                            <w:pPr>
                              <w:pStyle w:val="Footer"/>
                              <w:ind w:right="-1056"/>
                              <w:rPr>
                                <w:rFonts w:ascii="Calibri" w:hAnsi="Calibri" w:cs="Calibri"/>
                                <w:color w:val="404040" w:themeColor="text1" w:themeTint="BF"/>
                              </w:rPr>
                            </w:pPr>
                          </w:p>
                          <w:p w14:paraId="0FB19EDE" w14:textId="77777777" w:rsidR="00DE0D26" w:rsidRDefault="00DE0D26" w:rsidP="005214EA">
                            <w:pPr>
                              <w:pStyle w:val="Footer"/>
                              <w:ind w:right="-1056"/>
                              <w:rPr>
                                <w:rFonts w:ascii="Calibri" w:hAnsi="Calibri" w:cs="Calibri"/>
                                <w:color w:val="404040" w:themeColor="text1" w:themeTint="BF"/>
                              </w:rPr>
                            </w:pPr>
                            <w:r>
                              <w:rPr>
                                <w:rFonts w:ascii="Calibri" w:hAnsi="Calibri" w:cs="Calibri"/>
                                <w:color w:val="404040" w:themeColor="text1" w:themeTint="BF"/>
                              </w:rPr>
                              <w:t>Document Number: A3942953</w:t>
                            </w:r>
                          </w:p>
                          <w:p w14:paraId="2C285DAD" w14:textId="77777777" w:rsidR="00DE0D26" w:rsidRPr="008C3E8D" w:rsidRDefault="00DE0D26" w:rsidP="005214EA">
                            <w:pPr>
                              <w:pStyle w:val="Footer"/>
                              <w:ind w:right="-1056"/>
                              <w:rPr>
                                <w:rFonts w:ascii="Calibri" w:hAnsi="Calibri" w:cs="Calibri"/>
                                <w:color w:val="404040" w:themeColor="text1" w:themeTint="BF"/>
                              </w:rPr>
                            </w:pPr>
                            <w:r>
                              <w:rPr>
                                <w:rFonts w:ascii="Calibri" w:hAnsi="Calibri" w:cs="Calibri"/>
                                <w:color w:val="404040" w:themeColor="text1" w:themeTint="BF"/>
                              </w:rPr>
                              <w:t>Version: 1</w:t>
                            </w:r>
                          </w:p>
                          <w:p w14:paraId="239E8413" w14:textId="77777777" w:rsidR="00DE0D26" w:rsidRPr="005214EA" w:rsidRDefault="00DE0D26" w:rsidP="005214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A895D" id="_x0000_t202" coordsize="21600,21600" o:spt="202" path="m,l,21600r21600,l21600,xe">
                <v:stroke joinstyle="miter"/>
                <v:path gradientshapeok="t" o:connecttype="rect"/>
              </v:shapetype>
              <v:shape id="Text Box 168" o:spid="_x0000_s1026" type="#_x0000_t202" style="position:absolute;margin-left:66.75pt;margin-top:174.75pt;width:440.25pt;height:34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" filled="f" stroked="f">
                <v:textbox inset="0,0,0,0">
                  <w:txbxContent>
                    <w:p w:rsidR="00DE0D26" w:rsidRPr="00507B0D" w:rsidRDefault="00DE0D26" w:rsidP="005214EA">
                      <w:pPr>
                        <w:widowControl w:val="0"/>
                        <w:suppressAutoHyphens/>
                        <w:autoSpaceDE w:val="0"/>
                        <w:autoSpaceDN w:val="0"/>
                        <w:adjustRightInd w:val="0"/>
                        <w:textAlignment w:val="center"/>
                        <w:rPr>
                          <w:rFonts w:ascii="HelveticaNeueLTStd-Lt" w:hAnsi="HelveticaNeueLTStd-Lt" w:cs="HelveticaNeueLTStd-Lt"/>
                          <w:color w:val="009FE3"/>
                          <w:sz w:val="72"/>
                          <w:szCs w:val="72"/>
                          <w:lang w:val="en-GB"/>
                        </w:rPr>
                      </w:pPr>
                      <w:r w:rsidRPr="00507B0D">
                        <w:rPr>
                          <w:rFonts w:ascii="HelveticaNeueLTStd-Lt" w:hAnsi="HelveticaNeueLTStd-Lt" w:cs="HelveticaNeueLTStd-Lt"/>
                          <w:color w:val="009FE3"/>
                          <w:sz w:val="72"/>
                          <w:szCs w:val="72"/>
                          <w:lang w:val="en-GB"/>
                        </w:rPr>
                        <w:t xml:space="preserve">Application for Annual Price Review of </w:t>
                      </w:r>
                    </w:p>
                    <w:p w:rsidR="00DE0D26" w:rsidRPr="00507B0D" w:rsidRDefault="00DE0D26" w:rsidP="005214EA">
                      <w:pPr>
                        <w:widowControl w:val="0"/>
                        <w:suppressAutoHyphens/>
                        <w:autoSpaceDE w:val="0"/>
                        <w:autoSpaceDN w:val="0"/>
                        <w:adjustRightInd w:val="0"/>
                        <w:textAlignment w:val="center"/>
                        <w:rPr>
                          <w:rFonts w:ascii="HelveticaNeueLTStd-Lt" w:hAnsi="HelveticaNeueLTStd-Lt" w:cs="HelveticaNeueLTStd-Lt"/>
                          <w:color w:val="009FE3"/>
                          <w:sz w:val="72"/>
                          <w:szCs w:val="72"/>
                          <w:lang w:val="en-GB"/>
                        </w:rPr>
                      </w:pPr>
                      <w:r w:rsidRPr="00507B0D">
                        <w:rPr>
                          <w:rFonts w:ascii="HelveticaNeueLTStd-Lt" w:hAnsi="HelveticaNeueLTStd-Lt" w:cs="HelveticaNeueLTStd-Lt"/>
                          <w:color w:val="009FE3"/>
                          <w:sz w:val="72"/>
                          <w:szCs w:val="72"/>
                          <w:lang w:val="en-GB"/>
                        </w:rPr>
                        <w:t xml:space="preserve">Fees and Charges </w:t>
                      </w:r>
                    </w:p>
                    <w:p w:rsidR="00DE0D26" w:rsidRPr="00507B0D" w:rsidRDefault="00DE0D26" w:rsidP="005214EA">
                      <w:pPr>
                        <w:widowControl w:val="0"/>
                        <w:suppressAutoHyphens/>
                        <w:autoSpaceDE w:val="0"/>
                        <w:autoSpaceDN w:val="0"/>
                        <w:adjustRightInd w:val="0"/>
                        <w:textAlignment w:val="center"/>
                        <w:rPr>
                          <w:rFonts w:ascii="HelveticaNeueLTStd-Lt" w:hAnsi="HelveticaNeueLTStd-Lt" w:cs="HelveticaNeueLTStd-Lt"/>
                          <w:color w:val="009FE3"/>
                          <w:sz w:val="72"/>
                          <w:szCs w:val="72"/>
                          <w:lang w:val="en-GB"/>
                        </w:rPr>
                      </w:pPr>
                      <w:r w:rsidRPr="00507B0D">
                        <w:rPr>
                          <w:rFonts w:ascii="HelveticaNeueLTStd-Lt" w:hAnsi="HelveticaNeueLTStd-Lt" w:cs="HelveticaNeueLTStd-Lt"/>
                          <w:color w:val="009FE3"/>
                          <w:sz w:val="72"/>
                          <w:szCs w:val="72"/>
                          <w:lang w:val="en-GB"/>
                        </w:rPr>
                        <w:t>202</w:t>
                      </w:r>
                      <w:r>
                        <w:rPr>
                          <w:rFonts w:ascii="HelveticaNeueLTStd-Lt" w:hAnsi="HelveticaNeueLTStd-Lt" w:cs="HelveticaNeueLTStd-Lt"/>
                          <w:color w:val="009FE3"/>
                          <w:sz w:val="72"/>
                          <w:szCs w:val="72"/>
                          <w:lang w:val="en-GB"/>
                        </w:rPr>
                        <w:t>3</w:t>
                      </w:r>
                      <w:r w:rsidRPr="00507B0D">
                        <w:rPr>
                          <w:rFonts w:ascii="HelveticaNeueLTStd-Lt" w:hAnsi="HelveticaNeueLTStd-Lt" w:cs="HelveticaNeueLTStd-Lt"/>
                          <w:color w:val="009FE3"/>
                          <w:sz w:val="72"/>
                          <w:szCs w:val="72"/>
                          <w:lang w:val="en-GB"/>
                        </w:rPr>
                        <w:t>/2</w:t>
                      </w:r>
                      <w:r>
                        <w:rPr>
                          <w:rFonts w:ascii="HelveticaNeueLTStd-Lt" w:hAnsi="HelveticaNeueLTStd-Lt" w:cs="HelveticaNeueLTStd-Lt"/>
                          <w:color w:val="009FE3"/>
                          <w:sz w:val="72"/>
                          <w:szCs w:val="72"/>
                          <w:lang w:val="en-GB"/>
                        </w:rPr>
                        <w:t>4</w:t>
                      </w:r>
                    </w:p>
                    <w:p w:rsidR="00DE0D26" w:rsidRPr="00612011" w:rsidRDefault="00DE0D26" w:rsidP="005214EA">
                      <w:pPr>
                        <w:pStyle w:val="Heading5"/>
                        <w:spacing w:before="100"/>
                        <w:rPr>
                          <w:rFonts w:ascii="Arial" w:hAnsi="Arial" w:cs="Arial"/>
                          <w:color w:val="404040" w:themeColor="text1" w:themeTint="BF"/>
                          <w:sz w:val="28"/>
                          <w:szCs w:val="28"/>
                          <w:highlight w:val="yellow"/>
                        </w:rPr>
                      </w:pPr>
                    </w:p>
                    <w:p w:rsidR="00DE0D26" w:rsidRDefault="00DE0D26" w:rsidP="005214EA">
                      <w:pPr>
                        <w:pStyle w:val="Heading5"/>
                        <w:spacing w:before="100"/>
                        <w:rPr>
                          <w:rFonts w:ascii="Arial" w:hAnsi="Arial" w:cs="Arial"/>
                          <w:color w:val="404040" w:themeColor="text1" w:themeTint="BF"/>
                          <w:sz w:val="28"/>
                          <w:szCs w:val="28"/>
                        </w:rPr>
                      </w:pPr>
                      <w:r>
                        <w:rPr>
                          <w:rFonts w:ascii="Arial" w:hAnsi="Arial" w:cs="Arial"/>
                          <w:color w:val="404040" w:themeColor="text1" w:themeTint="BF"/>
                          <w:sz w:val="28"/>
                          <w:szCs w:val="28"/>
                        </w:rPr>
                        <w:t>26 April 2023</w:t>
                      </w:r>
                    </w:p>
                    <w:p w:rsidR="00DE0D26" w:rsidRPr="002E5C24" w:rsidRDefault="00DE0D26" w:rsidP="005214EA">
                      <w:pPr>
                        <w:widowControl w:val="0"/>
                        <w:suppressAutoHyphens/>
                        <w:autoSpaceDE w:val="0"/>
                        <w:autoSpaceDN w:val="0"/>
                        <w:adjustRightInd w:val="0"/>
                        <w:textAlignment w:val="center"/>
                        <w:rPr>
                          <w:rFonts w:ascii="HelveticaNeueLTStd-Lt" w:hAnsi="HelveticaNeueLTStd-Lt" w:cs="HelveticaNeueLTStd-Lt"/>
                          <w:color w:val="0092D2"/>
                          <w:sz w:val="81"/>
                          <w:szCs w:val="81"/>
                          <w:lang w:val="en-GB"/>
                        </w:rPr>
                      </w:pPr>
                    </w:p>
                    <w:p w:rsidR="00DE0D26" w:rsidRDefault="00DE0D26" w:rsidP="005214EA"/>
                    <w:p w:rsidR="00DE0D26" w:rsidRDefault="00DE0D26" w:rsidP="005214EA">
                      <w:pPr>
                        <w:pStyle w:val="Footer"/>
                        <w:ind w:right="-1056"/>
                        <w:rPr>
                          <w:rFonts w:ascii="Calibri" w:hAnsi="Calibri" w:cs="Calibri"/>
                          <w:color w:val="404040" w:themeColor="text1" w:themeTint="BF"/>
                        </w:rPr>
                      </w:pPr>
                    </w:p>
                    <w:p w:rsidR="00DE0D26" w:rsidRDefault="00DE0D26" w:rsidP="005214EA">
                      <w:pPr>
                        <w:pStyle w:val="Footer"/>
                        <w:ind w:right="-1056"/>
                        <w:rPr>
                          <w:rFonts w:ascii="Calibri" w:hAnsi="Calibri" w:cs="Calibri"/>
                          <w:color w:val="404040" w:themeColor="text1" w:themeTint="BF"/>
                        </w:rPr>
                      </w:pPr>
                    </w:p>
                    <w:p w:rsidR="00DE0D26" w:rsidRDefault="00DE0D26" w:rsidP="005214EA">
                      <w:pPr>
                        <w:pStyle w:val="Footer"/>
                        <w:ind w:right="-1056"/>
                        <w:rPr>
                          <w:rFonts w:ascii="Calibri" w:hAnsi="Calibri" w:cs="Calibri"/>
                          <w:color w:val="404040" w:themeColor="text1" w:themeTint="BF"/>
                        </w:rPr>
                      </w:pPr>
                      <w:r>
                        <w:rPr>
                          <w:rFonts w:ascii="Calibri" w:hAnsi="Calibri" w:cs="Calibri"/>
                          <w:color w:val="404040" w:themeColor="text1" w:themeTint="BF"/>
                        </w:rPr>
                        <w:t>Document Number: A3942953</w:t>
                      </w:r>
                    </w:p>
                    <w:p w:rsidR="00DE0D26" w:rsidRPr="008C3E8D" w:rsidRDefault="00DE0D26" w:rsidP="005214EA">
                      <w:pPr>
                        <w:pStyle w:val="Footer"/>
                        <w:ind w:right="-1056"/>
                        <w:rPr>
                          <w:rFonts w:ascii="Calibri" w:hAnsi="Calibri" w:cs="Calibri"/>
                          <w:color w:val="404040" w:themeColor="text1" w:themeTint="BF"/>
                        </w:rPr>
                      </w:pPr>
                      <w:r>
                        <w:rPr>
                          <w:rFonts w:ascii="Calibri" w:hAnsi="Calibri" w:cs="Calibri"/>
                          <w:color w:val="404040" w:themeColor="text1" w:themeTint="BF"/>
                        </w:rPr>
                        <w:t>Version: 1</w:t>
                      </w:r>
                    </w:p>
                    <w:p w:rsidR="00DE0D26" w:rsidRPr="005214EA" w:rsidRDefault="00DE0D26" w:rsidP="005214EA"/>
                  </w:txbxContent>
                </v:textbox>
                <w10:wrap type="tight" anchorx="page" anchory="page"/>
              </v:shape>
            </w:pict>
          </mc:Fallback>
        </mc:AlternateContent>
      </w:r>
    </w:p>
    <w:sdt>
      <w:sdtPr>
        <w:rPr>
          <w:rFonts w:asciiTheme="minorHAnsi" w:eastAsiaTheme="minorHAnsi" w:hAnsiTheme="minorHAnsi" w:cstheme="minorBidi"/>
          <w:b w:val="0"/>
          <w:bCs w:val="0"/>
          <w:sz w:val="22"/>
          <w:szCs w:val="22"/>
          <w:lang w:val="en-AU" w:eastAsia="en-US"/>
        </w:rPr>
        <w:id w:val="1633907639"/>
        <w:docPartObj>
          <w:docPartGallery w:val="Table of Contents"/>
          <w:docPartUnique/>
        </w:docPartObj>
      </w:sdtPr>
      <w:sdtEndPr>
        <w:rPr>
          <w:rFonts w:ascii="Arial" w:hAnsi="Arial"/>
          <w:noProof/>
          <w:sz w:val="20"/>
          <w:highlight w:val="yellow"/>
        </w:rPr>
      </w:sdtEndPr>
      <w:sdtContent>
        <w:p w14:paraId="133D98A8" w14:textId="77777777" w:rsidR="00881CF4" w:rsidRPr="005B1ABB" w:rsidRDefault="00701C8F" w:rsidP="00881CF4">
          <w:pPr>
            <w:pStyle w:val="TOCHeading"/>
            <w:rPr>
              <w:rFonts w:ascii="Arial" w:hAnsi="Arial" w:cs="Arial"/>
              <w:sz w:val="44"/>
              <w:szCs w:val="44"/>
            </w:rPr>
          </w:pPr>
          <w:r w:rsidRPr="005B1ABB">
            <w:rPr>
              <w:rFonts w:ascii="Arial" w:hAnsi="Arial" w:cs="Arial"/>
              <w:sz w:val="44"/>
              <w:szCs w:val="44"/>
            </w:rPr>
            <w:t>C</w:t>
          </w:r>
          <w:r w:rsidR="00881CF4" w:rsidRPr="005B1ABB">
            <w:rPr>
              <w:rFonts w:ascii="Arial" w:hAnsi="Arial" w:cs="Arial"/>
              <w:sz w:val="44"/>
              <w:szCs w:val="44"/>
            </w:rPr>
            <w:t>ontent</w:t>
          </w:r>
          <w:r w:rsidRPr="005B1ABB">
            <w:rPr>
              <w:rFonts w:ascii="Arial" w:hAnsi="Arial" w:cs="Arial"/>
              <w:sz w:val="44"/>
              <w:szCs w:val="44"/>
            </w:rPr>
            <w:t>s</w:t>
          </w:r>
          <w:r w:rsidR="00881CF4" w:rsidRPr="005B1ABB">
            <w:rPr>
              <w:rFonts w:ascii="Arial" w:hAnsi="Arial" w:cs="Arial"/>
              <w:sz w:val="44"/>
              <w:szCs w:val="44"/>
            </w:rPr>
            <w:t xml:space="preserve"> page</w:t>
          </w:r>
        </w:p>
        <w:p w14:paraId="3D163102" w14:textId="77777777" w:rsidR="00B143B1" w:rsidRDefault="00881CF4">
          <w:pPr>
            <w:pStyle w:val="TOC1"/>
            <w:tabs>
              <w:tab w:val="right" w:leader="dot" w:pos="8296"/>
            </w:tabs>
            <w:rPr>
              <w:rFonts w:asciiTheme="minorHAnsi" w:eastAsiaTheme="minorEastAsia" w:hAnsiTheme="minorHAnsi"/>
              <w:noProof/>
              <w:sz w:val="22"/>
              <w:lang w:eastAsia="en-AU"/>
            </w:rPr>
          </w:pPr>
          <w:r w:rsidRPr="005B1ABB">
            <w:fldChar w:fldCharType="begin"/>
          </w:r>
          <w:r w:rsidRPr="005B1ABB">
            <w:instrText xml:space="preserve"> TOC \o "1-3" \h \z \u </w:instrText>
          </w:r>
          <w:r w:rsidRPr="005B1ABB">
            <w:fldChar w:fldCharType="separate"/>
          </w:r>
          <w:hyperlink w:anchor="_Toc134012413" w:history="1">
            <w:r w:rsidR="00B143B1" w:rsidRPr="00C84498">
              <w:rPr>
                <w:rStyle w:val="Hyperlink"/>
                <w:rFonts w:cs="Arial"/>
                <w:noProof/>
              </w:rPr>
              <w:t>Executive Summary</w:t>
            </w:r>
            <w:r w:rsidR="00B143B1">
              <w:rPr>
                <w:noProof/>
                <w:webHidden/>
              </w:rPr>
              <w:tab/>
            </w:r>
            <w:r w:rsidR="00B143B1">
              <w:rPr>
                <w:noProof/>
                <w:webHidden/>
              </w:rPr>
              <w:fldChar w:fldCharType="begin"/>
            </w:r>
            <w:r w:rsidR="00B143B1">
              <w:rPr>
                <w:noProof/>
                <w:webHidden/>
              </w:rPr>
              <w:instrText xml:space="preserve"> PAGEREF _Toc134012413 \h </w:instrText>
            </w:r>
            <w:r w:rsidR="00B143B1">
              <w:rPr>
                <w:noProof/>
                <w:webHidden/>
              </w:rPr>
            </w:r>
            <w:r w:rsidR="00B143B1">
              <w:rPr>
                <w:noProof/>
                <w:webHidden/>
              </w:rPr>
              <w:fldChar w:fldCharType="separate"/>
            </w:r>
            <w:r w:rsidR="003632B8">
              <w:rPr>
                <w:noProof/>
                <w:webHidden/>
              </w:rPr>
              <w:t>3</w:t>
            </w:r>
            <w:r w:rsidR="00B143B1">
              <w:rPr>
                <w:noProof/>
                <w:webHidden/>
              </w:rPr>
              <w:fldChar w:fldCharType="end"/>
            </w:r>
          </w:hyperlink>
        </w:p>
        <w:p w14:paraId="1762FA9D"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14" w:history="1">
            <w:r w:rsidR="00B143B1" w:rsidRPr="00C84498">
              <w:rPr>
                <w:rStyle w:val="Hyperlink"/>
                <w:rFonts w:cs="Arial"/>
                <w:noProof/>
              </w:rPr>
              <w:t>1.1.</w:t>
            </w:r>
            <w:r w:rsidR="00B143B1">
              <w:rPr>
                <w:rFonts w:asciiTheme="minorHAnsi" w:eastAsiaTheme="minorEastAsia" w:hAnsiTheme="minorHAnsi"/>
                <w:noProof/>
                <w:sz w:val="22"/>
                <w:lang w:eastAsia="en-AU"/>
              </w:rPr>
              <w:tab/>
            </w:r>
            <w:r w:rsidR="00B143B1" w:rsidRPr="00C84498">
              <w:rPr>
                <w:rStyle w:val="Hyperlink"/>
                <w:rFonts w:cs="Arial"/>
                <w:noProof/>
              </w:rPr>
              <w:t>Purpose of this application</w:t>
            </w:r>
            <w:r w:rsidR="00B143B1">
              <w:rPr>
                <w:noProof/>
                <w:webHidden/>
              </w:rPr>
              <w:tab/>
            </w:r>
            <w:r w:rsidR="00B143B1">
              <w:rPr>
                <w:noProof/>
                <w:webHidden/>
              </w:rPr>
              <w:fldChar w:fldCharType="begin"/>
            </w:r>
            <w:r w:rsidR="00B143B1">
              <w:rPr>
                <w:noProof/>
                <w:webHidden/>
              </w:rPr>
              <w:instrText xml:space="preserve"> PAGEREF _Toc134012414 \h </w:instrText>
            </w:r>
            <w:r w:rsidR="00B143B1">
              <w:rPr>
                <w:noProof/>
                <w:webHidden/>
              </w:rPr>
            </w:r>
            <w:r w:rsidR="00B143B1">
              <w:rPr>
                <w:noProof/>
                <w:webHidden/>
              </w:rPr>
              <w:fldChar w:fldCharType="separate"/>
            </w:r>
            <w:r w:rsidR="003632B8">
              <w:rPr>
                <w:noProof/>
                <w:webHidden/>
              </w:rPr>
              <w:t>4</w:t>
            </w:r>
            <w:r w:rsidR="00B143B1">
              <w:rPr>
                <w:noProof/>
                <w:webHidden/>
              </w:rPr>
              <w:fldChar w:fldCharType="end"/>
            </w:r>
          </w:hyperlink>
        </w:p>
        <w:p w14:paraId="4B350731"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15" w:history="1">
            <w:r w:rsidR="00B143B1" w:rsidRPr="00C84498">
              <w:rPr>
                <w:rStyle w:val="Hyperlink"/>
                <w:rFonts w:cs="Arial"/>
                <w:noProof/>
              </w:rPr>
              <w:t>1.2.</w:t>
            </w:r>
            <w:r w:rsidR="00B143B1">
              <w:rPr>
                <w:rFonts w:asciiTheme="minorHAnsi" w:eastAsiaTheme="minorEastAsia" w:hAnsiTheme="minorHAnsi"/>
                <w:noProof/>
                <w:sz w:val="22"/>
                <w:lang w:eastAsia="en-AU"/>
              </w:rPr>
              <w:tab/>
            </w:r>
            <w:r w:rsidR="00B143B1" w:rsidRPr="00C84498">
              <w:rPr>
                <w:rStyle w:val="Hyperlink"/>
                <w:rFonts w:cs="Arial"/>
                <w:noProof/>
              </w:rPr>
              <w:t>Structure of the Application</w:t>
            </w:r>
            <w:r w:rsidR="00B143B1">
              <w:rPr>
                <w:noProof/>
                <w:webHidden/>
              </w:rPr>
              <w:tab/>
            </w:r>
            <w:r w:rsidR="00B143B1">
              <w:rPr>
                <w:noProof/>
                <w:webHidden/>
              </w:rPr>
              <w:fldChar w:fldCharType="begin"/>
            </w:r>
            <w:r w:rsidR="00B143B1">
              <w:rPr>
                <w:noProof/>
                <w:webHidden/>
              </w:rPr>
              <w:instrText xml:space="preserve"> PAGEREF _Toc134012415 \h </w:instrText>
            </w:r>
            <w:r w:rsidR="00B143B1">
              <w:rPr>
                <w:noProof/>
                <w:webHidden/>
              </w:rPr>
            </w:r>
            <w:r w:rsidR="00B143B1">
              <w:rPr>
                <w:noProof/>
                <w:webHidden/>
              </w:rPr>
              <w:fldChar w:fldCharType="separate"/>
            </w:r>
            <w:r w:rsidR="003632B8">
              <w:rPr>
                <w:noProof/>
                <w:webHidden/>
              </w:rPr>
              <w:t>4</w:t>
            </w:r>
            <w:r w:rsidR="00B143B1">
              <w:rPr>
                <w:noProof/>
                <w:webHidden/>
              </w:rPr>
              <w:fldChar w:fldCharType="end"/>
            </w:r>
          </w:hyperlink>
        </w:p>
        <w:p w14:paraId="4C61B872" w14:textId="77777777" w:rsidR="00B143B1" w:rsidRDefault="00000000">
          <w:pPr>
            <w:pStyle w:val="TOC1"/>
            <w:tabs>
              <w:tab w:val="left" w:pos="440"/>
              <w:tab w:val="right" w:leader="dot" w:pos="8296"/>
            </w:tabs>
            <w:rPr>
              <w:rFonts w:asciiTheme="minorHAnsi" w:eastAsiaTheme="minorEastAsia" w:hAnsiTheme="minorHAnsi"/>
              <w:noProof/>
              <w:sz w:val="22"/>
              <w:lang w:eastAsia="en-AU"/>
            </w:rPr>
          </w:pPr>
          <w:hyperlink w:anchor="_Toc134012416" w:history="1">
            <w:r w:rsidR="00B143B1" w:rsidRPr="00C84498">
              <w:rPr>
                <w:rStyle w:val="Hyperlink"/>
                <w:rFonts w:cs="Arial"/>
                <w:noProof/>
              </w:rPr>
              <w:t>2.</w:t>
            </w:r>
            <w:r w:rsidR="00B143B1">
              <w:rPr>
                <w:rFonts w:asciiTheme="minorHAnsi" w:eastAsiaTheme="minorEastAsia" w:hAnsiTheme="minorHAnsi"/>
                <w:noProof/>
                <w:sz w:val="22"/>
                <w:lang w:eastAsia="en-AU"/>
              </w:rPr>
              <w:tab/>
            </w:r>
            <w:r w:rsidR="00B143B1" w:rsidRPr="00C84498">
              <w:rPr>
                <w:rStyle w:val="Hyperlink"/>
                <w:rFonts w:cs="Arial"/>
                <w:noProof/>
              </w:rPr>
              <w:t>Introduction</w:t>
            </w:r>
            <w:r w:rsidR="00B143B1">
              <w:rPr>
                <w:noProof/>
                <w:webHidden/>
              </w:rPr>
              <w:tab/>
            </w:r>
            <w:r w:rsidR="00B143B1">
              <w:rPr>
                <w:noProof/>
                <w:webHidden/>
              </w:rPr>
              <w:fldChar w:fldCharType="begin"/>
            </w:r>
            <w:r w:rsidR="00B143B1">
              <w:rPr>
                <w:noProof/>
                <w:webHidden/>
              </w:rPr>
              <w:instrText xml:space="preserve"> PAGEREF _Toc134012416 \h </w:instrText>
            </w:r>
            <w:r w:rsidR="00B143B1">
              <w:rPr>
                <w:noProof/>
                <w:webHidden/>
              </w:rPr>
            </w:r>
            <w:r w:rsidR="00B143B1">
              <w:rPr>
                <w:noProof/>
                <w:webHidden/>
              </w:rPr>
              <w:fldChar w:fldCharType="separate"/>
            </w:r>
            <w:r w:rsidR="003632B8">
              <w:rPr>
                <w:noProof/>
                <w:webHidden/>
              </w:rPr>
              <w:t>5</w:t>
            </w:r>
            <w:r w:rsidR="00B143B1">
              <w:rPr>
                <w:noProof/>
                <w:webHidden/>
              </w:rPr>
              <w:fldChar w:fldCharType="end"/>
            </w:r>
          </w:hyperlink>
        </w:p>
        <w:p w14:paraId="5BEDB87E"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17" w:history="1">
            <w:r w:rsidR="00B143B1" w:rsidRPr="00C84498">
              <w:rPr>
                <w:rStyle w:val="Hyperlink"/>
                <w:rFonts w:cs="Arial"/>
                <w:noProof/>
              </w:rPr>
              <w:t>2.1.</w:t>
            </w:r>
            <w:r w:rsidR="00B143B1">
              <w:rPr>
                <w:rFonts w:asciiTheme="minorHAnsi" w:eastAsiaTheme="minorEastAsia" w:hAnsiTheme="minorHAnsi"/>
                <w:noProof/>
                <w:sz w:val="22"/>
                <w:lang w:eastAsia="en-AU"/>
              </w:rPr>
              <w:tab/>
            </w:r>
            <w:r w:rsidR="00B143B1" w:rsidRPr="00C84498">
              <w:rPr>
                <w:rStyle w:val="Hyperlink"/>
                <w:rFonts w:cs="Arial"/>
                <w:noProof/>
              </w:rPr>
              <w:t>GMW’s 2020 Price Review</w:t>
            </w:r>
            <w:r w:rsidR="00B143B1">
              <w:rPr>
                <w:noProof/>
                <w:webHidden/>
              </w:rPr>
              <w:tab/>
            </w:r>
            <w:r w:rsidR="00B143B1">
              <w:rPr>
                <w:noProof/>
                <w:webHidden/>
              </w:rPr>
              <w:fldChar w:fldCharType="begin"/>
            </w:r>
            <w:r w:rsidR="00B143B1">
              <w:rPr>
                <w:noProof/>
                <w:webHidden/>
              </w:rPr>
              <w:instrText xml:space="preserve"> PAGEREF _Toc134012417 \h </w:instrText>
            </w:r>
            <w:r w:rsidR="00B143B1">
              <w:rPr>
                <w:noProof/>
                <w:webHidden/>
              </w:rPr>
            </w:r>
            <w:r w:rsidR="00B143B1">
              <w:rPr>
                <w:noProof/>
                <w:webHidden/>
              </w:rPr>
              <w:fldChar w:fldCharType="separate"/>
            </w:r>
            <w:r w:rsidR="003632B8">
              <w:rPr>
                <w:noProof/>
                <w:webHidden/>
              </w:rPr>
              <w:t>5</w:t>
            </w:r>
            <w:r w:rsidR="00B143B1">
              <w:rPr>
                <w:noProof/>
                <w:webHidden/>
              </w:rPr>
              <w:fldChar w:fldCharType="end"/>
            </w:r>
          </w:hyperlink>
        </w:p>
        <w:p w14:paraId="49CB93C3"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18" w:history="1">
            <w:r w:rsidR="00B143B1" w:rsidRPr="00C84498">
              <w:rPr>
                <w:rStyle w:val="Hyperlink"/>
                <w:rFonts w:cs="Arial"/>
                <w:noProof/>
              </w:rPr>
              <w:t>2.2.</w:t>
            </w:r>
            <w:r w:rsidR="00B143B1">
              <w:rPr>
                <w:rFonts w:asciiTheme="minorHAnsi" w:eastAsiaTheme="minorEastAsia" w:hAnsiTheme="minorHAnsi"/>
                <w:noProof/>
                <w:sz w:val="22"/>
                <w:lang w:eastAsia="en-AU"/>
              </w:rPr>
              <w:tab/>
            </w:r>
            <w:r w:rsidR="00B143B1" w:rsidRPr="00C84498">
              <w:rPr>
                <w:rStyle w:val="Hyperlink"/>
                <w:rFonts w:cs="Arial"/>
                <w:noProof/>
              </w:rPr>
              <w:t>Final Decision and Determination 2020</w:t>
            </w:r>
            <w:r w:rsidR="00B143B1">
              <w:rPr>
                <w:noProof/>
                <w:webHidden/>
              </w:rPr>
              <w:tab/>
            </w:r>
            <w:r w:rsidR="00B143B1">
              <w:rPr>
                <w:noProof/>
                <w:webHidden/>
              </w:rPr>
              <w:fldChar w:fldCharType="begin"/>
            </w:r>
            <w:r w:rsidR="00B143B1">
              <w:rPr>
                <w:noProof/>
                <w:webHidden/>
              </w:rPr>
              <w:instrText xml:space="preserve"> PAGEREF _Toc134012418 \h </w:instrText>
            </w:r>
            <w:r w:rsidR="00B143B1">
              <w:rPr>
                <w:noProof/>
                <w:webHidden/>
              </w:rPr>
            </w:r>
            <w:r w:rsidR="00B143B1">
              <w:rPr>
                <w:noProof/>
                <w:webHidden/>
              </w:rPr>
              <w:fldChar w:fldCharType="separate"/>
            </w:r>
            <w:r w:rsidR="003632B8">
              <w:rPr>
                <w:noProof/>
                <w:webHidden/>
              </w:rPr>
              <w:t>5</w:t>
            </w:r>
            <w:r w:rsidR="00B143B1">
              <w:rPr>
                <w:noProof/>
                <w:webHidden/>
              </w:rPr>
              <w:fldChar w:fldCharType="end"/>
            </w:r>
          </w:hyperlink>
        </w:p>
        <w:p w14:paraId="21F07F73" w14:textId="77777777" w:rsidR="00B143B1" w:rsidRDefault="00000000">
          <w:pPr>
            <w:pStyle w:val="TOC3"/>
            <w:rPr>
              <w:rFonts w:asciiTheme="minorHAnsi" w:eastAsiaTheme="minorEastAsia" w:hAnsiTheme="minorHAnsi"/>
              <w:noProof/>
              <w:sz w:val="22"/>
              <w:lang w:eastAsia="en-AU"/>
            </w:rPr>
          </w:pPr>
          <w:hyperlink w:anchor="_Toc134012419" w:history="1">
            <w:r w:rsidR="00B143B1" w:rsidRPr="00C84498">
              <w:rPr>
                <w:rStyle w:val="Hyperlink"/>
                <w:rFonts w:cs="Arial"/>
                <w:noProof/>
              </w:rPr>
              <w:t>2.2.1.</w:t>
            </w:r>
            <w:r w:rsidR="00B143B1">
              <w:rPr>
                <w:rFonts w:asciiTheme="minorHAnsi" w:eastAsiaTheme="minorEastAsia" w:hAnsiTheme="minorHAnsi"/>
                <w:noProof/>
                <w:sz w:val="22"/>
                <w:lang w:eastAsia="en-AU"/>
              </w:rPr>
              <w:tab/>
            </w:r>
            <w:r w:rsidR="00B143B1" w:rsidRPr="00C84498">
              <w:rPr>
                <w:rStyle w:val="Hyperlink"/>
                <w:rFonts w:cs="Arial"/>
                <w:noProof/>
              </w:rPr>
              <w:t>Service Standards</w:t>
            </w:r>
            <w:r w:rsidR="00B143B1">
              <w:rPr>
                <w:noProof/>
                <w:webHidden/>
              </w:rPr>
              <w:tab/>
            </w:r>
            <w:r w:rsidR="00B143B1">
              <w:rPr>
                <w:noProof/>
                <w:webHidden/>
              </w:rPr>
              <w:fldChar w:fldCharType="begin"/>
            </w:r>
            <w:r w:rsidR="00B143B1">
              <w:rPr>
                <w:noProof/>
                <w:webHidden/>
              </w:rPr>
              <w:instrText xml:space="preserve"> PAGEREF _Toc134012419 \h </w:instrText>
            </w:r>
            <w:r w:rsidR="00B143B1">
              <w:rPr>
                <w:noProof/>
                <w:webHidden/>
              </w:rPr>
            </w:r>
            <w:r w:rsidR="00B143B1">
              <w:rPr>
                <w:noProof/>
                <w:webHidden/>
              </w:rPr>
              <w:fldChar w:fldCharType="separate"/>
            </w:r>
            <w:r w:rsidR="003632B8">
              <w:rPr>
                <w:noProof/>
                <w:webHidden/>
              </w:rPr>
              <w:t>5</w:t>
            </w:r>
            <w:r w:rsidR="00B143B1">
              <w:rPr>
                <w:noProof/>
                <w:webHidden/>
              </w:rPr>
              <w:fldChar w:fldCharType="end"/>
            </w:r>
          </w:hyperlink>
        </w:p>
        <w:p w14:paraId="22562FED" w14:textId="77777777" w:rsidR="00B143B1" w:rsidRDefault="00000000">
          <w:pPr>
            <w:pStyle w:val="TOC3"/>
            <w:rPr>
              <w:rFonts w:asciiTheme="minorHAnsi" w:eastAsiaTheme="minorEastAsia" w:hAnsiTheme="minorHAnsi"/>
              <w:noProof/>
              <w:sz w:val="22"/>
              <w:lang w:eastAsia="en-AU"/>
            </w:rPr>
          </w:pPr>
          <w:hyperlink w:anchor="_Toc134012420" w:history="1">
            <w:r w:rsidR="00B143B1" w:rsidRPr="00C84498">
              <w:rPr>
                <w:rStyle w:val="Hyperlink"/>
                <w:rFonts w:cs="Arial"/>
                <w:noProof/>
              </w:rPr>
              <w:t>2.2.2.</w:t>
            </w:r>
            <w:r w:rsidR="00B143B1">
              <w:rPr>
                <w:rFonts w:asciiTheme="minorHAnsi" w:eastAsiaTheme="minorEastAsia" w:hAnsiTheme="minorHAnsi"/>
                <w:noProof/>
                <w:sz w:val="22"/>
                <w:lang w:eastAsia="en-AU"/>
              </w:rPr>
              <w:tab/>
            </w:r>
            <w:r w:rsidR="00B143B1" w:rsidRPr="00C84498">
              <w:rPr>
                <w:rStyle w:val="Hyperlink"/>
                <w:rFonts w:cs="Arial"/>
                <w:noProof/>
              </w:rPr>
              <w:t>Revenue Requirement</w:t>
            </w:r>
            <w:r w:rsidR="00B143B1">
              <w:rPr>
                <w:noProof/>
                <w:webHidden/>
              </w:rPr>
              <w:tab/>
            </w:r>
            <w:r w:rsidR="00B143B1">
              <w:rPr>
                <w:noProof/>
                <w:webHidden/>
              </w:rPr>
              <w:fldChar w:fldCharType="begin"/>
            </w:r>
            <w:r w:rsidR="00B143B1">
              <w:rPr>
                <w:noProof/>
                <w:webHidden/>
              </w:rPr>
              <w:instrText xml:space="preserve"> PAGEREF _Toc134012420 \h </w:instrText>
            </w:r>
            <w:r w:rsidR="00B143B1">
              <w:rPr>
                <w:noProof/>
                <w:webHidden/>
              </w:rPr>
            </w:r>
            <w:r w:rsidR="00B143B1">
              <w:rPr>
                <w:noProof/>
                <w:webHidden/>
              </w:rPr>
              <w:fldChar w:fldCharType="separate"/>
            </w:r>
            <w:r w:rsidR="003632B8">
              <w:rPr>
                <w:noProof/>
                <w:webHidden/>
              </w:rPr>
              <w:t>6</w:t>
            </w:r>
            <w:r w:rsidR="00B143B1">
              <w:rPr>
                <w:noProof/>
                <w:webHidden/>
              </w:rPr>
              <w:fldChar w:fldCharType="end"/>
            </w:r>
          </w:hyperlink>
        </w:p>
        <w:p w14:paraId="5F796612" w14:textId="77777777" w:rsidR="00B143B1" w:rsidRDefault="00000000">
          <w:pPr>
            <w:pStyle w:val="TOC3"/>
            <w:rPr>
              <w:rFonts w:asciiTheme="minorHAnsi" w:eastAsiaTheme="minorEastAsia" w:hAnsiTheme="minorHAnsi"/>
              <w:noProof/>
              <w:sz w:val="22"/>
              <w:lang w:eastAsia="en-AU"/>
            </w:rPr>
          </w:pPr>
          <w:hyperlink w:anchor="_Toc134012421" w:history="1">
            <w:r w:rsidR="00B143B1" w:rsidRPr="00C84498">
              <w:rPr>
                <w:rStyle w:val="Hyperlink"/>
                <w:rFonts w:cs="Arial"/>
                <w:noProof/>
              </w:rPr>
              <w:t>2.2.3.</w:t>
            </w:r>
            <w:r w:rsidR="00B143B1">
              <w:rPr>
                <w:rFonts w:asciiTheme="minorHAnsi" w:eastAsiaTheme="minorEastAsia" w:hAnsiTheme="minorHAnsi"/>
                <w:noProof/>
                <w:sz w:val="22"/>
                <w:lang w:eastAsia="en-AU"/>
              </w:rPr>
              <w:tab/>
            </w:r>
            <w:r w:rsidR="00B143B1" w:rsidRPr="00C84498">
              <w:rPr>
                <w:rStyle w:val="Hyperlink"/>
                <w:rFonts w:cs="Arial"/>
                <w:noProof/>
              </w:rPr>
              <w:t>Operating Expenditure</w:t>
            </w:r>
            <w:r w:rsidR="00B143B1">
              <w:rPr>
                <w:noProof/>
                <w:webHidden/>
              </w:rPr>
              <w:tab/>
            </w:r>
            <w:r w:rsidR="00B143B1">
              <w:rPr>
                <w:noProof/>
                <w:webHidden/>
              </w:rPr>
              <w:fldChar w:fldCharType="begin"/>
            </w:r>
            <w:r w:rsidR="00B143B1">
              <w:rPr>
                <w:noProof/>
                <w:webHidden/>
              </w:rPr>
              <w:instrText xml:space="preserve"> PAGEREF _Toc134012421 \h </w:instrText>
            </w:r>
            <w:r w:rsidR="00B143B1">
              <w:rPr>
                <w:noProof/>
                <w:webHidden/>
              </w:rPr>
            </w:r>
            <w:r w:rsidR="00B143B1">
              <w:rPr>
                <w:noProof/>
                <w:webHidden/>
              </w:rPr>
              <w:fldChar w:fldCharType="separate"/>
            </w:r>
            <w:r w:rsidR="003632B8">
              <w:rPr>
                <w:noProof/>
                <w:webHidden/>
              </w:rPr>
              <w:t>6</w:t>
            </w:r>
            <w:r w:rsidR="00B143B1">
              <w:rPr>
                <w:noProof/>
                <w:webHidden/>
              </w:rPr>
              <w:fldChar w:fldCharType="end"/>
            </w:r>
          </w:hyperlink>
        </w:p>
        <w:p w14:paraId="4F4DAB9C" w14:textId="77777777" w:rsidR="00B143B1" w:rsidRDefault="00000000">
          <w:pPr>
            <w:pStyle w:val="TOC3"/>
            <w:rPr>
              <w:rFonts w:asciiTheme="minorHAnsi" w:eastAsiaTheme="minorEastAsia" w:hAnsiTheme="minorHAnsi"/>
              <w:noProof/>
              <w:sz w:val="22"/>
              <w:lang w:eastAsia="en-AU"/>
            </w:rPr>
          </w:pPr>
          <w:hyperlink w:anchor="_Toc134012422" w:history="1">
            <w:r w:rsidR="00B143B1" w:rsidRPr="00C84498">
              <w:rPr>
                <w:rStyle w:val="Hyperlink"/>
                <w:rFonts w:cs="Arial"/>
                <w:noProof/>
              </w:rPr>
              <w:t>2.2.4.</w:t>
            </w:r>
            <w:r w:rsidR="00B143B1">
              <w:rPr>
                <w:rFonts w:asciiTheme="minorHAnsi" w:eastAsiaTheme="minorEastAsia" w:hAnsiTheme="minorHAnsi"/>
                <w:noProof/>
                <w:sz w:val="22"/>
                <w:lang w:eastAsia="en-AU"/>
              </w:rPr>
              <w:tab/>
            </w:r>
            <w:r w:rsidR="00B143B1" w:rsidRPr="00C84498">
              <w:rPr>
                <w:rStyle w:val="Hyperlink"/>
                <w:rFonts w:cs="Arial"/>
                <w:noProof/>
              </w:rPr>
              <w:t>Capital Expenditure</w:t>
            </w:r>
            <w:r w:rsidR="00B143B1">
              <w:rPr>
                <w:noProof/>
                <w:webHidden/>
              </w:rPr>
              <w:tab/>
            </w:r>
            <w:r w:rsidR="00B143B1">
              <w:rPr>
                <w:noProof/>
                <w:webHidden/>
              </w:rPr>
              <w:fldChar w:fldCharType="begin"/>
            </w:r>
            <w:r w:rsidR="00B143B1">
              <w:rPr>
                <w:noProof/>
                <w:webHidden/>
              </w:rPr>
              <w:instrText xml:space="preserve"> PAGEREF _Toc134012422 \h </w:instrText>
            </w:r>
            <w:r w:rsidR="00B143B1">
              <w:rPr>
                <w:noProof/>
                <w:webHidden/>
              </w:rPr>
            </w:r>
            <w:r w:rsidR="00B143B1">
              <w:rPr>
                <w:noProof/>
                <w:webHidden/>
              </w:rPr>
              <w:fldChar w:fldCharType="separate"/>
            </w:r>
            <w:r w:rsidR="003632B8">
              <w:rPr>
                <w:noProof/>
                <w:webHidden/>
              </w:rPr>
              <w:t>6</w:t>
            </w:r>
            <w:r w:rsidR="00B143B1">
              <w:rPr>
                <w:noProof/>
                <w:webHidden/>
              </w:rPr>
              <w:fldChar w:fldCharType="end"/>
            </w:r>
          </w:hyperlink>
        </w:p>
        <w:p w14:paraId="71BD6F2A" w14:textId="77777777" w:rsidR="00B143B1" w:rsidRDefault="00000000">
          <w:pPr>
            <w:pStyle w:val="TOC3"/>
            <w:rPr>
              <w:rFonts w:asciiTheme="minorHAnsi" w:eastAsiaTheme="minorEastAsia" w:hAnsiTheme="minorHAnsi"/>
              <w:noProof/>
              <w:sz w:val="22"/>
              <w:lang w:eastAsia="en-AU"/>
            </w:rPr>
          </w:pPr>
          <w:hyperlink w:anchor="_Toc134012423" w:history="1">
            <w:r w:rsidR="00B143B1" w:rsidRPr="00C84498">
              <w:rPr>
                <w:rStyle w:val="Hyperlink"/>
                <w:rFonts w:cs="Arial"/>
                <w:noProof/>
              </w:rPr>
              <w:t>2.2.5.</w:t>
            </w:r>
            <w:r w:rsidR="00B143B1">
              <w:rPr>
                <w:rFonts w:asciiTheme="minorHAnsi" w:eastAsiaTheme="minorEastAsia" w:hAnsiTheme="minorHAnsi"/>
                <w:noProof/>
                <w:sz w:val="22"/>
                <w:lang w:eastAsia="en-AU"/>
              </w:rPr>
              <w:tab/>
            </w:r>
            <w:r w:rsidR="00B143B1" w:rsidRPr="00C84498">
              <w:rPr>
                <w:rStyle w:val="Hyperlink"/>
                <w:rFonts w:cs="Arial"/>
                <w:noProof/>
              </w:rPr>
              <w:t>Tariff Structure</w:t>
            </w:r>
            <w:r w:rsidR="00B143B1">
              <w:rPr>
                <w:noProof/>
                <w:webHidden/>
              </w:rPr>
              <w:tab/>
            </w:r>
            <w:r w:rsidR="00B143B1">
              <w:rPr>
                <w:noProof/>
                <w:webHidden/>
              </w:rPr>
              <w:fldChar w:fldCharType="begin"/>
            </w:r>
            <w:r w:rsidR="00B143B1">
              <w:rPr>
                <w:noProof/>
                <w:webHidden/>
              </w:rPr>
              <w:instrText xml:space="preserve"> PAGEREF _Toc134012423 \h </w:instrText>
            </w:r>
            <w:r w:rsidR="00B143B1">
              <w:rPr>
                <w:noProof/>
                <w:webHidden/>
              </w:rPr>
            </w:r>
            <w:r w:rsidR="00B143B1">
              <w:rPr>
                <w:noProof/>
                <w:webHidden/>
              </w:rPr>
              <w:fldChar w:fldCharType="separate"/>
            </w:r>
            <w:r w:rsidR="003632B8">
              <w:rPr>
                <w:noProof/>
                <w:webHidden/>
              </w:rPr>
              <w:t>6</w:t>
            </w:r>
            <w:r w:rsidR="00B143B1">
              <w:rPr>
                <w:noProof/>
                <w:webHidden/>
              </w:rPr>
              <w:fldChar w:fldCharType="end"/>
            </w:r>
          </w:hyperlink>
        </w:p>
        <w:p w14:paraId="0B5E82E4" w14:textId="77777777" w:rsidR="00B143B1" w:rsidRDefault="00000000">
          <w:pPr>
            <w:pStyle w:val="TOC3"/>
            <w:rPr>
              <w:rFonts w:asciiTheme="minorHAnsi" w:eastAsiaTheme="minorEastAsia" w:hAnsiTheme="minorHAnsi"/>
              <w:noProof/>
              <w:sz w:val="22"/>
              <w:lang w:eastAsia="en-AU"/>
            </w:rPr>
          </w:pPr>
          <w:hyperlink w:anchor="_Toc134012424" w:history="1">
            <w:r w:rsidR="00B143B1" w:rsidRPr="00C84498">
              <w:rPr>
                <w:rStyle w:val="Hyperlink"/>
                <w:rFonts w:eastAsia="Calibri" w:cs="Arial"/>
                <w:noProof/>
              </w:rPr>
              <w:t>2.2.6.</w:t>
            </w:r>
            <w:r w:rsidR="00B143B1">
              <w:rPr>
                <w:rFonts w:asciiTheme="minorHAnsi" w:eastAsiaTheme="minorEastAsia" w:hAnsiTheme="minorHAnsi"/>
                <w:noProof/>
                <w:sz w:val="22"/>
                <w:lang w:eastAsia="en-AU"/>
              </w:rPr>
              <w:tab/>
            </w:r>
            <w:r w:rsidR="00B143B1" w:rsidRPr="00C84498">
              <w:rPr>
                <w:rStyle w:val="Hyperlink"/>
                <w:rFonts w:eastAsia="Calibri" w:cs="Arial"/>
                <w:noProof/>
              </w:rPr>
              <w:t>Actions taken since 2020 Price Review</w:t>
            </w:r>
            <w:r w:rsidR="00B143B1">
              <w:rPr>
                <w:noProof/>
                <w:webHidden/>
              </w:rPr>
              <w:tab/>
            </w:r>
            <w:r w:rsidR="00B143B1">
              <w:rPr>
                <w:noProof/>
                <w:webHidden/>
              </w:rPr>
              <w:fldChar w:fldCharType="begin"/>
            </w:r>
            <w:r w:rsidR="00B143B1">
              <w:rPr>
                <w:noProof/>
                <w:webHidden/>
              </w:rPr>
              <w:instrText xml:space="preserve"> PAGEREF _Toc134012424 \h </w:instrText>
            </w:r>
            <w:r w:rsidR="00B143B1">
              <w:rPr>
                <w:noProof/>
                <w:webHidden/>
              </w:rPr>
            </w:r>
            <w:r w:rsidR="00B143B1">
              <w:rPr>
                <w:noProof/>
                <w:webHidden/>
              </w:rPr>
              <w:fldChar w:fldCharType="separate"/>
            </w:r>
            <w:r w:rsidR="003632B8">
              <w:rPr>
                <w:noProof/>
                <w:webHidden/>
              </w:rPr>
              <w:t>8</w:t>
            </w:r>
            <w:r w:rsidR="00B143B1">
              <w:rPr>
                <w:noProof/>
                <w:webHidden/>
              </w:rPr>
              <w:fldChar w:fldCharType="end"/>
            </w:r>
          </w:hyperlink>
        </w:p>
        <w:p w14:paraId="43D01635"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25" w:history="1">
            <w:r w:rsidR="00B143B1" w:rsidRPr="00C84498">
              <w:rPr>
                <w:rStyle w:val="Hyperlink"/>
                <w:rFonts w:cs="Arial"/>
                <w:noProof/>
              </w:rPr>
              <w:t>2.3.</w:t>
            </w:r>
            <w:r w:rsidR="00B143B1">
              <w:rPr>
                <w:rFonts w:asciiTheme="minorHAnsi" w:eastAsiaTheme="minorEastAsia" w:hAnsiTheme="minorHAnsi"/>
                <w:noProof/>
                <w:sz w:val="22"/>
                <w:lang w:eastAsia="en-AU"/>
              </w:rPr>
              <w:tab/>
            </w:r>
            <w:r w:rsidR="00B143B1" w:rsidRPr="00C84498">
              <w:rPr>
                <w:rStyle w:val="Hyperlink"/>
                <w:rFonts w:cs="Arial"/>
                <w:noProof/>
              </w:rPr>
              <w:t>Water Price Review GMW Determination 1 July 2020 – 30 June 2024</w:t>
            </w:r>
            <w:r w:rsidR="00B143B1">
              <w:rPr>
                <w:noProof/>
                <w:webHidden/>
              </w:rPr>
              <w:tab/>
            </w:r>
            <w:r w:rsidR="00B143B1">
              <w:rPr>
                <w:noProof/>
                <w:webHidden/>
              </w:rPr>
              <w:fldChar w:fldCharType="begin"/>
            </w:r>
            <w:r w:rsidR="00B143B1">
              <w:rPr>
                <w:noProof/>
                <w:webHidden/>
              </w:rPr>
              <w:instrText xml:space="preserve"> PAGEREF _Toc134012425 \h </w:instrText>
            </w:r>
            <w:r w:rsidR="00B143B1">
              <w:rPr>
                <w:noProof/>
                <w:webHidden/>
              </w:rPr>
            </w:r>
            <w:r w:rsidR="00B143B1">
              <w:rPr>
                <w:noProof/>
                <w:webHidden/>
              </w:rPr>
              <w:fldChar w:fldCharType="separate"/>
            </w:r>
            <w:r w:rsidR="003632B8">
              <w:rPr>
                <w:noProof/>
                <w:webHidden/>
              </w:rPr>
              <w:t>9</w:t>
            </w:r>
            <w:r w:rsidR="00B143B1">
              <w:rPr>
                <w:noProof/>
                <w:webHidden/>
              </w:rPr>
              <w:fldChar w:fldCharType="end"/>
            </w:r>
          </w:hyperlink>
        </w:p>
        <w:p w14:paraId="20F0BDA2" w14:textId="77777777" w:rsidR="00B143B1" w:rsidRDefault="00000000">
          <w:pPr>
            <w:pStyle w:val="TOC1"/>
            <w:tabs>
              <w:tab w:val="left" w:pos="440"/>
              <w:tab w:val="right" w:leader="dot" w:pos="8296"/>
            </w:tabs>
            <w:rPr>
              <w:rFonts w:asciiTheme="minorHAnsi" w:eastAsiaTheme="minorEastAsia" w:hAnsiTheme="minorHAnsi"/>
              <w:noProof/>
              <w:sz w:val="22"/>
              <w:lang w:eastAsia="en-AU"/>
            </w:rPr>
          </w:pPr>
          <w:hyperlink w:anchor="_Toc134012426" w:history="1">
            <w:r w:rsidR="00B143B1" w:rsidRPr="00C84498">
              <w:rPr>
                <w:rStyle w:val="Hyperlink"/>
                <w:rFonts w:cs="Arial"/>
                <w:noProof/>
              </w:rPr>
              <w:t>3.</w:t>
            </w:r>
            <w:r w:rsidR="00B143B1">
              <w:rPr>
                <w:rFonts w:asciiTheme="minorHAnsi" w:eastAsiaTheme="minorEastAsia" w:hAnsiTheme="minorHAnsi"/>
                <w:noProof/>
                <w:sz w:val="22"/>
                <w:lang w:eastAsia="en-AU"/>
              </w:rPr>
              <w:tab/>
            </w:r>
            <w:r w:rsidR="00B143B1" w:rsidRPr="00C84498">
              <w:rPr>
                <w:rStyle w:val="Hyperlink"/>
                <w:rFonts w:cs="Arial"/>
                <w:noProof/>
              </w:rPr>
              <w:t>Annual Price Review Process</w:t>
            </w:r>
            <w:r w:rsidR="00B143B1">
              <w:rPr>
                <w:noProof/>
                <w:webHidden/>
              </w:rPr>
              <w:tab/>
            </w:r>
            <w:r w:rsidR="00B143B1">
              <w:rPr>
                <w:noProof/>
                <w:webHidden/>
              </w:rPr>
              <w:fldChar w:fldCharType="begin"/>
            </w:r>
            <w:r w:rsidR="00B143B1">
              <w:rPr>
                <w:noProof/>
                <w:webHidden/>
              </w:rPr>
              <w:instrText xml:space="preserve"> PAGEREF _Toc134012426 \h </w:instrText>
            </w:r>
            <w:r w:rsidR="00B143B1">
              <w:rPr>
                <w:noProof/>
                <w:webHidden/>
              </w:rPr>
            </w:r>
            <w:r w:rsidR="00B143B1">
              <w:rPr>
                <w:noProof/>
                <w:webHidden/>
              </w:rPr>
              <w:fldChar w:fldCharType="separate"/>
            </w:r>
            <w:r w:rsidR="003632B8">
              <w:rPr>
                <w:noProof/>
                <w:webHidden/>
              </w:rPr>
              <w:t>10</w:t>
            </w:r>
            <w:r w:rsidR="00B143B1">
              <w:rPr>
                <w:noProof/>
                <w:webHidden/>
              </w:rPr>
              <w:fldChar w:fldCharType="end"/>
            </w:r>
          </w:hyperlink>
        </w:p>
        <w:p w14:paraId="4EA7A32D"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27" w:history="1">
            <w:r w:rsidR="00B143B1" w:rsidRPr="00C84498">
              <w:rPr>
                <w:rStyle w:val="Hyperlink"/>
                <w:rFonts w:cs="Arial"/>
                <w:noProof/>
              </w:rPr>
              <w:t>3.1.</w:t>
            </w:r>
            <w:r w:rsidR="00B143B1">
              <w:rPr>
                <w:rFonts w:asciiTheme="minorHAnsi" w:eastAsiaTheme="minorEastAsia" w:hAnsiTheme="minorHAnsi"/>
                <w:noProof/>
                <w:sz w:val="22"/>
                <w:lang w:eastAsia="en-AU"/>
              </w:rPr>
              <w:tab/>
            </w:r>
            <w:r w:rsidR="00B143B1" w:rsidRPr="00C84498">
              <w:rPr>
                <w:rStyle w:val="Hyperlink"/>
                <w:rFonts w:cs="Arial"/>
                <w:noProof/>
              </w:rPr>
              <w:t>Water Charge Rules 2010</w:t>
            </w:r>
            <w:r w:rsidR="00B143B1">
              <w:rPr>
                <w:noProof/>
                <w:webHidden/>
              </w:rPr>
              <w:tab/>
            </w:r>
            <w:r w:rsidR="00B143B1">
              <w:rPr>
                <w:noProof/>
                <w:webHidden/>
              </w:rPr>
              <w:fldChar w:fldCharType="begin"/>
            </w:r>
            <w:r w:rsidR="00B143B1">
              <w:rPr>
                <w:noProof/>
                <w:webHidden/>
              </w:rPr>
              <w:instrText xml:space="preserve"> PAGEREF _Toc134012427 \h </w:instrText>
            </w:r>
            <w:r w:rsidR="00B143B1">
              <w:rPr>
                <w:noProof/>
                <w:webHidden/>
              </w:rPr>
            </w:r>
            <w:r w:rsidR="00B143B1">
              <w:rPr>
                <w:noProof/>
                <w:webHidden/>
              </w:rPr>
              <w:fldChar w:fldCharType="separate"/>
            </w:r>
            <w:r w:rsidR="003632B8">
              <w:rPr>
                <w:noProof/>
                <w:webHidden/>
              </w:rPr>
              <w:t>10</w:t>
            </w:r>
            <w:r w:rsidR="00B143B1">
              <w:rPr>
                <w:noProof/>
                <w:webHidden/>
              </w:rPr>
              <w:fldChar w:fldCharType="end"/>
            </w:r>
          </w:hyperlink>
        </w:p>
        <w:p w14:paraId="102BDF73" w14:textId="77777777" w:rsidR="00B143B1" w:rsidRDefault="00000000">
          <w:pPr>
            <w:pStyle w:val="TOC1"/>
            <w:tabs>
              <w:tab w:val="left" w:pos="440"/>
              <w:tab w:val="right" w:leader="dot" w:pos="8296"/>
            </w:tabs>
            <w:rPr>
              <w:rFonts w:asciiTheme="minorHAnsi" w:eastAsiaTheme="minorEastAsia" w:hAnsiTheme="minorHAnsi"/>
              <w:noProof/>
              <w:sz w:val="22"/>
              <w:lang w:eastAsia="en-AU"/>
            </w:rPr>
          </w:pPr>
          <w:hyperlink w:anchor="_Toc134012428" w:history="1">
            <w:r w:rsidR="00B143B1" w:rsidRPr="00C84498">
              <w:rPr>
                <w:rStyle w:val="Hyperlink"/>
                <w:rFonts w:cs="Arial"/>
                <w:noProof/>
              </w:rPr>
              <w:t>4.</w:t>
            </w:r>
            <w:r w:rsidR="00B143B1">
              <w:rPr>
                <w:rFonts w:asciiTheme="minorHAnsi" w:eastAsiaTheme="minorEastAsia" w:hAnsiTheme="minorHAnsi"/>
                <w:noProof/>
                <w:sz w:val="22"/>
                <w:lang w:eastAsia="en-AU"/>
              </w:rPr>
              <w:tab/>
            </w:r>
            <w:r w:rsidR="00B143B1" w:rsidRPr="00C84498">
              <w:rPr>
                <w:rStyle w:val="Hyperlink"/>
                <w:rFonts w:cs="Arial"/>
                <w:noProof/>
              </w:rPr>
              <w:t>Financial Sustainability</w:t>
            </w:r>
            <w:r w:rsidR="00B143B1">
              <w:rPr>
                <w:noProof/>
                <w:webHidden/>
              </w:rPr>
              <w:tab/>
            </w:r>
            <w:r w:rsidR="00B143B1">
              <w:rPr>
                <w:noProof/>
                <w:webHidden/>
              </w:rPr>
              <w:fldChar w:fldCharType="begin"/>
            </w:r>
            <w:r w:rsidR="00B143B1">
              <w:rPr>
                <w:noProof/>
                <w:webHidden/>
              </w:rPr>
              <w:instrText xml:space="preserve"> PAGEREF _Toc134012428 \h </w:instrText>
            </w:r>
            <w:r w:rsidR="00B143B1">
              <w:rPr>
                <w:noProof/>
                <w:webHidden/>
              </w:rPr>
            </w:r>
            <w:r w:rsidR="00B143B1">
              <w:rPr>
                <w:noProof/>
                <w:webHidden/>
              </w:rPr>
              <w:fldChar w:fldCharType="separate"/>
            </w:r>
            <w:r w:rsidR="003632B8">
              <w:rPr>
                <w:noProof/>
                <w:webHidden/>
              </w:rPr>
              <w:t>11</w:t>
            </w:r>
            <w:r w:rsidR="00B143B1">
              <w:rPr>
                <w:noProof/>
                <w:webHidden/>
              </w:rPr>
              <w:fldChar w:fldCharType="end"/>
            </w:r>
          </w:hyperlink>
        </w:p>
        <w:p w14:paraId="7E27FA0B" w14:textId="77777777" w:rsidR="00B143B1" w:rsidRDefault="00000000">
          <w:pPr>
            <w:pStyle w:val="TOC1"/>
            <w:tabs>
              <w:tab w:val="left" w:pos="440"/>
              <w:tab w:val="right" w:leader="dot" w:pos="8296"/>
            </w:tabs>
            <w:rPr>
              <w:rFonts w:asciiTheme="minorHAnsi" w:eastAsiaTheme="minorEastAsia" w:hAnsiTheme="minorHAnsi"/>
              <w:noProof/>
              <w:sz w:val="22"/>
              <w:lang w:eastAsia="en-AU"/>
            </w:rPr>
          </w:pPr>
          <w:hyperlink w:anchor="_Toc134012429" w:history="1">
            <w:r w:rsidR="00B143B1" w:rsidRPr="00C84498">
              <w:rPr>
                <w:rStyle w:val="Hyperlink"/>
                <w:rFonts w:cs="Arial"/>
                <w:noProof/>
              </w:rPr>
              <w:t>5.</w:t>
            </w:r>
            <w:r w:rsidR="00B143B1">
              <w:rPr>
                <w:rFonts w:asciiTheme="minorHAnsi" w:eastAsiaTheme="minorEastAsia" w:hAnsiTheme="minorHAnsi"/>
                <w:noProof/>
                <w:sz w:val="22"/>
                <w:lang w:eastAsia="en-AU"/>
              </w:rPr>
              <w:tab/>
            </w:r>
            <w:r w:rsidR="00B143B1" w:rsidRPr="00C84498">
              <w:rPr>
                <w:rStyle w:val="Hyperlink"/>
                <w:rFonts w:cs="Arial"/>
                <w:noProof/>
              </w:rPr>
              <w:t>Governance Process</w:t>
            </w:r>
            <w:r w:rsidR="00B143B1">
              <w:rPr>
                <w:noProof/>
                <w:webHidden/>
              </w:rPr>
              <w:tab/>
            </w:r>
            <w:r w:rsidR="00B143B1">
              <w:rPr>
                <w:noProof/>
                <w:webHidden/>
              </w:rPr>
              <w:fldChar w:fldCharType="begin"/>
            </w:r>
            <w:r w:rsidR="00B143B1">
              <w:rPr>
                <w:noProof/>
                <w:webHidden/>
              </w:rPr>
              <w:instrText xml:space="preserve"> PAGEREF _Toc134012429 \h </w:instrText>
            </w:r>
            <w:r w:rsidR="00B143B1">
              <w:rPr>
                <w:noProof/>
                <w:webHidden/>
              </w:rPr>
            </w:r>
            <w:r w:rsidR="00B143B1">
              <w:rPr>
                <w:noProof/>
                <w:webHidden/>
              </w:rPr>
              <w:fldChar w:fldCharType="separate"/>
            </w:r>
            <w:r w:rsidR="003632B8">
              <w:rPr>
                <w:noProof/>
                <w:webHidden/>
              </w:rPr>
              <w:t>12</w:t>
            </w:r>
            <w:r w:rsidR="00B143B1">
              <w:rPr>
                <w:noProof/>
                <w:webHidden/>
              </w:rPr>
              <w:fldChar w:fldCharType="end"/>
            </w:r>
          </w:hyperlink>
        </w:p>
        <w:p w14:paraId="5EB06BD5" w14:textId="77777777" w:rsidR="00B143B1" w:rsidRDefault="00000000">
          <w:pPr>
            <w:pStyle w:val="TOC1"/>
            <w:tabs>
              <w:tab w:val="left" w:pos="440"/>
              <w:tab w:val="right" w:leader="dot" w:pos="8296"/>
            </w:tabs>
            <w:rPr>
              <w:rFonts w:asciiTheme="minorHAnsi" w:eastAsiaTheme="minorEastAsia" w:hAnsiTheme="minorHAnsi"/>
              <w:noProof/>
              <w:sz w:val="22"/>
              <w:lang w:eastAsia="en-AU"/>
            </w:rPr>
          </w:pPr>
          <w:hyperlink w:anchor="_Toc134012430" w:history="1">
            <w:r w:rsidR="00B143B1" w:rsidRPr="00C84498">
              <w:rPr>
                <w:rStyle w:val="Hyperlink"/>
                <w:rFonts w:cs="Arial"/>
                <w:noProof/>
              </w:rPr>
              <w:t>6.</w:t>
            </w:r>
            <w:r w:rsidR="00B143B1">
              <w:rPr>
                <w:rFonts w:asciiTheme="minorHAnsi" w:eastAsiaTheme="minorEastAsia" w:hAnsiTheme="minorHAnsi"/>
                <w:noProof/>
                <w:sz w:val="22"/>
                <w:lang w:eastAsia="en-AU"/>
              </w:rPr>
              <w:tab/>
            </w:r>
            <w:r w:rsidR="00B143B1" w:rsidRPr="00C84498">
              <w:rPr>
                <w:rStyle w:val="Hyperlink"/>
                <w:rFonts w:cs="Arial"/>
                <w:noProof/>
              </w:rPr>
              <w:t>Approach to Determining Prices</w:t>
            </w:r>
            <w:r w:rsidR="00B143B1">
              <w:rPr>
                <w:noProof/>
                <w:webHidden/>
              </w:rPr>
              <w:tab/>
            </w:r>
            <w:r w:rsidR="00B143B1">
              <w:rPr>
                <w:noProof/>
                <w:webHidden/>
              </w:rPr>
              <w:fldChar w:fldCharType="begin"/>
            </w:r>
            <w:r w:rsidR="00B143B1">
              <w:rPr>
                <w:noProof/>
                <w:webHidden/>
              </w:rPr>
              <w:instrText xml:space="preserve"> PAGEREF _Toc134012430 \h </w:instrText>
            </w:r>
            <w:r w:rsidR="00B143B1">
              <w:rPr>
                <w:noProof/>
                <w:webHidden/>
              </w:rPr>
            </w:r>
            <w:r w:rsidR="00B143B1">
              <w:rPr>
                <w:noProof/>
                <w:webHidden/>
              </w:rPr>
              <w:fldChar w:fldCharType="separate"/>
            </w:r>
            <w:r w:rsidR="003632B8">
              <w:rPr>
                <w:noProof/>
                <w:webHidden/>
              </w:rPr>
              <w:t>12</w:t>
            </w:r>
            <w:r w:rsidR="00B143B1">
              <w:rPr>
                <w:noProof/>
                <w:webHidden/>
              </w:rPr>
              <w:fldChar w:fldCharType="end"/>
            </w:r>
          </w:hyperlink>
        </w:p>
        <w:p w14:paraId="3125C3B0"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31" w:history="1">
            <w:r w:rsidR="00B143B1" w:rsidRPr="00C84498">
              <w:rPr>
                <w:rStyle w:val="Hyperlink"/>
                <w:rFonts w:cs="Arial"/>
                <w:noProof/>
              </w:rPr>
              <w:t>6.1.</w:t>
            </w:r>
            <w:r w:rsidR="00B143B1">
              <w:rPr>
                <w:rFonts w:asciiTheme="minorHAnsi" w:eastAsiaTheme="minorEastAsia" w:hAnsiTheme="minorHAnsi"/>
                <w:noProof/>
                <w:sz w:val="22"/>
                <w:lang w:eastAsia="en-AU"/>
              </w:rPr>
              <w:tab/>
            </w:r>
            <w:r w:rsidR="00B143B1" w:rsidRPr="00C84498">
              <w:rPr>
                <w:rStyle w:val="Hyperlink"/>
                <w:rFonts w:cs="Arial"/>
                <w:noProof/>
              </w:rPr>
              <w:t>Price Adjustments</w:t>
            </w:r>
            <w:r w:rsidR="00B143B1">
              <w:rPr>
                <w:noProof/>
                <w:webHidden/>
              </w:rPr>
              <w:tab/>
            </w:r>
            <w:r w:rsidR="00B143B1">
              <w:rPr>
                <w:noProof/>
                <w:webHidden/>
              </w:rPr>
              <w:fldChar w:fldCharType="begin"/>
            </w:r>
            <w:r w:rsidR="00B143B1">
              <w:rPr>
                <w:noProof/>
                <w:webHidden/>
              </w:rPr>
              <w:instrText xml:space="preserve"> PAGEREF _Toc134012431 \h </w:instrText>
            </w:r>
            <w:r w:rsidR="00B143B1">
              <w:rPr>
                <w:noProof/>
                <w:webHidden/>
              </w:rPr>
            </w:r>
            <w:r w:rsidR="00B143B1">
              <w:rPr>
                <w:noProof/>
                <w:webHidden/>
              </w:rPr>
              <w:fldChar w:fldCharType="separate"/>
            </w:r>
            <w:r w:rsidR="003632B8">
              <w:rPr>
                <w:noProof/>
                <w:webHidden/>
              </w:rPr>
              <w:t>13</w:t>
            </w:r>
            <w:r w:rsidR="00B143B1">
              <w:rPr>
                <w:noProof/>
                <w:webHidden/>
              </w:rPr>
              <w:fldChar w:fldCharType="end"/>
            </w:r>
          </w:hyperlink>
        </w:p>
        <w:p w14:paraId="10D113B4"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32" w:history="1">
            <w:r w:rsidR="00B143B1" w:rsidRPr="00C84498">
              <w:rPr>
                <w:rStyle w:val="Hyperlink"/>
                <w:rFonts w:cs="Arial"/>
                <w:noProof/>
              </w:rPr>
              <w:t>6.2.</w:t>
            </w:r>
            <w:r w:rsidR="00B143B1">
              <w:rPr>
                <w:rFonts w:asciiTheme="minorHAnsi" w:eastAsiaTheme="minorEastAsia" w:hAnsiTheme="minorHAnsi"/>
                <w:noProof/>
                <w:sz w:val="22"/>
                <w:lang w:eastAsia="en-AU"/>
              </w:rPr>
              <w:tab/>
            </w:r>
            <w:r w:rsidR="00B143B1" w:rsidRPr="00C84498">
              <w:rPr>
                <w:rStyle w:val="Hyperlink"/>
                <w:rFonts w:cs="Arial"/>
                <w:noProof/>
              </w:rPr>
              <w:t>Demand</w:t>
            </w:r>
            <w:r w:rsidR="00B143B1">
              <w:rPr>
                <w:noProof/>
                <w:webHidden/>
              </w:rPr>
              <w:tab/>
            </w:r>
            <w:r w:rsidR="00B143B1">
              <w:rPr>
                <w:noProof/>
                <w:webHidden/>
              </w:rPr>
              <w:fldChar w:fldCharType="begin"/>
            </w:r>
            <w:r w:rsidR="00B143B1">
              <w:rPr>
                <w:noProof/>
                <w:webHidden/>
              </w:rPr>
              <w:instrText xml:space="preserve"> PAGEREF _Toc134012432 \h </w:instrText>
            </w:r>
            <w:r w:rsidR="00B143B1">
              <w:rPr>
                <w:noProof/>
                <w:webHidden/>
              </w:rPr>
            </w:r>
            <w:r w:rsidR="00B143B1">
              <w:rPr>
                <w:noProof/>
                <w:webHidden/>
              </w:rPr>
              <w:fldChar w:fldCharType="separate"/>
            </w:r>
            <w:r w:rsidR="003632B8">
              <w:rPr>
                <w:noProof/>
                <w:webHidden/>
              </w:rPr>
              <w:t>16</w:t>
            </w:r>
            <w:r w:rsidR="00B143B1">
              <w:rPr>
                <w:noProof/>
                <w:webHidden/>
              </w:rPr>
              <w:fldChar w:fldCharType="end"/>
            </w:r>
          </w:hyperlink>
        </w:p>
        <w:p w14:paraId="3FED8EEC"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33" w:history="1">
            <w:r w:rsidR="00B143B1" w:rsidRPr="00C84498">
              <w:rPr>
                <w:rStyle w:val="Hyperlink"/>
                <w:rFonts w:cs="Arial"/>
                <w:noProof/>
              </w:rPr>
              <w:t>6.3.</w:t>
            </w:r>
            <w:r w:rsidR="00B143B1">
              <w:rPr>
                <w:rFonts w:asciiTheme="minorHAnsi" w:eastAsiaTheme="minorEastAsia" w:hAnsiTheme="minorHAnsi"/>
                <w:noProof/>
                <w:sz w:val="22"/>
                <w:lang w:eastAsia="en-AU"/>
              </w:rPr>
              <w:tab/>
            </w:r>
            <w:r w:rsidR="00B143B1" w:rsidRPr="00C84498">
              <w:rPr>
                <w:rStyle w:val="Hyperlink"/>
                <w:rFonts w:cs="Arial"/>
                <w:noProof/>
              </w:rPr>
              <w:t>Customer Impact Analysis</w:t>
            </w:r>
            <w:r w:rsidR="00B143B1">
              <w:rPr>
                <w:noProof/>
                <w:webHidden/>
              </w:rPr>
              <w:tab/>
            </w:r>
            <w:r w:rsidR="00B143B1">
              <w:rPr>
                <w:noProof/>
                <w:webHidden/>
              </w:rPr>
              <w:fldChar w:fldCharType="begin"/>
            </w:r>
            <w:r w:rsidR="00B143B1">
              <w:rPr>
                <w:noProof/>
                <w:webHidden/>
              </w:rPr>
              <w:instrText xml:space="preserve"> PAGEREF _Toc134012433 \h </w:instrText>
            </w:r>
            <w:r w:rsidR="00B143B1">
              <w:rPr>
                <w:noProof/>
                <w:webHidden/>
              </w:rPr>
            </w:r>
            <w:r w:rsidR="00B143B1">
              <w:rPr>
                <w:noProof/>
                <w:webHidden/>
              </w:rPr>
              <w:fldChar w:fldCharType="separate"/>
            </w:r>
            <w:r w:rsidR="003632B8">
              <w:rPr>
                <w:noProof/>
                <w:webHidden/>
              </w:rPr>
              <w:t>18</w:t>
            </w:r>
            <w:r w:rsidR="00B143B1">
              <w:rPr>
                <w:noProof/>
                <w:webHidden/>
              </w:rPr>
              <w:fldChar w:fldCharType="end"/>
            </w:r>
          </w:hyperlink>
        </w:p>
        <w:p w14:paraId="1790C5DC" w14:textId="77777777" w:rsidR="00B143B1" w:rsidRDefault="00000000">
          <w:pPr>
            <w:pStyle w:val="TOC2"/>
            <w:tabs>
              <w:tab w:val="left" w:pos="800"/>
              <w:tab w:val="right" w:leader="dot" w:pos="8296"/>
            </w:tabs>
            <w:rPr>
              <w:rFonts w:asciiTheme="minorHAnsi" w:eastAsiaTheme="minorEastAsia" w:hAnsiTheme="minorHAnsi"/>
              <w:noProof/>
              <w:sz w:val="22"/>
              <w:lang w:eastAsia="en-AU"/>
            </w:rPr>
          </w:pPr>
          <w:hyperlink w:anchor="_Toc134012434" w:history="1">
            <w:r w:rsidR="00B143B1" w:rsidRPr="00C84498">
              <w:rPr>
                <w:rStyle w:val="Hyperlink"/>
                <w:rFonts w:cs="Arial"/>
                <w:noProof/>
              </w:rPr>
              <w:t>6.4.</w:t>
            </w:r>
            <w:r w:rsidR="00B143B1">
              <w:rPr>
                <w:rFonts w:asciiTheme="minorHAnsi" w:eastAsiaTheme="minorEastAsia" w:hAnsiTheme="minorHAnsi"/>
                <w:noProof/>
                <w:sz w:val="22"/>
                <w:lang w:eastAsia="en-AU"/>
              </w:rPr>
              <w:tab/>
            </w:r>
            <w:r w:rsidR="00B143B1" w:rsidRPr="00C84498">
              <w:rPr>
                <w:rStyle w:val="Hyperlink"/>
                <w:rFonts w:cs="Arial"/>
                <w:noProof/>
              </w:rPr>
              <w:t>Annual contribution to the Murray Darling Basin Authority</w:t>
            </w:r>
            <w:r w:rsidR="00B143B1">
              <w:rPr>
                <w:noProof/>
                <w:webHidden/>
              </w:rPr>
              <w:tab/>
            </w:r>
            <w:r w:rsidR="00B143B1">
              <w:rPr>
                <w:noProof/>
                <w:webHidden/>
              </w:rPr>
              <w:fldChar w:fldCharType="begin"/>
            </w:r>
            <w:r w:rsidR="00B143B1">
              <w:rPr>
                <w:noProof/>
                <w:webHidden/>
              </w:rPr>
              <w:instrText xml:space="preserve"> PAGEREF _Toc134012434 \h </w:instrText>
            </w:r>
            <w:r w:rsidR="00B143B1">
              <w:rPr>
                <w:noProof/>
                <w:webHidden/>
              </w:rPr>
            </w:r>
            <w:r w:rsidR="00B143B1">
              <w:rPr>
                <w:noProof/>
                <w:webHidden/>
              </w:rPr>
              <w:fldChar w:fldCharType="separate"/>
            </w:r>
            <w:r w:rsidR="003632B8">
              <w:rPr>
                <w:noProof/>
                <w:webHidden/>
              </w:rPr>
              <w:t>20</w:t>
            </w:r>
            <w:r w:rsidR="00B143B1">
              <w:rPr>
                <w:noProof/>
                <w:webHidden/>
              </w:rPr>
              <w:fldChar w:fldCharType="end"/>
            </w:r>
          </w:hyperlink>
        </w:p>
        <w:p w14:paraId="28033F66" w14:textId="77777777" w:rsidR="00B143B1" w:rsidRDefault="00000000">
          <w:pPr>
            <w:pStyle w:val="TOC1"/>
            <w:tabs>
              <w:tab w:val="left" w:pos="440"/>
              <w:tab w:val="right" w:leader="dot" w:pos="8296"/>
            </w:tabs>
            <w:rPr>
              <w:rFonts w:asciiTheme="minorHAnsi" w:eastAsiaTheme="minorEastAsia" w:hAnsiTheme="minorHAnsi"/>
              <w:noProof/>
              <w:sz w:val="22"/>
              <w:lang w:eastAsia="en-AU"/>
            </w:rPr>
          </w:pPr>
          <w:hyperlink w:anchor="_Toc134012435" w:history="1">
            <w:r w:rsidR="00B143B1" w:rsidRPr="00C84498">
              <w:rPr>
                <w:rStyle w:val="Hyperlink"/>
                <w:rFonts w:cs="Arial"/>
                <w:noProof/>
              </w:rPr>
              <w:t>7.</w:t>
            </w:r>
            <w:r w:rsidR="00B143B1">
              <w:rPr>
                <w:rFonts w:asciiTheme="minorHAnsi" w:eastAsiaTheme="minorEastAsia" w:hAnsiTheme="minorHAnsi"/>
                <w:noProof/>
                <w:sz w:val="22"/>
                <w:lang w:eastAsia="en-AU"/>
              </w:rPr>
              <w:tab/>
            </w:r>
            <w:r w:rsidR="00B143B1" w:rsidRPr="00C84498">
              <w:rPr>
                <w:rStyle w:val="Hyperlink"/>
                <w:rFonts w:cs="Arial"/>
                <w:noProof/>
              </w:rPr>
              <w:t>Tariff Strategies</w:t>
            </w:r>
            <w:r w:rsidR="00B143B1">
              <w:rPr>
                <w:noProof/>
                <w:webHidden/>
              </w:rPr>
              <w:tab/>
            </w:r>
            <w:r w:rsidR="00B143B1">
              <w:rPr>
                <w:noProof/>
                <w:webHidden/>
              </w:rPr>
              <w:fldChar w:fldCharType="begin"/>
            </w:r>
            <w:r w:rsidR="00B143B1">
              <w:rPr>
                <w:noProof/>
                <w:webHidden/>
              </w:rPr>
              <w:instrText xml:space="preserve"> PAGEREF _Toc134012435 \h </w:instrText>
            </w:r>
            <w:r w:rsidR="00B143B1">
              <w:rPr>
                <w:noProof/>
                <w:webHidden/>
              </w:rPr>
            </w:r>
            <w:r w:rsidR="00B143B1">
              <w:rPr>
                <w:noProof/>
                <w:webHidden/>
              </w:rPr>
              <w:fldChar w:fldCharType="separate"/>
            </w:r>
            <w:r w:rsidR="003632B8">
              <w:rPr>
                <w:noProof/>
                <w:webHidden/>
              </w:rPr>
              <w:t>22</w:t>
            </w:r>
            <w:r w:rsidR="00B143B1">
              <w:rPr>
                <w:noProof/>
                <w:webHidden/>
              </w:rPr>
              <w:fldChar w:fldCharType="end"/>
            </w:r>
          </w:hyperlink>
        </w:p>
        <w:p w14:paraId="1FA3E18E" w14:textId="77777777" w:rsidR="00B143B1" w:rsidRDefault="00000000">
          <w:pPr>
            <w:pStyle w:val="TOC1"/>
            <w:tabs>
              <w:tab w:val="left" w:pos="440"/>
              <w:tab w:val="right" w:leader="dot" w:pos="8296"/>
            </w:tabs>
            <w:rPr>
              <w:rFonts w:asciiTheme="minorHAnsi" w:eastAsiaTheme="minorEastAsia" w:hAnsiTheme="minorHAnsi"/>
              <w:noProof/>
              <w:sz w:val="22"/>
              <w:lang w:eastAsia="en-AU"/>
            </w:rPr>
          </w:pPr>
          <w:hyperlink w:anchor="_Toc134012436" w:history="1">
            <w:r w:rsidR="00B143B1" w:rsidRPr="00C84498">
              <w:rPr>
                <w:rStyle w:val="Hyperlink"/>
                <w:rFonts w:cs="Arial"/>
                <w:noProof/>
              </w:rPr>
              <w:t>8.</w:t>
            </w:r>
            <w:r w:rsidR="00B143B1">
              <w:rPr>
                <w:rFonts w:asciiTheme="minorHAnsi" w:eastAsiaTheme="minorEastAsia" w:hAnsiTheme="minorHAnsi"/>
                <w:noProof/>
                <w:sz w:val="22"/>
                <w:lang w:eastAsia="en-AU"/>
              </w:rPr>
              <w:tab/>
            </w:r>
            <w:r w:rsidR="00B143B1" w:rsidRPr="00C84498">
              <w:rPr>
                <w:rStyle w:val="Hyperlink"/>
                <w:rFonts w:cs="Arial"/>
                <w:noProof/>
              </w:rPr>
              <w:t>Customer Communication and Engagement</w:t>
            </w:r>
            <w:r w:rsidR="00B143B1">
              <w:rPr>
                <w:noProof/>
                <w:webHidden/>
              </w:rPr>
              <w:tab/>
            </w:r>
            <w:r w:rsidR="00B143B1">
              <w:rPr>
                <w:noProof/>
                <w:webHidden/>
              </w:rPr>
              <w:fldChar w:fldCharType="begin"/>
            </w:r>
            <w:r w:rsidR="00B143B1">
              <w:rPr>
                <w:noProof/>
                <w:webHidden/>
              </w:rPr>
              <w:instrText xml:space="preserve"> PAGEREF _Toc134012436 \h </w:instrText>
            </w:r>
            <w:r w:rsidR="00B143B1">
              <w:rPr>
                <w:noProof/>
                <w:webHidden/>
              </w:rPr>
            </w:r>
            <w:r w:rsidR="00B143B1">
              <w:rPr>
                <w:noProof/>
                <w:webHidden/>
              </w:rPr>
              <w:fldChar w:fldCharType="separate"/>
            </w:r>
            <w:r w:rsidR="003632B8">
              <w:rPr>
                <w:noProof/>
                <w:webHidden/>
              </w:rPr>
              <w:t>23</w:t>
            </w:r>
            <w:r w:rsidR="00B143B1">
              <w:rPr>
                <w:noProof/>
                <w:webHidden/>
              </w:rPr>
              <w:fldChar w:fldCharType="end"/>
            </w:r>
          </w:hyperlink>
        </w:p>
        <w:p w14:paraId="6D10D295" w14:textId="77777777" w:rsidR="00B143B1" w:rsidRDefault="00000000">
          <w:pPr>
            <w:pStyle w:val="TOC1"/>
            <w:tabs>
              <w:tab w:val="right" w:leader="dot" w:pos="8296"/>
            </w:tabs>
            <w:rPr>
              <w:rFonts w:asciiTheme="minorHAnsi" w:eastAsiaTheme="minorEastAsia" w:hAnsiTheme="minorHAnsi"/>
              <w:noProof/>
              <w:sz w:val="22"/>
              <w:lang w:eastAsia="en-AU"/>
            </w:rPr>
          </w:pPr>
          <w:hyperlink w:anchor="_Toc134012437" w:history="1">
            <w:r w:rsidR="00B143B1" w:rsidRPr="00C84498">
              <w:rPr>
                <w:rStyle w:val="Hyperlink"/>
                <w:rFonts w:cs="Arial"/>
                <w:noProof/>
              </w:rPr>
              <w:t>Appendix 1: Annual Price Review - Indicative Timeline</w:t>
            </w:r>
            <w:r w:rsidR="00B143B1">
              <w:rPr>
                <w:noProof/>
                <w:webHidden/>
              </w:rPr>
              <w:tab/>
            </w:r>
            <w:r w:rsidR="00B143B1">
              <w:rPr>
                <w:noProof/>
                <w:webHidden/>
              </w:rPr>
              <w:fldChar w:fldCharType="begin"/>
            </w:r>
            <w:r w:rsidR="00B143B1">
              <w:rPr>
                <w:noProof/>
                <w:webHidden/>
              </w:rPr>
              <w:instrText xml:space="preserve"> PAGEREF _Toc134012437 \h </w:instrText>
            </w:r>
            <w:r w:rsidR="00B143B1">
              <w:rPr>
                <w:noProof/>
                <w:webHidden/>
              </w:rPr>
            </w:r>
            <w:r w:rsidR="00B143B1">
              <w:rPr>
                <w:noProof/>
                <w:webHidden/>
              </w:rPr>
              <w:fldChar w:fldCharType="separate"/>
            </w:r>
            <w:r w:rsidR="003632B8">
              <w:rPr>
                <w:noProof/>
                <w:webHidden/>
              </w:rPr>
              <w:t>24</w:t>
            </w:r>
            <w:r w:rsidR="00B143B1">
              <w:rPr>
                <w:noProof/>
                <w:webHidden/>
              </w:rPr>
              <w:fldChar w:fldCharType="end"/>
            </w:r>
          </w:hyperlink>
        </w:p>
        <w:p w14:paraId="396BA1B4" w14:textId="77777777" w:rsidR="00881CF4" w:rsidRPr="00612011" w:rsidRDefault="00881CF4" w:rsidP="00881CF4">
          <w:pPr>
            <w:rPr>
              <w:highlight w:val="yellow"/>
            </w:rPr>
          </w:pPr>
          <w:r w:rsidRPr="005B1ABB">
            <w:rPr>
              <w:b/>
              <w:bCs/>
              <w:noProof/>
            </w:rPr>
            <w:fldChar w:fldCharType="end"/>
          </w:r>
        </w:p>
      </w:sdtContent>
    </w:sdt>
    <w:p w14:paraId="71274EBA" w14:textId="77777777" w:rsidR="00881CF4" w:rsidRPr="00612011" w:rsidRDefault="00881CF4" w:rsidP="00881CF4">
      <w:pPr>
        <w:rPr>
          <w:highlight w:val="yellow"/>
        </w:rPr>
      </w:pPr>
      <w:r w:rsidRPr="00612011">
        <w:rPr>
          <w:highlight w:val="yellow"/>
        </w:rPr>
        <w:br w:type="page"/>
      </w:r>
    </w:p>
    <w:p w14:paraId="0C043BB2" w14:textId="77777777" w:rsidR="00306D8F" w:rsidRPr="00507B0D" w:rsidRDefault="00306D8F" w:rsidP="00306D8F">
      <w:pPr>
        <w:pStyle w:val="Heading1"/>
        <w:rPr>
          <w:rFonts w:cs="Arial"/>
        </w:rPr>
      </w:pPr>
      <w:bookmarkStart w:id="0" w:name="_Toc481579021"/>
      <w:bookmarkStart w:id="1" w:name="_Toc134012413"/>
      <w:r w:rsidRPr="00507B0D">
        <w:rPr>
          <w:rFonts w:cs="Arial"/>
        </w:rPr>
        <w:lastRenderedPageBreak/>
        <w:t>Executive Summary</w:t>
      </w:r>
      <w:bookmarkEnd w:id="0"/>
      <w:bookmarkEnd w:id="1"/>
    </w:p>
    <w:p w14:paraId="1972D48A" w14:textId="77777777" w:rsidR="00306D8F" w:rsidRPr="00507B0D" w:rsidRDefault="00306D8F" w:rsidP="00306D8F"/>
    <w:p w14:paraId="65506070" w14:textId="77777777" w:rsidR="00306D8F" w:rsidRPr="00507B0D" w:rsidRDefault="00306D8F" w:rsidP="00306D8F">
      <w:pPr>
        <w:rPr>
          <w:rFonts w:cs="Arial"/>
        </w:rPr>
      </w:pPr>
      <w:r w:rsidRPr="00507B0D">
        <w:rPr>
          <w:rFonts w:cs="Arial"/>
        </w:rPr>
        <w:t xml:space="preserve">This document and </w:t>
      </w:r>
      <w:r w:rsidRPr="002C2CA4">
        <w:rPr>
          <w:rFonts w:cs="Arial"/>
        </w:rPr>
        <w:t>supporting attachments set out Goulburn-Murray Water’s (GMW’s) annual price review application for 202</w:t>
      </w:r>
      <w:r w:rsidR="00465F93" w:rsidRPr="002C2CA4">
        <w:rPr>
          <w:rFonts w:cs="Arial"/>
        </w:rPr>
        <w:t>3</w:t>
      </w:r>
      <w:r w:rsidR="001822D4" w:rsidRPr="002C2CA4">
        <w:rPr>
          <w:rFonts w:cs="Arial"/>
        </w:rPr>
        <w:t>/2</w:t>
      </w:r>
      <w:r w:rsidR="00465F93" w:rsidRPr="002C2CA4">
        <w:rPr>
          <w:rFonts w:cs="Arial"/>
        </w:rPr>
        <w:t>4</w:t>
      </w:r>
      <w:r w:rsidR="001822D4" w:rsidRPr="002C2CA4">
        <w:rPr>
          <w:rFonts w:cs="Arial"/>
        </w:rPr>
        <w:t>.</w:t>
      </w:r>
    </w:p>
    <w:p w14:paraId="57908C44" w14:textId="77777777" w:rsidR="00306D8F" w:rsidRPr="00507B0D" w:rsidRDefault="00306D8F" w:rsidP="00306D8F">
      <w:pPr>
        <w:rPr>
          <w:rFonts w:cs="Arial"/>
        </w:rPr>
      </w:pPr>
      <w:r w:rsidRPr="00507B0D">
        <w:rPr>
          <w:rFonts w:cs="Arial"/>
        </w:rPr>
        <w:t>GMW is required to submit its pricing application to the Essential Services Commission (ESC) for approval.</w:t>
      </w:r>
    </w:p>
    <w:p w14:paraId="5F61F5E7" w14:textId="77777777" w:rsidR="00306D8F" w:rsidRPr="00507B0D" w:rsidRDefault="00306D8F" w:rsidP="00306D8F">
      <w:pPr>
        <w:rPr>
          <w:rFonts w:cs="Arial"/>
        </w:rPr>
      </w:pPr>
      <w:r w:rsidRPr="00507B0D">
        <w:rPr>
          <w:rFonts w:cs="Arial"/>
        </w:rPr>
        <w:t>The Application is based on price adjustments which:</w:t>
      </w:r>
    </w:p>
    <w:p w14:paraId="4C2379A8" w14:textId="77777777" w:rsidR="00306D8F" w:rsidRPr="00507B0D" w:rsidRDefault="00306D8F" w:rsidP="00306D8F">
      <w:pPr>
        <w:pStyle w:val="ListParagraph"/>
        <w:numPr>
          <w:ilvl w:val="0"/>
          <w:numId w:val="9"/>
        </w:numPr>
        <w:spacing w:after="0"/>
        <w:rPr>
          <w:rFonts w:cs="Arial"/>
        </w:rPr>
      </w:pPr>
      <w:r w:rsidRPr="00507B0D">
        <w:rPr>
          <w:rFonts w:cs="Arial"/>
        </w:rPr>
        <w:t xml:space="preserve">continue to drive operational efficiencies while maintaining and/or improving service levels to our </w:t>
      </w:r>
      <w:proofErr w:type="gramStart"/>
      <w:r w:rsidRPr="00507B0D">
        <w:rPr>
          <w:rFonts w:cs="Arial"/>
        </w:rPr>
        <w:t>customers</w:t>
      </w:r>
      <w:proofErr w:type="gramEnd"/>
    </w:p>
    <w:p w14:paraId="07FEFA9A" w14:textId="77777777" w:rsidR="00306D8F" w:rsidRPr="00507B0D" w:rsidRDefault="00306D8F" w:rsidP="00306D8F">
      <w:pPr>
        <w:pStyle w:val="ListParagraph"/>
        <w:numPr>
          <w:ilvl w:val="0"/>
          <w:numId w:val="9"/>
        </w:numPr>
        <w:spacing w:after="0"/>
        <w:rPr>
          <w:rFonts w:cs="Arial"/>
        </w:rPr>
      </w:pPr>
      <w:r w:rsidRPr="00507B0D">
        <w:rPr>
          <w:rFonts w:cs="Arial"/>
        </w:rPr>
        <w:t xml:space="preserve">long-term tariff strategy implementation for </w:t>
      </w:r>
      <w:r w:rsidR="00E32DD0" w:rsidRPr="00507B0D">
        <w:rPr>
          <w:rFonts w:cs="Arial"/>
        </w:rPr>
        <w:t>service point tariffs</w:t>
      </w:r>
    </w:p>
    <w:p w14:paraId="5BE08DE1" w14:textId="77777777" w:rsidR="00306D8F" w:rsidRPr="00507B0D" w:rsidRDefault="00306D8F" w:rsidP="00306D8F">
      <w:pPr>
        <w:pStyle w:val="ListParagraph"/>
        <w:numPr>
          <w:ilvl w:val="0"/>
          <w:numId w:val="9"/>
        </w:numPr>
        <w:spacing w:after="0"/>
        <w:rPr>
          <w:rFonts w:cs="Arial"/>
        </w:rPr>
      </w:pPr>
      <w:r w:rsidRPr="00507B0D">
        <w:rPr>
          <w:rFonts w:cs="Arial"/>
        </w:rPr>
        <w:t xml:space="preserve">ensure sustainable and predictable prices this year and into the future, maintaining price increases within </w:t>
      </w:r>
      <w:r w:rsidR="00E32DD0" w:rsidRPr="00507B0D">
        <w:rPr>
          <w:rFonts w:cs="Arial"/>
        </w:rPr>
        <w:t>CPI unless already approved in the 2020 Determination.</w:t>
      </w:r>
    </w:p>
    <w:p w14:paraId="50AFE9D2" w14:textId="77777777" w:rsidR="00306D8F" w:rsidRPr="00507B0D" w:rsidRDefault="00306D8F" w:rsidP="00306D8F">
      <w:pPr>
        <w:pStyle w:val="ListParagraph"/>
        <w:numPr>
          <w:ilvl w:val="0"/>
          <w:numId w:val="9"/>
        </w:numPr>
        <w:spacing w:after="0"/>
        <w:rPr>
          <w:rFonts w:cs="Arial"/>
        </w:rPr>
      </w:pPr>
      <w:r w:rsidRPr="00507B0D">
        <w:rPr>
          <w:rFonts w:cs="Arial"/>
        </w:rPr>
        <w:t>are geared towards giving customers price relief, while ensuring GMW’s financial sustainability</w:t>
      </w:r>
    </w:p>
    <w:p w14:paraId="07AA0B83" w14:textId="77777777" w:rsidR="00306D8F" w:rsidRPr="00507B0D" w:rsidRDefault="00306D8F" w:rsidP="00306D8F">
      <w:pPr>
        <w:pStyle w:val="ListParagraph"/>
        <w:numPr>
          <w:ilvl w:val="0"/>
          <w:numId w:val="9"/>
        </w:numPr>
        <w:spacing w:after="0"/>
        <w:rPr>
          <w:rFonts w:cs="Arial"/>
        </w:rPr>
      </w:pPr>
      <w:r w:rsidRPr="00507B0D">
        <w:rPr>
          <w:rFonts w:cs="Arial"/>
        </w:rPr>
        <w:t>maintain forecast revenue within the revenue cap approved by the ESC for the 20</w:t>
      </w:r>
      <w:r w:rsidR="002C1A4B" w:rsidRPr="00507B0D">
        <w:rPr>
          <w:rFonts w:cs="Arial"/>
        </w:rPr>
        <w:t>20</w:t>
      </w:r>
      <w:r w:rsidRPr="00507B0D">
        <w:rPr>
          <w:rFonts w:cs="Arial"/>
        </w:rPr>
        <w:t xml:space="preserve"> price review </w:t>
      </w:r>
      <w:proofErr w:type="gramStart"/>
      <w:r w:rsidRPr="00507B0D">
        <w:rPr>
          <w:rFonts w:cs="Arial"/>
        </w:rPr>
        <w:t>period</w:t>
      </w:r>
      <w:proofErr w:type="gramEnd"/>
    </w:p>
    <w:p w14:paraId="21885B7C" w14:textId="77777777" w:rsidR="00306D8F" w:rsidRPr="00507B0D" w:rsidRDefault="00306D8F" w:rsidP="00306D8F">
      <w:pPr>
        <w:pStyle w:val="ListParagraph"/>
        <w:numPr>
          <w:ilvl w:val="0"/>
          <w:numId w:val="9"/>
        </w:numPr>
        <w:spacing w:after="0"/>
        <w:rPr>
          <w:rFonts w:cs="Arial"/>
        </w:rPr>
      </w:pPr>
      <w:r w:rsidRPr="00507B0D">
        <w:rPr>
          <w:rFonts w:cs="Arial"/>
        </w:rPr>
        <w:t xml:space="preserve">consider the risks presented by uncertain and unforeseen events on GMW’s financial sustainability and potential impact on sustainable and predictable </w:t>
      </w:r>
      <w:proofErr w:type="gramStart"/>
      <w:r w:rsidRPr="00507B0D">
        <w:rPr>
          <w:rFonts w:cs="Arial"/>
        </w:rPr>
        <w:t>price</w:t>
      </w:r>
      <w:proofErr w:type="gramEnd"/>
    </w:p>
    <w:p w14:paraId="072A750C" w14:textId="77777777" w:rsidR="00306D8F" w:rsidRPr="00507B0D" w:rsidRDefault="00306D8F" w:rsidP="00306D8F">
      <w:pPr>
        <w:pStyle w:val="ListParagraph"/>
        <w:numPr>
          <w:ilvl w:val="0"/>
          <w:numId w:val="9"/>
        </w:numPr>
        <w:spacing w:after="0"/>
        <w:rPr>
          <w:rFonts w:cs="Arial"/>
        </w:rPr>
      </w:pPr>
      <w:r w:rsidRPr="00507B0D">
        <w:rPr>
          <w:rFonts w:cs="Arial"/>
        </w:rPr>
        <w:t>are informed by customers’ views.</w:t>
      </w:r>
    </w:p>
    <w:p w14:paraId="02D90E67" w14:textId="77777777" w:rsidR="00306D8F" w:rsidRPr="009E198B" w:rsidRDefault="00306D8F" w:rsidP="00306D8F">
      <w:pPr>
        <w:rPr>
          <w:rFonts w:cs="Arial"/>
        </w:rPr>
      </w:pPr>
    </w:p>
    <w:p w14:paraId="5C0A2C01" w14:textId="77777777" w:rsidR="00E45FD3" w:rsidRDefault="00306D8F" w:rsidP="00037FF0">
      <w:pPr>
        <w:spacing w:after="0" w:line="240" w:lineRule="auto"/>
        <w:rPr>
          <w:rFonts w:cs="Arial"/>
          <w:szCs w:val="24"/>
        </w:rPr>
      </w:pPr>
      <w:r w:rsidRPr="002C2CA4">
        <w:rPr>
          <w:rFonts w:cs="Arial"/>
        </w:rPr>
        <w:t>GMW’s proposed revenue for 202</w:t>
      </w:r>
      <w:r w:rsidR="00703835" w:rsidRPr="002C2CA4">
        <w:rPr>
          <w:rFonts w:cs="Arial"/>
        </w:rPr>
        <w:t>3</w:t>
      </w:r>
      <w:r w:rsidR="001822D4" w:rsidRPr="002C2CA4">
        <w:rPr>
          <w:rFonts w:cs="Arial"/>
        </w:rPr>
        <w:t>/2</w:t>
      </w:r>
      <w:r w:rsidR="00703835" w:rsidRPr="002C2CA4">
        <w:rPr>
          <w:rFonts w:cs="Arial"/>
        </w:rPr>
        <w:t>4</w:t>
      </w:r>
      <w:r w:rsidRPr="002C2CA4">
        <w:rPr>
          <w:rFonts w:cs="Arial"/>
        </w:rPr>
        <w:t xml:space="preserve"> </w:t>
      </w:r>
      <w:r w:rsidRPr="000457D3">
        <w:rPr>
          <w:rFonts w:cs="Arial"/>
        </w:rPr>
        <w:t>is $</w:t>
      </w:r>
      <w:r w:rsidR="00037FF0" w:rsidRPr="000457D3">
        <w:rPr>
          <w:rFonts w:cs="Arial"/>
        </w:rPr>
        <w:t>11</w:t>
      </w:r>
      <w:r w:rsidR="000E0B4B" w:rsidRPr="000457D3">
        <w:rPr>
          <w:rFonts w:cs="Arial"/>
        </w:rPr>
        <w:t>8</w:t>
      </w:r>
      <w:r w:rsidR="00725804">
        <w:rPr>
          <w:rFonts w:cs="Arial"/>
        </w:rPr>
        <w:t>.3</w:t>
      </w:r>
      <w:r w:rsidR="00FD08D2" w:rsidRPr="000457D3">
        <w:rPr>
          <w:rFonts w:cs="Arial"/>
        </w:rPr>
        <w:t xml:space="preserve"> million</w:t>
      </w:r>
      <w:r w:rsidRPr="002C2CA4">
        <w:rPr>
          <w:rFonts w:cs="Arial"/>
        </w:rPr>
        <w:t xml:space="preserve">, which is </w:t>
      </w:r>
      <w:r w:rsidR="000E0B4B" w:rsidRPr="00254B95">
        <w:rPr>
          <w:rFonts w:cs="Arial"/>
        </w:rPr>
        <w:t>$</w:t>
      </w:r>
      <w:r w:rsidR="00254B95" w:rsidRPr="00254B95">
        <w:rPr>
          <w:rFonts w:cs="Arial"/>
        </w:rPr>
        <w:t>3.9</w:t>
      </w:r>
      <w:r w:rsidR="00725804" w:rsidRPr="00254B95">
        <w:rPr>
          <w:rFonts w:cs="Arial"/>
        </w:rPr>
        <w:t xml:space="preserve"> </w:t>
      </w:r>
      <w:r w:rsidR="000E0B4B" w:rsidRPr="00254B95">
        <w:rPr>
          <w:rFonts w:cs="Arial"/>
        </w:rPr>
        <w:t>million below</w:t>
      </w:r>
      <w:r w:rsidRPr="00254B95">
        <w:rPr>
          <w:rFonts w:cs="Arial"/>
        </w:rPr>
        <w:t xml:space="preserve"> the ESCs </w:t>
      </w:r>
      <w:r w:rsidR="00725804" w:rsidRPr="00254B95">
        <w:rPr>
          <w:rFonts w:cs="Arial"/>
        </w:rPr>
        <w:t xml:space="preserve">allowable revenue cap </w:t>
      </w:r>
      <w:r w:rsidRPr="00254B95">
        <w:rPr>
          <w:rFonts w:cs="Arial"/>
        </w:rPr>
        <w:t>of $</w:t>
      </w:r>
      <w:r w:rsidR="00037FF0" w:rsidRPr="00254B95">
        <w:rPr>
          <w:rFonts w:cs="Arial"/>
        </w:rPr>
        <w:t>1</w:t>
      </w:r>
      <w:r w:rsidR="000E0B4B" w:rsidRPr="00254B95">
        <w:rPr>
          <w:rFonts w:cs="Arial"/>
        </w:rPr>
        <w:t>2</w:t>
      </w:r>
      <w:r w:rsidR="00725804" w:rsidRPr="00254B95">
        <w:rPr>
          <w:rFonts w:cs="Arial"/>
        </w:rPr>
        <w:t>2.</w:t>
      </w:r>
      <w:r w:rsidR="00254B95" w:rsidRPr="00254B95">
        <w:rPr>
          <w:rFonts w:cs="Arial"/>
        </w:rPr>
        <w:t>2</w:t>
      </w:r>
      <w:r w:rsidR="00FD08D2" w:rsidRPr="00254B95">
        <w:rPr>
          <w:rFonts w:cs="Arial"/>
        </w:rPr>
        <w:t xml:space="preserve"> million </w:t>
      </w:r>
      <w:r w:rsidRPr="00254B95">
        <w:rPr>
          <w:rFonts w:cs="Arial"/>
        </w:rPr>
        <w:t>(in</w:t>
      </w:r>
      <w:r w:rsidRPr="002C2CA4">
        <w:rPr>
          <w:rFonts w:cs="Arial"/>
        </w:rPr>
        <w:t xml:space="preserve"> 202</w:t>
      </w:r>
      <w:r w:rsidR="00703835" w:rsidRPr="002C2CA4">
        <w:rPr>
          <w:rFonts w:cs="Arial"/>
        </w:rPr>
        <w:t>3/24</w:t>
      </w:r>
      <w:r w:rsidRPr="002C2CA4">
        <w:rPr>
          <w:rFonts w:cs="Arial"/>
        </w:rPr>
        <w:t xml:space="preserve"> values).</w:t>
      </w:r>
      <w:r w:rsidR="009678BD" w:rsidRPr="002C2CA4">
        <w:rPr>
          <w:rFonts w:cs="Arial"/>
        </w:rPr>
        <w:t xml:space="preserve"> </w:t>
      </w:r>
      <w:r w:rsidR="00037FF0" w:rsidRPr="002C2CA4">
        <w:rPr>
          <w:rFonts w:cs="Arial"/>
          <w:szCs w:val="24"/>
        </w:rPr>
        <w:t>GMW’s current</w:t>
      </w:r>
      <w:r w:rsidR="00037FF0" w:rsidRPr="009E198B">
        <w:rPr>
          <w:rFonts w:cs="Arial"/>
          <w:szCs w:val="24"/>
        </w:rPr>
        <w:t xml:space="preserve"> revenue forecast is aligned with its commitment to reduce prices in year one and smooth t</w:t>
      </w:r>
      <w:r w:rsidR="009E198B" w:rsidRPr="009E198B">
        <w:rPr>
          <w:rFonts w:cs="Arial"/>
          <w:szCs w:val="24"/>
        </w:rPr>
        <w:t>hem over the regulatory period.</w:t>
      </w:r>
    </w:p>
    <w:p w14:paraId="0D47111D" w14:textId="77777777" w:rsidR="00E45FD3" w:rsidRDefault="00E45FD3" w:rsidP="00037FF0">
      <w:pPr>
        <w:spacing w:after="0" w:line="240" w:lineRule="auto"/>
        <w:rPr>
          <w:rFonts w:cs="Arial"/>
          <w:szCs w:val="24"/>
        </w:rPr>
      </w:pPr>
    </w:p>
    <w:p w14:paraId="7A683B7B" w14:textId="77777777" w:rsidR="00306D8F" w:rsidRDefault="00306D8F" w:rsidP="00037FF0">
      <w:pPr>
        <w:spacing w:after="0" w:line="240" w:lineRule="auto"/>
        <w:rPr>
          <w:rFonts w:cs="Arial"/>
        </w:rPr>
      </w:pPr>
      <w:r w:rsidRPr="00A21526">
        <w:rPr>
          <w:rFonts w:cs="Arial"/>
        </w:rPr>
        <w:br w:type="page"/>
      </w:r>
    </w:p>
    <w:p w14:paraId="0BBED57F" w14:textId="77777777" w:rsidR="00306D8F" w:rsidRPr="00507B0D" w:rsidRDefault="00306D8F" w:rsidP="00306D8F">
      <w:pPr>
        <w:pStyle w:val="Heading2"/>
        <w:keepLines w:val="0"/>
        <w:numPr>
          <w:ilvl w:val="1"/>
          <w:numId w:val="3"/>
        </w:numPr>
        <w:spacing w:before="240" w:after="60"/>
        <w:rPr>
          <w:rFonts w:cs="Arial"/>
        </w:rPr>
      </w:pPr>
      <w:bookmarkStart w:id="2" w:name="_Toc481579022"/>
      <w:bookmarkStart w:id="3" w:name="_Toc134012414"/>
      <w:r w:rsidRPr="00507B0D">
        <w:rPr>
          <w:rFonts w:cs="Arial"/>
        </w:rPr>
        <w:lastRenderedPageBreak/>
        <w:t>Purpose of this application</w:t>
      </w:r>
      <w:bookmarkEnd w:id="2"/>
      <w:bookmarkEnd w:id="3"/>
    </w:p>
    <w:p w14:paraId="33112DB2" w14:textId="77777777" w:rsidR="00306D8F" w:rsidRPr="00507B0D" w:rsidRDefault="00306D8F" w:rsidP="00306D8F">
      <w:pPr>
        <w:rPr>
          <w:rFonts w:cs="Arial"/>
        </w:rPr>
      </w:pPr>
      <w:r w:rsidRPr="00507B0D">
        <w:rPr>
          <w:rFonts w:cs="Arial"/>
        </w:rPr>
        <w:t xml:space="preserve">In June 2020, the ESC issued its Final Decision on GMW’s 2020 Water Price Review. In its Final Decision, the ESC’s </w:t>
      </w:r>
      <w:proofErr w:type="gramStart"/>
      <w:r w:rsidRPr="00507B0D">
        <w:rPr>
          <w:rFonts w:cs="Arial"/>
        </w:rPr>
        <w:t>main focus</w:t>
      </w:r>
      <w:proofErr w:type="gramEnd"/>
      <w:r w:rsidRPr="00507B0D">
        <w:rPr>
          <w:rFonts w:cs="Arial"/>
        </w:rPr>
        <w:t xml:space="preserve"> was to ensure that prices were fair and reasonable, that is as low as possible but still sufficient to allow the business to recover the efficient costs of providing services. It further noted that the ESC’s Final Decision approved GMW’s proposal for common Infrastructure Access and Use Fees for the six GMID irrigation areas, </w:t>
      </w:r>
    </w:p>
    <w:p w14:paraId="3512E739" w14:textId="77777777" w:rsidR="00306D8F" w:rsidRPr="00507B0D" w:rsidRDefault="00306D8F" w:rsidP="00306D8F">
      <w:pPr>
        <w:rPr>
          <w:rFonts w:cs="Arial"/>
        </w:rPr>
      </w:pPr>
      <w:r w:rsidRPr="00507B0D">
        <w:rPr>
          <w:rFonts w:cs="Arial"/>
        </w:rPr>
        <w:t xml:space="preserve">In preparing its </w:t>
      </w:r>
      <w:proofErr w:type="gramStart"/>
      <w:r w:rsidRPr="00507B0D">
        <w:rPr>
          <w:rFonts w:cs="Arial"/>
        </w:rPr>
        <w:t>Application</w:t>
      </w:r>
      <w:proofErr w:type="gramEnd"/>
      <w:r w:rsidRPr="00507B0D">
        <w:rPr>
          <w:rFonts w:cs="Arial"/>
        </w:rPr>
        <w:t xml:space="preserve"> </w:t>
      </w:r>
      <w:r w:rsidRPr="002C2CA4">
        <w:rPr>
          <w:rFonts w:cs="Arial"/>
        </w:rPr>
        <w:t>for the 202</w:t>
      </w:r>
      <w:r w:rsidR="00465F93" w:rsidRPr="002C2CA4">
        <w:rPr>
          <w:rFonts w:cs="Arial"/>
        </w:rPr>
        <w:t>3/24</w:t>
      </w:r>
      <w:r w:rsidRPr="002C2CA4">
        <w:rPr>
          <w:rFonts w:cs="Arial"/>
        </w:rPr>
        <w:t xml:space="preserve"> Annual</w:t>
      </w:r>
      <w:r w:rsidRPr="00507B0D">
        <w:rPr>
          <w:rFonts w:cs="Arial"/>
        </w:rPr>
        <w:t xml:space="preserve"> Price Review of Fees and Charges (the Application), GMW has reviewed all of the forecasts and assumptions made for the 2020 Water Price Review to determine whether any adjustments are necessary. </w:t>
      </w:r>
      <w:proofErr w:type="gramStart"/>
      <w:r w:rsidRPr="00507B0D">
        <w:rPr>
          <w:rFonts w:cs="Arial"/>
        </w:rPr>
        <w:t>Thus</w:t>
      </w:r>
      <w:proofErr w:type="gramEnd"/>
      <w:r w:rsidRPr="00507B0D">
        <w:rPr>
          <w:rFonts w:cs="Arial"/>
        </w:rPr>
        <w:t xml:space="preserve"> the Application proposes adjustments to the fees and charges that are justified by circumstances arising since the 2020 price review</w:t>
      </w:r>
      <w:r w:rsidR="0045027B" w:rsidRPr="00507B0D">
        <w:rPr>
          <w:rFonts w:cs="Arial"/>
        </w:rPr>
        <w:t>.</w:t>
      </w:r>
    </w:p>
    <w:p w14:paraId="313D3C37" w14:textId="77777777" w:rsidR="00306D8F" w:rsidRPr="00507B0D" w:rsidRDefault="00306D8F" w:rsidP="00306D8F">
      <w:pPr>
        <w:rPr>
          <w:rFonts w:cs="Arial"/>
        </w:rPr>
      </w:pPr>
      <w:r w:rsidRPr="00507B0D">
        <w:rPr>
          <w:rFonts w:cs="Arial"/>
        </w:rPr>
        <w:t>This document and the supporting attachments set out GMW’s annual Price Submission for the 202</w:t>
      </w:r>
      <w:r w:rsidR="002C2CA4">
        <w:rPr>
          <w:rFonts w:cs="Arial"/>
        </w:rPr>
        <w:t>3</w:t>
      </w:r>
      <w:r w:rsidR="001822D4" w:rsidRPr="00507B0D">
        <w:rPr>
          <w:rFonts w:cs="Arial"/>
        </w:rPr>
        <w:t>/2</w:t>
      </w:r>
      <w:r w:rsidR="002C2CA4">
        <w:rPr>
          <w:rFonts w:cs="Arial"/>
        </w:rPr>
        <w:t>4</w:t>
      </w:r>
      <w:r w:rsidRPr="00507B0D">
        <w:rPr>
          <w:rFonts w:cs="Arial"/>
        </w:rPr>
        <w:t xml:space="preserve"> financial year.</w:t>
      </w:r>
    </w:p>
    <w:p w14:paraId="153BE0E6" w14:textId="77777777" w:rsidR="00306D8F" w:rsidRPr="00507B0D" w:rsidRDefault="00306D8F" w:rsidP="00306D8F">
      <w:pPr>
        <w:pStyle w:val="Heading2"/>
        <w:keepLines w:val="0"/>
        <w:numPr>
          <w:ilvl w:val="1"/>
          <w:numId w:val="3"/>
        </w:numPr>
        <w:spacing w:before="240" w:after="60"/>
        <w:rPr>
          <w:rFonts w:cs="Arial"/>
        </w:rPr>
      </w:pPr>
      <w:bookmarkStart w:id="4" w:name="_Toc481579023"/>
      <w:bookmarkStart w:id="5" w:name="_Toc134012415"/>
      <w:r w:rsidRPr="00507B0D">
        <w:rPr>
          <w:rFonts w:cs="Arial"/>
        </w:rPr>
        <w:t>Structure of the Application</w:t>
      </w:r>
      <w:bookmarkEnd w:id="4"/>
      <w:bookmarkEnd w:id="5"/>
    </w:p>
    <w:p w14:paraId="352FA601" w14:textId="77777777" w:rsidR="00306D8F" w:rsidRPr="00507B0D" w:rsidRDefault="00306D8F" w:rsidP="00306D8F">
      <w:pPr>
        <w:rPr>
          <w:rFonts w:cs="Arial"/>
        </w:rPr>
      </w:pPr>
      <w:r w:rsidRPr="00507B0D">
        <w:rPr>
          <w:rFonts w:cs="Arial"/>
        </w:rPr>
        <w:t>The remainder of the Application is structured as follows:</w:t>
      </w:r>
    </w:p>
    <w:p w14:paraId="00005506" w14:textId="77777777" w:rsidR="00306D8F" w:rsidRPr="00507B0D" w:rsidRDefault="00306D8F" w:rsidP="00306D8F">
      <w:pPr>
        <w:rPr>
          <w:rFonts w:cs="Arial"/>
        </w:rPr>
      </w:pPr>
      <w:r w:rsidRPr="00507B0D">
        <w:rPr>
          <w:rFonts w:cs="Arial"/>
        </w:rPr>
        <w:t>Section 2:  summarises the requirements and outcomes of GMW’s 2020 Price Submission and actions taken since the price review in relation to GMW’s Tariff Strategies.</w:t>
      </w:r>
    </w:p>
    <w:p w14:paraId="27CA86CC" w14:textId="77777777" w:rsidR="00306D8F" w:rsidRPr="00507B0D" w:rsidRDefault="00306D8F" w:rsidP="00306D8F">
      <w:pPr>
        <w:rPr>
          <w:rFonts w:cs="Arial"/>
        </w:rPr>
      </w:pPr>
      <w:r w:rsidRPr="00507B0D">
        <w:rPr>
          <w:rFonts w:cs="Arial"/>
        </w:rPr>
        <w:t>Section 3:  describes the annual price review process under the Water Charge Rules 2010 and provides an indicative timeline for this review and approval process.</w:t>
      </w:r>
    </w:p>
    <w:p w14:paraId="1FA1FBC2" w14:textId="77777777" w:rsidR="00306D8F" w:rsidRPr="00507B0D" w:rsidRDefault="00306D8F" w:rsidP="00306D8F">
      <w:pPr>
        <w:rPr>
          <w:rFonts w:cs="Arial"/>
        </w:rPr>
      </w:pPr>
      <w:r w:rsidRPr="00507B0D">
        <w:rPr>
          <w:rFonts w:cs="Arial"/>
        </w:rPr>
        <w:t>Section 4: provides an assessment of GMW’s financial viability.</w:t>
      </w:r>
    </w:p>
    <w:p w14:paraId="2443F2DB" w14:textId="77777777" w:rsidR="00306D8F" w:rsidRPr="00507B0D" w:rsidRDefault="00306D8F" w:rsidP="00306D8F">
      <w:pPr>
        <w:rPr>
          <w:rFonts w:cs="Arial"/>
        </w:rPr>
      </w:pPr>
      <w:r w:rsidRPr="00507B0D">
        <w:rPr>
          <w:rFonts w:cs="Arial"/>
        </w:rPr>
        <w:t xml:space="preserve">Section 5: sets out GMW’s internal governance process, which has been applied to this annual price review. </w:t>
      </w:r>
    </w:p>
    <w:p w14:paraId="5DC889EF" w14:textId="77777777" w:rsidR="00306D8F" w:rsidRPr="00507B0D" w:rsidRDefault="00306D8F" w:rsidP="00306D8F">
      <w:pPr>
        <w:rPr>
          <w:rFonts w:cs="Arial"/>
        </w:rPr>
      </w:pPr>
      <w:r w:rsidRPr="00507B0D">
        <w:rPr>
          <w:rFonts w:cs="Arial"/>
        </w:rPr>
        <w:t xml:space="preserve">Section 6: details the consultative approach and methodology undertaken by GMW in determining prices </w:t>
      </w:r>
      <w:r w:rsidRPr="002C2CA4">
        <w:rPr>
          <w:rFonts w:cs="Arial"/>
        </w:rPr>
        <w:t>for 202</w:t>
      </w:r>
      <w:r w:rsidR="00465F93" w:rsidRPr="002C2CA4">
        <w:rPr>
          <w:rFonts w:cs="Arial"/>
        </w:rPr>
        <w:t>3/24</w:t>
      </w:r>
      <w:r w:rsidR="001822D4" w:rsidRPr="002C2CA4">
        <w:rPr>
          <w:rFonts w:cs="Arial"/>
        </w:rPr>
        <w:t xml:space="preserve"> </w:t>
      </w:r>
      <w:r w:rsidRPr="002C2CA4">
        <w:rPr>
          <w:rFonts w:cs="Arial"/>
        </w:rPr>
        <w:t>and</w:t>
      </w:r>
      <w:r w:rsidRPr="00507B0D">
        <w:rPr>
          <w:rFonts w:cs="Arial"/>
        </w:rPr>
        <w:t xml:space="preserve"> provides an assessment of typical customer impacts.</w:t>
      </w:r>
    </w:p>
    <w:p w14:paraId="71606F83" w14:textId="77777777" w:rsidR="00306D8F" w:rsidRPr="00E7633A" w:rsidRDefault="00306D8F" w:rsidP="00306D8F">
      <w:pPr>
        <w:rPr>
          <w:rFonts w:cs="Arial"/>
        </w:rPr>
      </w:pPr>
      <w:r w:rsidRPr="00507B0D">
        <w:rPr>
          <w:rFonts w:cs="Arial"/>
        </w:rPr>
        <w:t xml:space="preserve">Section 7: sets out GMW’s proposed changes to gravity irrigation, </w:t>
      </w:r>
      <w:proofErr w:type="gramStart"/>
      <w:r w:rsidRPr="00507B0D">
        <w:rPr>
          <w:rFonts w:cs="Arial"/>
        </w:rPr>
        <w:t>diversion</w:t>
      </w:r>
      <w:proofErr w:type="gramEnd"/>
      <w:r w:rsidRPr="00507B0D">
        <w:rPr>
          <w:rFonts w:cs="Arial"/>
        </w:rPr>
        <w:t xml:space="preserve"> and environment prices in </w:t>
      </w:r>
      <w:r w:rsidRPr="00E7633A">
        <w:rPr>
          <w:rFonts w:cs="Arial"/>
        </w:rPr>
        <w:t>line with the ESC’s 2020 Price Review Final Decision and Determination.</w:t>
      </w:r>
    </w:p>
    <w:p w14:paraId="1BA2DEB1" w14:textId="77777777" w:rsidR="00306D8F" w:rsidRPr="00507B0D" w:rsidRDefault="00306D8F" w:rsidP="00306D8F">
      <w:pPr>
        <w:rPr>
          <w:rFonts w:cs="Arial"/>
        </w:rPr>
      </w:pPr>
      <w:r w:rsidRPr="00A21526">
        <w:rPr>
          <w:rFonts w:cs="Arial"/>
        </w:rPr>
        <w:t>Section 8: describes the customer consultation and engagement processes and activities undertaken prior to and during this annual price review.</w:t>
      </w:r>
    </w:p>
    <w:p w14:paraId="5245E791" w14:textId="77777777" w:rsidR="00306D8F" w:rsidRPr="00507B0D" w:rsidRDefault="00306D8F" w:rsidP="00306D8F">
      <w:pPr>
        <w:rPr>
          <w:rFonts w:cs="Arial"/>
        </w:rPr>
      </w:pPr>
      <w:r w:rsidRPr="00507B0D">
        <w:rPr>
          <w:rFonts w:cs="Arial"/>
        </w:rPr>
        <w:t xml:space="preserve">Attachments and information provided to support the Application will be sent via email to </w:t>
      </w:r>
      <w:hyperlink r:id="rId15" w:history="1">
        <w:r w:rsidRPr="00507B0D">
          <w:rPr>
            <w:rStyle w:val="Hyperlink"/>
            <w:rFonts w:cs="Arial"/>
          </w:rPr>
          <w:t>water@esc.vic.gov.au</w:t>
        </w:r>
      </w:hyperlink>
      <w:r w:rsidRPr="00507B0D">
        <w:rPr>
          <w:rFonts w:cs="Arial"/>
        </w:rPr>
        <w:t xml:space="preserve"> as requested by the ESC along with an electronic version of this document.</w:t>
      </w:r>
    </w:p>
    <w:p w14:paraId="5ED19983" w14:textId="77777777" w:rsidR="0045027B" w:rsidRPr="00612011" w:rsidRDefault="0045027B">
      <w:pPr>
        <w:rPr>
          <w:rFonts w:cs="Arial"/>
          <w:highlight w:val="yellow"/>
        </w:rPr>
      </w:pPr>
      <w:r w:rsidRPr="00612011">
        <w:rPr>
          <w:rFonts w:cs="Arial"/>
          <w:highlight w:val="yellow"/>
        </w:rPr>
        <w:br w:type="page"/>
      </w:r>
    </w:p>
    <w:p w14:paraId="29FB2FC0" w14:textId="77777777" w:rsidR="00306D8F" w:rsidRPr="00507B0D" w:rsidRDefault="00306D8F" w:rsidP="00306D8F">
      <w:pPr>
        <w:pStyle w:val="Heading1"/>
        <w:keepLines w:val="0"/>
        <w:numPr>
          <w:ilvl w:val="0"/>
          <w:numId w:val="3"/>
        </w:numPr>
        <w:spacing w:before="240" w:after="60"/>
        <w:rPr>
          <w:rFonts w:cs="Arial"/>
        </w:rPr>
      </w:pPr>
      <w:bookmarkStart w:id="6" w:name="_Toc481579024"/>
      <w:bookmarkStart w:id="7" w:name="_Toc134012416"/>
      <w:r w:rsidRPr="00507B0D">
        <w:rPr>
          <w:rFonts w:cs="Arial"/>
        </w:rPr>
        <w:lastRenderedPageBreak/>
        <w:t>Introduction</w:t>
      </w:r>
      <w:bookmarkEnd w:id="6"/>
      <w:bookmarkEnd w:id="7"/>
    </w:p>
    <w:p w14:paraId="2463A794" w14:textId="77777777" w:rsidR="00306D8F" w:rsidRPr="00507B0D" w:rsidRDefault="00306D8F" w:rsidP="00306D8F">
      <w:pPr>
        <w:pStyle w:val="Heading2"/>
        <w:keepLines w:val="0"/>
        <w:numPr>
          <w:ilvl w:val="1"/>
          <w:numId w:val="3"/>
        </w:numPr>
        <w:spacing w:before="240" w:after="60"/>
        <w:rPr>
          <w:rFonts w:cs="Arial"/>
        </w:rPr>
      </w:pPr>
      <w:bookmarkStart w:id="8" w:name="_Toc481579025"/>
      <w:bookmarkStart w:id="9" w:name="_Toc134012417"/>
      <w:r w:rsidRPr="00507B0D">
        <w:rPr>
          <w:rFonts w:cs="Arial"/>
        </w:rPr>
        <w:t>GMW’s 2020 Price Review</w:t>
      </w:r>
      <w:bookmarkEnd w:id="8"/>
      <w:bookmarkEnd w:id="9"/>
    </w:p>
    <w:p w14:paraId="1E208F8A" w14:textId="77777777" w:rsidR="003F0B0D" w:rsidRPr="00507B0D" w:rsidRDefault="00306D8F" w:rsidP="003F0B0D">
      <w:pPr>
        <w:rPr>
          <w:rFonts w:cs="Arial"/>
        </w:rPr>
      </w:pPr>
      <w:r w:rsidRPr="00507B0D">
        <w:rPr>
          <w:rFonts w:cs="Arial"/>
        </w:rPr>
        <w:t>GMW’s Statement of Obligations issued by the Minister for Water requires the delivery of a price submission to the Essential Services Commission</w:t>
      </w:r>
      <w:r w:rsidR="003F0B0D" w:rsidRPr="00507B0D">
        <w:rPr>
          <w:rFonts w:cs="Arial"/>
        </w:rPr>
        <w:t xml:space="preserve"> (ESC)</w:t>
      </w:r>
      <w:r w:rsidRPr="00507B0D">
        <w:rPr>
          <w:rFonts w:cs="Arial"/>
        </w:rPr>
        <w:t>, the economic regulator of the Victorian water sector.</w:t>
      </w:r>
      <w:r w:rsidR="003F0B0D" w:rsidRPr="00507B0D">
        <w:rPr>
          <w:rFonts w:cs="Arial"/>
        </w:rPr>
        <w:t xml:space="preserve"> The ESC </w:t>
      </w:r>
      <w:proofErr w:type="gramStart"/>
      <w:r w:rsidR="003F0B0D" w:rsidRPr="00507B0D">
        <w:rPr>
          <w:rFonts w:cs="Arial"/>
        </w:rPr>
        <w:t>were</w:t>
      </w:r>
      <w:proofErr w:type="gramEnd"/>
      <w:r w:rsidR="003F0B0D" w:rsidRPr="00507B0D">
        <w:rPr>
          <w:rFonts w:cs="Arial"/>
        </w:rPr>
        <w:t xml:space="preserve"> accredited by the ACCC to regulate the prices of GMW’s irrigation and bulk water services.</w:t>
      </w:r>
    </w:p>
    <w:p w14:paraId="622F7281" w14:textId="77777777" w:rsidR="00306D8F" w:rsidRPr="00507B0D" w:rsidRDefault="00306D8F" w:rsidP="00306D8F">
      <w:pPr>
        <w:rPr>
          <w:rFonts w:cs="Arial"/>
        </w:rPr>
      </w:pPr>
      <w:r w:rsidRPr="00507B0D">
        <w:rPr>
          <w:rFonts w:cs="Arial"/>
        </w:rPr>
        <w:t xml:space="preserve">The ESC’s review of GMW’s pricing proposal for 2020/21 to 2023/24 was assessed in accordance with the Water Charge </w:t>
      </w:r>
      <w:r w:rsidR="0045027B" w:rsidRPr="00507B0D">
        <w:rPr>
          <w:rFonts w:cs="Arial"/>
        </w:rPr>
        <w:t xml:space="preserve">(Infrastructure) </w:t>
      </w:r>
      <w:r w:rsidRPr="00507B0D">
        <w:rPr>
          <w:rFonts w:cs="Arial"/>
        </w:rPr>
        <w:t>Rules 2010</w:t>
      </w:r>
      <w:r w:rsidR="00C21B35" w:rsidRPr="00507B0D">
        <w:rPr>
          <w:rStyle w:val="FootnoteReference"/>
          <w:rFonts w:eastAsia="Calibri" w:cs="Arial"/>
        </w:rPr>
        <w:footnoteReference w:id="1"/>
      </w:r>
      <w:r w:rsidRPr="00507B0D">
        <w:rPr>
          <w:rFonts w:cs="Arial"/>
        </w:rPr>
        <w:t xml:space="preserve">. </w:t>
      </w:r>
    </w:p>
    <w:p w14:paraId="6BB8C38C" w14:textId="77777777" w:rsidR="00306D8F" w:rsidRPr="00507B0D" w:rsidRDefault="00306D8F" w:rsidP="00306D8F">
      <w:pPr>
        <w:rPr>
          <w:rFonts w:cs="Arial"/>
        </w:rPr>
      </w:pPr>
      <w:r w:rsidRPr="00507B0D">
        <w:rPr>
          <w:rFonts w:cs="Arial"/>
        </w:rPr>
        <w:t xml:space="preserve">Under the price review process, GMW submitted its 2020 Price Submission for the fifth regulatory period in November 2019, setting out its expected costs of delivering services, its planned capital works program, the forecast volume of water to be delivered and the proposed level of service to be provided to its customers. The Price Submission identified and articulated key business requirements that were introduced </w:t>
      </w:r>
      <w:proofErr w:type="gramStart"/>
      <w:r w:rsidRPr="00507B0D">
        <w:rPr>
          <w:rFonts w:cs="Arial"/>
        </w:rPr>
        <w:t>as a result of</w:t>
      </w:r>
      <w:proofErr w:type="gramEnd"/>
      <w:r w:rsidRPr="00507B0D">
        <w:rPr>
          <w:rFonts w:cs="Arial"/>
        </w:rPr>
        <w:t xml:space="preserve"> a number of projects and initiatives due for implementation over the regulatory period. The Price Submission covered each year of the four-year regulatory period.</w:t>
      </w:r>
    </w:p>
    <w:p w14:paraId="2A32D24A" w14:textId="77777777" w:rsidR="00306D8F" w:rsidRPr="00507B0D" w:rsidRDefault="00306D8F" w:rsidP="00306D8F">
      <w:pPr>
        <w:rPr>
          <w:rFonts w:cs="Arial"/>
        </w:rPr>
      </w:pPr>
      <w:r w:rsidRPr="00507B0D">
        <w:rPr>
          <w:rFonts w:cs="Arial"/>
        </w:rPr>
        <w:t>The Price Submission outlined the rationale for long-term tariff reform, which focused on reducing the complexity of tariffs and aligning tariffs with GMW’s business objectives and future operating environment. The Price Submission stated that the tariff reforms required to achieve these objectives would large</w:t>
      </w:r>
      <w:r w:rsidR="00850200">
        <w:rPr>
          <w:rFonts w:cs="Arial"/>
        </w:rPr>
        <w:t>ly be implemented over the 2020-</w:t>
      </w:r>
      <w:r w:rsidRPr="00507B0D">
        <w:rPr>
          <w:rFonts w:cs="Arial"/>
        </w:rPr>
        <w:t>2024 regulatory period.</w:t>
      </w:r>
    </w:p>
    <w:p w14:paraId="7ABA213E" w14:textId="77777777" w:rsidR="00306D8F" w:rsidRPr="00507B0D" w:rsidRDefault="00306D8F" w:rsidP="00306D8F">
      <w:pPr>
        <w:rPr>
          <w:rFonts w:cs="Arial"/>
        </w:rPr>
      </w:pPr>
      <w:r w:rsidRPr="00507B0D">
        <w:rPr>
          <w:rFonts w:cs="Arial"/>
        </w:rPr>
        <w:t>The ESC’s Final Decision for the fifth regulatory period 2020/21 to 2023/24:</w:t>
      </w:r>
    </w:p>
    <w:p w14:paraId="67A0EA99" w14:textId="77777777" w:rsidR="0028415D" w:rsidRPr="00507B0D" w:rsidRDefault="00306D8F" w:rsidP="00CD6FE6">
      <w:pPr>
        <w:pStyle w:val="ListParagraph"/>
        <w:numPr>
          <w:ilvl w:val="0"/>
          <w:numId w:val="10"/>
        </w:numPr>
        <w:spacing w:after="0"/>
        <w:rPr>
          <w:rFonts w:cs="Arial"/>
        </w:rPr>
        <w:sectPr w:rsidR="0028415D" w:rsidRPr="00507B0D" w:rsidSect="0028415D">
          <w:headerReference w:type="even" r:id="rId16"/>
          <w:headerReference w:type="default" r:id="rId17"/>
          <w:footerReference w:type="default" r:id="rId18"/>
          <w:headerReference w:type="first" r:id="rId19"/>
          <w:footnotePr>
            <w:numRestart w:val="eachPage"/>
          </w:footnotePr>
          <w:type w:val="continuous"/>
          <w:pgSz w:w="11906" w:h="16838"/>
          <w:pgMar w:top="1440" w:right="1800" w:bottom="1440" w:left="1800" w:header="720" w:footer="389" w:gutter="0"/>
          <w:pgNumType w:start="2"/>
          <w:cols w:space="720"/>
        </w:sectPr>
      </w:pPr>
      <w:r w:rsidRPr="00507B0D">
        <w:rPr>
          <w:rFonts w:cs="Arial"/>
        </w:rPr>
        <w:t xml:space="preserve">completed the ESC’s review of GMW’s pricing and tariff reset in accordance with the </w:t>
      </w:r>
      <w:r w:rsidR="00C21B35" w:rsidRPr="00507B0D">
        <w:rPr>
          <w:rFonts w:cs="Arial"/>
        </w:rPr>
        <w:t xml:space="preserve">Water Charge (Infrastructure) Rules </w:t>
      </w:r>
      <w:r w:rsidR="0028415D" w:rsidRPr="00507B0D">
        <w:rPr>
          <w:rFonts w:cs="Arial"/>
        </w:rPr>
        <w:t>2010</w:t>
      </w:r>
      <w:r w:rsidR="0028415D" w:rsidRPr="00507B0D">
        <w:rPr>
          <w:rStyle w:val="FootnoteReference"/>
          <w:rFonts w:cs="Arial"/>
        </w:rPr>
        <w:t>1</w:t>
      </w:r>
    </w:p>
    <w:p w14:paraId="2354E4EC" w14:textId="77777777" w:rsidR="00306D8F" w:rsidRPr="00507B0D" w:rsidRDefault="00306D8F" w:rsidP="0028415D">
      <w:pPr>
        <w:pStyle w:val="ListParagraph"/>
        <w:numPr>
          <w:ilvl w:val="0"/>
          <w:numId w:val="10"/>
        </w:numPr>
        <w:spacing w:after="0"/>
        <w:rPr>
          <w:rFonts w:cs="Arial"/>
        </w:rPr>
      </w:pPr>
      <w:r w:rsidRPr="00507B0D">
        <w:rPr>
          <w:rFonts w:cs="Arial"/>
        </w:rPr>
        <w:t>completed the ESC’s review of GMW’s groundwater and non-infrastructure related miscellaneous services in accordance with the Water Industry Regulatory Order</w:t>
      </w:r>
    </w:p>
    <w:p w14:paraId="0ADEF672" w14:textId="77777777" w:rsidR="00306D8F" w:rsidRPr="00507B0D" w:rsidRDefault="00306D8F" w:rsidP="00306D8F">
      <w:pPr>
        <w:pStyle w:val="ListParagraph"/>
        <w:numPr>
          <w:ilvl w:val="0"/>
          <w:numId w:val="10"/>
        </w:numPr>
        <w:spacing w:after="0"/>
        <w:rPr>
          <w:rFonts w:cs="Arial"/>
        </w:rPr>
      </w:pPr>
      <w:r w:rsidRPr="00507B0D">
        <w:rPr>
          <w:rFonts w:cs="Arial"/>
        </w:rPr>
        <w:t>set charges and service standards for irrigation services over the next four years.</w:t>
      </w:r>
    </w:p>
    <w:p w14:paraId="26A13C8C" w14:textId="77777777" w:rsidR="00306D8F" w:rsidRPr="00507B0D" w:rsidRDefault="00306D8F" w:rsidP="00306D8F">
      <w:pPr>
        <w:rPr>
          <w:rFonts w:cs="Arial"/>
        </w:rPr>
      </w:pPr>
    </w:p>
    <w:p w14:paraId="129C8521" w14:textId="77777777" w:rsidR="00306D8F" w:rsidRPr="00507B0D" w:rsidRDefault="00306D8F" w:rsidP="00306D8F">
      <w:pPr>
        <w:pStyle w:val="Heading2"/>
        <w:keepLines w:val="0"/>
        <w:numPr>
          <w:ilvl w:val="1"/>
          <w:numId w:val="3"/>
        </w:numPr>
        <w:spacing w:before="240" w:after="60"/>
        <w:rPr>
          <w:rFonts w:cs="Arial"/>
        </w:rPr>
      </w:pPr>
      <w:bookmarkStart w:id="10" w:name="_Toc481579026"/>
      <w:bookmarkStart w:id="11" w:name="_Toc134012418"/>
      <w:r w:rsidRPr="00507B0D">
        <w:rPr>
          <w:rFonts w:cs="Arial"/>
        </w:rPr>
        <w:t>Final Decision and Determination 2020</w:t>
      </w:r>
      <w:bookmarkEnd w:id="10"/>
      <w:bookmarkEnd w:id="11"/>
    </w:p>
    <w:p w14:paraId="19ABF44B" w14:textId="77777777" w:rsidR="00306D8F" w:rsidRPr="00507B0D" w:rsidRDefault="00306D8F" w:rsidP="00306D8F">
      <w:pPr>
        <w:pStyle w:val="Heading3"/>
        <w:keepLines w:val="0"/>
        <w:numPr>
          <w:ilvl w:val="2"/>
          <w:numId w:val="3"/>
        </w:numPr>
        <w:spacing w:before="240" w:after="60"/>
        <w:rPr>
          <w:rFonts w:cs="Arial"/>
        </w:rPr>
      </w:pPr>
      <w:bookmarkStart w:id="12" w:name="_Toc481579027"/>
      <w:bookmarkStart w:id="13" w:name="_Toc134012419"/>
      <w:r w:rsidRPr="00507B0D">
        <w:rPr>
          <w:rFonts w:cs="Arial"/>
        </w:rPr>
        <w:t>Service Standards</w:t>
      </w:r>
      <w:bookmarkEnd w:id="12"/>
      <w:bookmarkEnd w:id="13"/>
    </w:p>
    <w:p w14:paraId="74C7A8A6" w14:textId="77777777" w:rsidR="00306D8F" w:rsidRPr="00507B0D" w:rsidRDefault="00306D8F" w:rsidP="00306D8F">
      <w:pPr>
        <w:rPr>
          <w:rFonts w:cs="Arial"/>
        </w:rPr>
      </w:pPr>
      <w:r w:rsidRPr="00507B0D">
        <w:rPr>
          <w:rFonts w:cs="Arial"/>
        </w:rPr>
        <w:t xml:space="preserve">GMW proposed changes to its service standards to better align them with customers’ preferences and to better specify the services. </w:t>
      </w:r>
    </w:p>
    <w:p w14:paraId="2A9DEC7B" w14:textId="77777777" w:rsidR="00306D8F" w:rsidRPr="00507B0D" w:rsidRDefault="00306D8F" w:rsidP="00306D8F">
      <w:pPr>
        <w:rPr>
          <w:rFonts w:cs="Arial"/>
        </w:rPr>
      </w:pPr>
      <w:r w:rsidRPr="00507B0D">
        <w:rPr>
          <w:rFonts w:cs="Arial"/>
        </w:rPr>
        <w:t>The ESC’s Final Decision approved GMW’s proposed service standards and targets</w:t>
      </w:r>
      <w:r w:rsidR="0045027B" w:rsidRPr="00507B0D">
        <w:rPr>
          <w:rFonts w:cs="Arial"/>
        </w:rPr>
        <w:t>.</w:t>
      </w:r>
      <w:r w:rsidRPr="00507B0D">
        <w:rPr>
          <w:rFonts w:cs="Arial"/>
        </w:rPr>
        <w:t xml:space="preserve"> </w:t>
      </w:r>
      <w:r w:rsidR="0045027B" w:rsidRPr="00507B0D">
        <w:rPr>
          <w:rFonts w:cs="Arial"/>
        </w:rPr>
        <w:t>T</w:t>
      </w:r>
      <w:r w:rsidRPr="00507B0D">
        <w:rPr>
          <w:rFonts w:cs="Arial"/>
        </w:rPr>
        <w:t>he ESC noted that:</w:t>
      </w:r>
    </w:p>
    <w:p w14:paraId="0785EE0C" w14:textId="77777777" w:rsidR="00306D8F" w:rsidRPr="00507B0D" w:rsidRDefault="00306D8F" w:rsidP="00306D8F">
      <w:pPr>
        <w:pStyle w:val="ListParagraph"/>
        <w:numPr>
          <w:ilvl w:val="0"/>
          <w:numId w:val="11"/>
        </w:numPr>
        <w:spacing w:after="0"/>
        <w:rPr>
          <w:rFonts w:cs="Arial"/>
        </w:rPr>
      </w:pPr>
      <w:r w:rsidRPr="00507B0D">
        <w:rPr>
          <w:rFonts w:cs="Arial"/>
        </w:rPr>
        <w:t>GMW’s service standards and targets were developed in consultation with its Water Service Committees</w:t>
      </w:r>
      <w:r w:rsidR="0045027B" w:rsidRPr="00507B0D">
        <w:rPr>
          <w:rFonts w:cs="Arial"/>
        </w:rPr>
        <w:t xml:space="preserve"> and customer engagement.</w:t>
      </w:r>
    </w:p>
    <w:p w14:paraId="380A0126" w14:textId="77777777" w:rsidR="00306D8F" w:rsidRPr="00507B0D" w:rsidRDefault="00306D8F" w:rsidP="00306D8F">
      <w:pPr>
        <w:pStyle w:val="ListParagraph"/>
        <w:numPr>
          <w:ilvl w:val="0"/>
          <w:numId w:val="11"/>
        </w:numPr>
        <w:spacing w:after="0"/>
        <w:rPr>
          <w:rFonts w:cs="Arial"/>
        </w:rPr>
      </w:pPr>
      <w:r w:rsidRPr="00507B0D">
        <w:rPr>
          <w:rFonts w:cs="Arial"/>
        </w:rPr>
        <w:t>GMW’s proposed service targets were equal to or high</w:t>
      </w:r>
      <w:r w:rsidR="00F74776" w:rsidRPr="00507B0D">
        <w:rPr>
          <w:rFonts w:cs="Arial"/>
        </w:rPr>
        <w:t>er than previous years’ targets</w:t>
      </w:r>
      <w:r w:rsidR="0045027B" w:rsidRPr="00507B0D">
        <w:rPr>
          <w:rFonts w:cs="Arial"/>
        </w:rPr>
        <w:t>.</w:t>
      </w:r>
    </w:p>
    <w:p w14:paraId="72DAF0E2" w14:textId="77777777" w:rsidR="00306D8F" w:rsidRPr="00507B0D" w:rsidRDefault="00306D8F" w:rsidP="00306D8F">
      <w:pPr>
        <w:pStyle w:val="ListParagraph"/>
        <w:numPr>
          <w:ilvl w:val="0"/>
          <w:numId w:val="11"/>
        </w:numPr>
        <w:spacing w:after="0"/>
        <w:rPr>
          <w:rFonts w:cs="Arial"/>
        </w:rPr>
      </w:pPr>
      <w:r w:rsidRPr="00507B0D">
        <w:rPr>
          <w:rFonts w:cs="Arial"/>
        </w:rPr>
        <w:t xml:space="preserve">the ESC received </w:t>
      </w:r>
      <w:r w:rsidR="0045027B" w:rsidRPr="00507B0D">
        <w:rPr>
          <w:rFonts w:cs="Arial"/>
        </w:rPr>
        <w:t>no negative c</w:t>
      </w:r>
      <w:r w:rsidRPr="00507B0D">
        <w:rPr>
          <w:rFonts w:cs="Arial"/>
        </w:rPr>
        <w:t>ustomer feedback on GMW’s service standards.</w:t>
      </w:r>
    </w:p>
    <w:p w14:paraId="54580563" w14:textId="77777777" w:rsidR="00306D8F" w:rsidRPr="00507B0D" w:rsidRDefault="00306D8F" w:rsidP="00306D8F">
      <w:pPr>
        <w:rPr>
          <w:rFonts w:cs="Arial"/>
        </w:rPr>
      </w:pPr>
    </w:p>
    <w:p w14:paraId="4FD38766" w14:textId="77777777" w:rsidR="00306D8F" w:rsidRPr="00507B0D" w:rsidRDefault="00306D8F" w:rsidP="00306D8F">
      <w:pPr>
        <w:rPr>
          <w:rFonts w:cs="Arial"/>
        </w:rPr>
      </w:pPr>
      <w:r w:rsidRPr="00507B0D">
        <w:rPr>
          <w:rFonts w:cs="Arial"/>
        </w:rPr>
        <w:lastRenderedPageBreak/>
        <w:t xml:space="preserve">GMW has revised its Customer Charter to reflect the ESC’s Final Decision on the new </w:t>
      </w:r>
      <w:r w:rsidRPr="00507B0D">
        <w:t>service standards</w:t>
      </w:r>
      <w:r w:rsidRPr="00507B0D">
        <w:rPr>
          <w:rFonts w:cs="Arial"/>
        </w:rPr>
        <w:t xml:space="preserve"> and targets in accordance with the Rural Water Customer Service Code.</w:t>
      </w:r>
    </w:p>
    <w:p w14:paraId="00FE2522" w14:textId="77777777" w:rsidR="00306D8F" w:rsidRPr="00507B0D" w:rsidRDefault="00306D8F" w:rsidP="00306D8F">
      <w:pPr>
        <w:rPr>
          <w:rFonts w:cs="Arial"/>
        </w:rPr>
      </w:pPr>
      <w:r w:rsidRPr="00507B0D">
        <w:rPr>
          <w:rFonts w:cs="Arial"/>
        </w:rPr>
        <w:t>GMW continues to report its performance against these targets annually on its website and directly to its Water Service Committees.</w:t>
      </w:r>
    </w:p>
    <w:p w14:paraId="30E32AFF" w14:textId="77777777" w:rsidR="00306D8F" w:rsidRPr="00507B0D" w:rsidRDefault="00306D8F" w:rsidP="00306D8F">
      <w:pPr>
        <w:rPr>
          <w:rFonts w:cs="Arial"/>
        </w:rPr>
      </w:pPr>
    </w:p>
    <w:p w14:paraId="15F54179" w14:textId="77777777" w:rsidR="00306D8F" w:rsidRPr="00507B0D" w:rsidRDefault="00306D8F" w:rsidP="00306D8F">
      <w:pPr>
        <w:pStyle w:val="Heading3"/>
        <w:keepLines w:val="0"/>
        <w:numPr>
          <w:ilvl w:val="2"/>
          <w:numId w:val="3"/>
        </w:numPr>
        <w:spacing w:before="240" w:after="60"/>
        <w:rPr>
          <w:rFonts w:cs="Arial"/>
        </w:rPr>
      </w:pPr>
      <w:bookmarkStart w:id="14" w:name="_Toc481579028"/>
      <w:bookmarkStart w:id="15" w:name="_Toc134012420"/>
      <w:r w:rsidRPr="00507B0D">
        <w:rPr>
          <w:rFonts w:cs="Arial"/>
        </w:rPr>
        <w:t>Revenue Requirement</w:t>
      </w:r>
      <w:bookmarkEnd w:id="14"/>
      <w:bookmarkEnd w:id="15"/>
    </w:p>
    <w:p w14:paraId="7CDD6CD9" w14:textId="77777777" w:rsidR="001303A0" w:rsidRPr="00507B0D" w:rsidRDefault="00306D8F" w:rsidP="00306D8F">
      <w:pPr>
        <w:rPr>
          <w:rFonts w:cs="Arial"/>
          <w:sz w:val="16"/>
          <w:szCs w:val="16"/>
        </w:rPr>
      </w:pPr>
      <w:r w:rsidRPr="00507B0D">
        <w:rPr>
          <w:rFonts w:cs="Arial"/>
        </w:rPr>
        <w:t>The ESC’s Final Decision approved a revenue requirement of $439.5 million for the fifth regulatory period, summarised as follows:</w:t>
      </w:r>
    </w:p>
    <w:tbl>
      <w:tblPr>
        <w:tblW w:w="9456" w:type="dxa"/>
        <w:tblInd w:w="-10" w:type="dxa"/>
        <w:tblLook w:val="04A0" w:firstRow="1" w:lastRow="0" w:firstColumn="1" w:lastColumn="0" w:noHBand="0" w:noVBand="1"/>
      </w:tblPr>
      <w:tblGrid>
        <w:gridCol w:w="9456"/>
      </w:tblGrid>
      <w:tr w:rsidR="004D07C0" w:rsidRPr="004D07C0" w14:paraId="51828835" w14:textId="77777777" w:rsidTr="00593E22">
        <w:trPr>
          <w:trHeight w:val="231"/>
        </w:trPr>
        <w:tc>
          <w:tcPr>
            <w:tcW w:w="9456"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55A5B7A1" w14:textId="77777777" w:rsidR="004D07C0" w:rsidRPr="004D07C0" w:rsidRDefault="00593E22" w:rsidP="00593E22">
            <w:pPr>
              <w:spacing w:after="0" w:line="240" w:lineRule="auto"/>
              <w:rPr>
                <w:rFonts w:eastAsia="Times New Roman" w:cs="Arial"/>
                <w:b/>
                <w:bCs/>
                <w:color w:val="000000"/>
                <w:sz w:val="24"/>
                <w:szCs w:val="24"/>
                <w:lang w:eastAsia="en-AU"/>
              </w:rPr>
            </w:pPr>
            <w:r>
              <w:rPr>
                <w:rFonts w:eastAsia="Times New Roman" w:cs="Arial"/>
                <w:b/>
                <w:bCs/>
                <w:color w:val="000000"/>
                <w:sz w:val="24"/>
                <w:szCs w:val="24"/>
                <w:lang w:eastAsia="en-AU"/>
              </w:rPr>
              <w:t xml:space="preserve">2019-20 $ millions                     2020-21     2021-2     2022-23     2023-24   Total WP5 </w:t>
            </w:r>
          </w:p>
        </w:tc>
      </w:tr>
      <w:tr w:rsidR="004D07C0" w:rsidRPr="004D07C0" w14:paraId="60DDEC46" w14:textId="77777777" w:rsidTr="00593E22">
        <w:trPr>
          <w:trHeight w:val="280"/>
        </w:trPr>
        <w:tc>
          <w:tcPr>
            <w:tcW w:w="9456" w:type="dxa"/>
            <w:tcBorders>
              <w:top w:val="nil"/>
              <w:left w:val="single" w:sz="8" w:space="0" w:color="auto"/>
              <w:bottom w:val="single" w:sz="4" w:space="0" w:color="auto"/>
              <w:right w:val="single" w:sz="8" w:space="0" w:color="auto"/>
            </w:tcBorders>
            <w:shd w:val="clear" w:color="000000" w:fill="FFFFFF"/>
            <w:noWrap/>
            <w:vAlign w:val="bottom"/>
            <w:hideMark/>
          </w:tcPr>
          <w:p w14:paraId="17B0489A" w14:textId="77777777" w:rsidR="004D07C0" w:rsidRPr="004D07C0" w:rsidRDefault="00593E22" w:rsidP="004D07C0">
            <w:pPr>
              <w:spacing w:after="0" w:line="240" w:lineRule="auto"/>
              <w:rPr>
                <w:rFonts w:eastAsia="Times New Roman" w:cs="Arial"/>
                <w:color w:val="000000"/>
                <w:sz w:val="22"/>
                <w:lang w:eastAsia="en-AU"/>
              </w:rPr>
            </w:pPr>
            <w:r>
              <w:rPr>
                <w:rFonts w:eastAsia="Times New Roman" w:cs="Arial"/>
                <w:color w:val="000000"/>
                <w:sz w:val="22"/>
                <w:lang w:eastAsia="en-AU"/>
              </w:rPr>
              <w:t>Final Decision                                      113.9          108.3        108.3          108.9                 439.5</w:t>
            </w:r>
          </w:p>
        </w:tc>
      </w:tr>
    </w:tbl>
    <w:p w14:paraId="3CBE1957" w14:textId="77777777" w:rsidR="00306D8F" w:rsidRPr="00507B0D" w:rsidRDefault="00306D8F" w:rsidP="00306D8F">
      <w:pPr>
        <w:rPr>
          <w:rFonts w:cs="Arial"/>
        </w:rPr>
      </w:pPr>
    </w:p>
    <w:p w14:paraId="63DEE543" w14:textId="77777777" w:rsidR="00306D8F" w:rsidRPr="00507B0D" w:rsidRDefault="00306D8F" w:rsidP="00306D8F">
      <w:pPr>
        <w:pStyle w:val="Heading3"/>
        <w:keepLines w:val="0"/>
        <w:numPr>
          <w:ilvl w:val="2"/>
          <w:numId w:val="3"/>
        </w:numPr>
        <w:spacing w:before="240" w:after="60"/>
        <w:rPr>
          <w:rFonts w:cs="Arial"/>
        </w:rPr>
      </w:pPr>
      <w:bookmarkStart w:id="16" w:name="_Toc481579029"/>
      <w:bookmarkStart w:id="17" w:name="_Toc134012421"/>
      <w:r w:rsidRPr="00507B0D">
        <w:rPr>
          <w:rFonts w:cs="Arial"/>
        </w:rPr>
        <w:t>Operating Expenditure</w:t>
      </w:r>
      <w:bookmarkEnd w:id="16"/>
      <w:bookmarkEnd w:id="17"/>
    </w:p>
    <w:p w14:paraId="790E2031" w14:textId="77777777" w:rsidR="00306D8F" w:rsidRPr="00507B0D" w:rsidRDefault="00306D8F" w:rsidP="00306D8F">
      <w:pPr>
        <w:rPr>
          <w:rFonts w:cs="Arial"/>
        </w:rPr>
      </w:pPr>
      <w:r w:rsidRPr="00507B0D">
        <w:rPr>
          <w:rFonts w:cs="Arial"/>
        </w:rPr>
        <w:t xml:space="preserve">The ESC’s Final Decision approved operating expenditure for GMW over the </w:t>
      </w:r>
      <w:proofErr w:type="gramStart"/>
      <w:r w:rsidRPr="00507B0D">
        <w:rPr>
          <w:rFonts w:cs="Arial"/>
        </w:rPr>
        <w:t>four year</w:t>
      </w:r>
      <w:proofErr w:type="gramEnd"/>
      <w:r w:rsidRPr="00507B0D">
        <w:rPr>
          <w:rFonts w:cs="Arial"/>
        </w:rPr>
        <w:t xml:space="preserve"> regulatory period of $337.2 million, summarised as follows: </w:t>
      </w:r>
    </w:p>
    <w:tbl>
      <w:tblPr>
        <w:tblW w:w="9456" w:type="dxa"/>
        <w:tblInd w:w="-10" w:type="dxa"/>
        <w:tblLook w:val="04A0" w:firstRow="1" w:lastRow="0" w:firstColumn="1" w:lastColumn="0" w:noHBand="0" w:noVBand="1"/>
      </w:tblPr>
      <w:tblGrid>
        <w:gridCol w:w="9456"/>
      </w:tblGrid>
      <w:tr w:rsidR="00593E22" w:rsidRPr="004D07C0" w14:paraId="4D46F1FE" w14:textId="77777777" w:rsidTr="00593E22">
        <w:trPr>
          <w:trHeight w:val="231"/>
        </w:trPr>
        <w:tc>
          <w:tcPr>
            <w:tcW w:w="9456"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2DF5E460" w14:textId="77777777" w:rsidR="00593E22" w:rsidRPr="004D07C0" w:rsidRDefault="00593E22" w:rsidP="00593E22">
            <w:pPr>
              <w:spacing w:after="0" w:line="240" w:lineRule="auto"/>
              <w:rPr>
                <w:rFonts w:eastAsia="Times New Roman" w:cs="Arial"/>
                <w:b/>
                <w:bCs/>
                <w:color w:val="000000"/>
                <w:sz w:val="24"/>
                <w:szCs w:val="24"/>
                <w:lang w:eastAsia="en-AU"/>
              </w:rPr>
            </w:pPr>
            <w:r>
              <w:rPr>
                <w:rFonts w:eastAsia="Times New Roman" w:cs="Arial"/>
                <w:b/>
                <w:bCs/>
                <w:color w:val="000000"/>
                <w:sz w:val="24"/>
                <w:szCs w:val="24"/>
                <w:lang w:eastAsia="en-AU"/>
              </w:rPr>
              <w:t xml:space="preserve">2019-20 $ millions                     2020-21     2021-2     2022-23     2023-24   Total WP5 </w:t>
            </w:r>
          </w:p>
        </w:tc>
      </w:tr>
      <w:tr w:rsidR="00593E22" w:rsidRPr="004D07C0" w14:paraId="68BB3062" w14:textId="77777777" w:rsidTr="00593E22">
        <w:trPr>
          <w:trHeight w:val="280"/>
        </w:trPr>
        <w:tc>
          <w:tcPr>
            <w:tcW w:w="9456" w:type="dxa"/>
            <w:tcBorders>
              <w:top w:val="nil"/>
              <w:left w:val="single" w:sz="8" w:space="0" w:color="auto"/>
              <w:bottom w:val="single" w:sz="4" w:space="0" w:color="auto"/>
              <w:right w:val="single" w:sz="8" w:space="0" w:color="auto"/>
            </w:tcBorders>
            <w:shd w:val="clear" w:color="000000" w:fill="FFFFFF"/>
            <w:noWrap/>
            <w:vAlign w:val="bottom"/>
            <w:hideMark/>
          </w:tcPr>
          <w:p w14:paraId="35BE832D" w14:textId="77777777" w:rsidR="00593E22" w:rsidRPr="004D07C0" w:rsidRDefault="00593E22" w:rsidP="00593E22">
            <w:pPr>
              <w:spacing w:after="0" w:line="240" w:lineRule="auto"/>
              <w:rPr>
                <w:rFonts w:eastAsia="Times New Roman" w:cs="Arial"/>
                <w:color w:val="000000"/>
                <w:sz w:val="22"/>
                <w:lang w:eastAsia="en-AU"/>
              </w:rPr>
            </w:pPr>
            <w:r>
              <w:rPr>
                <w:rFonts w:eastAsia="Times New Roman" w:cs="Arial"/>
                <w:color w:val="000000"/>
                <w:sz w:val="22"/>
                <w:lang w:eastAsia="en-AU"/>
              </w:rPr>
              <w:t>Final Decision                                      89.1            83.1           82.5             82.5                 337.2</w:t>
            </w:r>
          </w:p>
        </w:tc>
      </w:tr>
    </w:tbl>
    <w:p w14:paraId="703C140A" w14:textId="77777777" w:rsidR="00306D8F" w:rsidRPr="00507B0D" w:rsidRDefault="00306D8F" w:rsidP="00306D8F">
      <w:pPr>
        <w:rPr>
          <w:rFonts w:cs="Arial"/>
        </w:rPr>
      </w:pPr>
    </w:p>
    <w:p w14:paraId="4BD9A7D0" w14:textId="77777777" w:rsidR="00306D8F" w:rsidRPr="00507B0D" w:rsidRDefault="00306D8F" w:rsidP="00306D8F">
      <w:pPr>
        <w:pStyle w:val="Heading3"/>
        <w:keepLines w:val="0"/>
        <w:numPr>
          <w:ilvl w:val="2"/>
          <w:numId w:val="3"/>
        </w:numPr>
        <w:spacing w:before="240" w:after="60"/>
        <w:rPr>
          <w:rFonts w:cs="Arial"/>
        </w:rPr>
      </w:pPr>
      <w:bookmarkStart w:id="18" w:name="_Toc481579030"/>
      <w:bookmarkStart w:id="19" w:name="_Toc134012422"/>
      <w:r w:rsidRPr="00507B0D">
        <w:rPr>
          <w:rFonts w:cs="Arial"/>
        </w:rPr>
        <w:t>Capital Expenditure</w:t>
      </w:r>
      <w:bookmarkEnd w:id="18"/>
      <w:bookmarkEnd w:id="19"/>
    </w:p>
    <w:p w14:paraId="7807AADB" w14:textId="77777777" w:rsidR="0074462C" w:rsidRPr="00507B0D" w:rsidRDefault="00306D8F" w:rsidP="00306D8F">
      <w:pPr>
        <w:rPr>
          <w:rFonts w:cs="Arial"/>
        </w:rPr>
      </w:pPr>
      <w:r w:rsidRPr="00507B0D">
        <w:rPr>
          <w:rFonts w:cs="Arial"/>
        </w:rPr>
        <w:t>In its Final Decision the ESC approved a capital expenditure of $96.</w:t>
      </w:r>
      <w:r w:rsidR="0074462C" w:rsidRPr="00507B0D">
        <w:rPr>
          <w:rFonts w:cs="Arial"/>
        </w:rPr>
        <w:t>1</w:t>
      </w:r>
      <w:r w:rsidRPr="00507B0D">
        <w:rPr>
          <w:rFonts w:cs="Arial"/>
        </w:rPr>
        <w:t xml:space="preserve"> million</w:t>
      </w:r>
      <w:r w:rsidR="0074462C" w:rsidRPr="00507B0D">
        <w:rPr>
          <w:rFonts w:cs="Arial"/>
        </w:rPr>
        <w:t xml:space="preserve"> over the </w:t>
      </w:r>
      <w:proofErr w:type="gramStart"/>
      <w:r w:rsidR="0074462C" w:rsidRPr="00507B0D">
        <w:rPr>
          <w:rFonts w:cs="Arial"/>
        </w:rPr>
        <w:t>four year</w:t>
      </w:r>
      <w:proofErr w:type="gramEnd"/>
      <w:r w:rsidR="0074462C" w:rsidRPr="00507B0D">
        <w:rPr>
          <w:rFonts w:cs="Arial"/>
        </w:rPr>
        <w:t xml:space="preserve"> regulatory period</w:t>
      </w:r>
      <w:r w:rsidRPr="00507B0D">
        <w:rPr>
          <w:rFonts w:cs="Arial"/>
        </w:rPr>
        <w:t>.</w:t>
      </w:r>
    </w:p>
    <w:tbl>
      <w:tblPr>
        <w:tblW w:w="9456" w:type="dxa"/>
        <w:tblInd w:w="-10" w:type="dxa"/>
        <w:tblLook w:val="04A0" w:firstRow="1" w:lastRow="0" w:firstColumn="1" w:lastColumn="0" w:noHBand="0" w:noVBand="1"/>
      </w:tblPr>
      <w:tblGrid>
        <w:gridCol w:w="9456"/>
      </w:tblGrid>
      <w:tr w:rsidR="00593E22" w:rsidRPr="004D07C0" w14:paraId="00987CD7" w14:textId="77777777" w:rsidTr="00593E22">
        <w:trPr>
          <w:trHeight w:val="231"/>
        </w:trPr>
        <w:tc>
          <w:tcPr>
            <w:tcW w:w="9456"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59327AA9" w14:textId="77777777" w:rsidR="00593E22" w:rsidRPr="004D07C0" w:rsidRDefault="00593E22" w:rsidP="00593E22">
            <w:pPr>
              <w:spacing w:after="0" w:line="240" w:lineRule="auto"/>
              <w:rPr>
                <w:rFonts w:eastAsia="Times New Roman" w:cs="Arial"/>
                <w:b/>
                <w:bCs/>
                <w:color w:val="000000"/>
                <w:sz w:val="24"/>
                <w:szCs w:val="24"/>
                <w:lang w:eastAsia="en-AU"/>
              </w:rPr>
            </w:pPr>
            <w:r>
              <w:rPr>
                <w:rFonts w:eastAsia="Times New Roman" w:cs="Arial"/>
                <w:b/>
                <w:bCs/>
                <w:color w:val="000000"/>
                <w:sz w:val="24"/>
                <w:szCs w:val="24"/>
                <w:lang w:eastAsia="en-AU"/>
              </w:rPr>
              <w:t xml:space="preserve">2019-20 $ millions                     2020-21     2021-2     2022-23     2023-24   Total WP5 </w:t>
            </w:r>
          </w:p>
        </w:tc>
      </w:tr>
      <w:tr w:rsidR="00593E22" w:rsidRPr="004D07C0" w14:paraId="3476827C" w14:textId="77777777" w:rsidTr="00593E22">
        <w:trPr>
          <w:trHeight w:val="280"/>
        </w:trPr>
        <w:tc>
          <w:tcPr>
            <w:tcW w:w="9456" w:type="dxa"/>
            <w:tcBorders>
              <w:top w:val="nil"/>
              <w:left w:val="single" w:sz="8" w:space="0" w:color="auto"/>
              <w:bottom w:val="single" w:sz="4" w:space="0" w:color="auto"/>
              <w:right w:val="single" w:sz="8" w:space="0" w:color="auto"/>
            </w:tcBorders>
            <w:shd w:val="clear" w:color="000000" w:fill="FFFFFF"/>
            <w:noWrap/>
            <w:vAlign w:val="bottom"/>
            <w:hideMark/>
          </w:tcPr>
          <w:p w14:paraId="74F9F69B" w14:textId="77777777" w:rsidR="00593E22" w:rsidRPr="004D07C0" w:rsidRDefault="00593E22" w:rsidP="00593E22">
            <w:pPr>
              <w:spacing w:after="0" w:line="240" w:lineRule="auto"/>
              <w:rPr>
                <w:rFonts w:eastAsia="Times New Roman" w:cs="Arial"/>
                <w:color w:val="000000"/>
                <w:sz w:val="22"/>
                <w:lang w:eastAsia="en-AU"/>
              </w:rPr>
            </w:pPr>
            <w:r>
              <w:rPr>
                <w:rFonts w:eastAsia="Times New Roman" w:cs="Arial"/>
                <w:color w:val="000000"/>
                <w:sz w:val="22"/>
                <w:lang w:eastAsia="en-AU"/>
              </w:rPr>
              <w:t>Final Decision                                      28.0            23.5           22.1            22.5                   96.1</w:t>
            </w:r>
          </w:p>
        </w:tc>
      </w:tr>
    </w:tbl>
    <w:p w14:paraId="41789CE6" w14:textId="77777777" w:rsidR="0074462C" w:rsidRPr="00507B0D" w:rsidRDefault="0074462C" w:rsidP="00306D8F">
      <w:pPr>
        <w:rPr>
          <w:rFonts w:cs="Arial"/>
        </w:rPr>
      </w:pPr>
    </w:p>
    <w:p w14:paraId="4B27F2D4" w14:textId="77777777" w:rsidR="00306D8F" w:rsidRPr="00507B0D" w:rsidRDefault="00306D8F" w:rsidP="00306D8F">
      <w:pPr>
        <w:rPr>
          <w:rFonts w:cs="Arial"/>
        </w:rPr>
      </w:pPr>
      <w:r w:rsidRPr="00507B0D">
        <w:rPr>
          <w:rFonts w:cs="Arial"/>
        </w:rPr>
        <w:t xml:space="preserve">In addition, the ESC approved $374.1 million for the Regulatory Asset Base opening balance </w:t>
      </w:r>
      <w:proofErr w:type="gramStart"/>
      <w:r w:rsidRPr="00507B0D">
        <w:rPr>
          <w:rFonts w:cs="Arial"/>
        </w:rPr>
        <w:t>at</w:t>
      </w:r>
      <w:proofErr w:type="gramEnd"/>
      <w:r w:rsidRPr="00507B0D">
        <w:rPr>
          <w:rFonts w:cs="Arial"/>
        </w:rPr>
        <w:t xml:space="preserve"> 1 July 2020.</w:t>
      </w:r>
    </w:p>
    <w:p w14:paraId="569B8F99" w14:textId="77777777" w:rsidR="00306D8F" w:rsidRPr="00507B0D" w:rsidRDefault="00306D8F" w:rsidP="00306D8F">
      <w:pPr>
        <w:rPr>
          <w:rFonts w:cs="Arial"/>
        </w:rPr>
      </w:pPr>
      <w:r w:rsidRPr="00507B0D">
        <w:rPr>
          <w:rFonts w:cs="Arial"/>
        </w:rPr>
        <w:t xml:space="preserve">For regulatory depreciation (return of capital), the ESC confirmed the depreciation forecasts submitted by GMW including its </w:t>
      </w:r>
      <w:proofErr w:type="gramStart"/>
      <w:r w:rsidRPr="00507B0D">
        <w:rPr>
          <w:rFonts w:cs="Arial"/>
        </w:rPr>
        <w:t>straight line</w:t>
      </w:r>
      <w:proofErr w:type="gramEnd"/>
      <w:r w:rsidRPr="00507B0D">
        <w:rPr>
          <w:rFonts w:cs="Arial"/>
        </w:rPr>
        <w:t xml:space="preserve"> approach to depreciation.</w:t>
      </w:r>
    </w:p>
    <w:p w14:paraId="28E0BF98" w14:textId="77777777" w:rsidR="00306D8F" w:rsidRPr="00507B0D" w:rsidRDefault="00306D8F" w:rsidP="00306D8F">
      <w:pPr>
        <w:rPr>
          <w:rFonts w:cs="Arial"/>
        </w:rPr>
      </w:pPr>
      <w:r w:rsidRPr="00507B0D">
        <w:rPr>
          <w:rFonts w:cs="Arial"/>
        </w:rPr>
        <w:t>The ESC approved GMW’s proposed real post tax weighted average cost of capital (WACC) of 4.0 per cent.</w:t>
      </w:r>
    </w:p>
    <w:p w14:paraId="5122E9FB" w14:textId="77777777" w:rsidR="00306D8F" w:rsidRPr="00507B0D" w:rsidRDefault="00306D8F" w:rsidP="00306D8F">
      <w:pPr>
        <w:rPr>
          <w:rFonts w:cs="Arial"/>
        </w:rPr>
      </w:pPr>
      <w:r w:rsidRPr="00507B0D">
        <w:rPr>
          <w:rFonts w:cs="Arial"/>
        </w:rPr>
        <w:t>For demand forecast, the ESC adopted GMW’s revised demand forecasts in its Final Decision.</w:t>
      </w:r>
    </w:p>
    <w:p w14:paraId="43773220" w14:textId="77777777" w:rsidR="00306D8F" w:rsidRPr="00507B0D" w:rsidRDefault="00306D8F" w:rsidP="00306D8F">
      <w:pPr>
        <w:pStyle w:val="Heading3"/>
        <w:keepLines w:val="0"/>
        <w:numPr>
          <w:ilvl w:val="2"/>
          <w:numId w:val="3"/>
        </w:numPr>
        <w:spacing w:before="240" w:after="60"/>
        <w:rPr>
          <w:rFonts w:cs="Arial"/>
        </w:rPr>
      </w:pPr>
      <w:bookmarkStart w:id="20" w:name="_Toc481579031"/>
      <w:bookmarkStart w:id="21" w:name="_Toc134012423"/>
      <w:r w:rsidRPr="00507B0D">
        <w:rPr>
          <w:rFonts w:cs="Arial"/>
        </w:rPr>
        <w:t>Tariff Structure</w:t>
      </w:r>
      <w:bookmarkEnd w:id="20"/>
      <w:bookmarkEnd w:id="21"/>
    </w:p>
    <w:p w14:paraId="4ECADDB3" w14:textId="77777777" w:rsidR="00E32DD0" w:rsidRPr="00507B0D" w:rsidRDefault="00E32DD0" w:rsidP="00306D8F">
      <w:pPr>
        <w:rPr>
          <w:rFonts w:cs="Arial"/>
          <w:u w:val="single"/>
        </w:rPr>
      </w:pPr>
      <w:r w:rsidRPr="00507B0D">
        <w:rPr>
          <w:rFonts w:cs="Arial"/>
          <w:u w:val="single"/>
        </w:rPr>
        <w:t>Uniform Delivery Fees for the 6 areas of the GMID</w:t>
      </w:r>
    </w:p>
    <w:p w14:paraId="57A80154" w14:textId="77777777" w:rsidR="00306D8F" w:rsidRPr="00507B0D" w:rsidRDefault="00306D8F" w:rsidP="00306D8F">
      <w:pPr>
        <w:rPr>
          <w:rFonts w:cs="Arial"/>
        </w:rPr>
      </w:pPr>
      <w:r w:rsidRPr="00507B0D">
        <w:rPr>
          <w:rFonts w:cs="Arial"/>
        </w:rPr>
        <w:t xml:space="preserve">GMW proposed to make its Infrastructure Access Fee (IAF) and Infrastructure Use Fee (IUF) uniform over the four years across its six irrigation areas: Shepparton, Central Goulburn, Rochester, Torrumbarry, Loddon </w:t>
      </w:r>
      <w:proofErr w:type="gramStart"/>
      <w:r w:rsidRPr="00507B0D">
        <w:rPr>
          <w:rFonts w:cs="Arial"/>
        </w:rPr>
        <w:t>Valley</w:t>
      </w:r>
      <w:proofErr w:type="gramEnd"/>
      <w:r w:rsidRPr="00507B0D">
        <w:rPr>
          <w:rFonts w:cs="Arial"/>
        </w:rPr>
        <w:t xml:space="preserve"> and Murray Valley. </w:t>
      </w:r>
    </w:p>
    <w:p w14:paraId="6347E388" w14:textId="77777777" w:rsidR="00306D8F" w:rsidRPr="00507B0D" w:rsidRDefault="00306D8F" w:rsidP="00306D8F">
      <w:pPr>
        <w:rPr>
          <w:rFonts w:cs="Arial"/>
        </w:rPr>
      </w:pPr>
      <w:r w:rsidRPr="002C2CA4">
        <w:rPr>
          <w:rFonts w:cs="Arial"/>
        </w:rPr>
        <w:lastRenderedPageBreak/>
        <w:t>The ESC’s Final Decision approved GMW’s proposal for a common delivery charge in the GMID as the</w:t>
      </w:r>
      <w:r w:rsidR="0045027B" w:rsidRPr="002C2CA4">
        <w:rPr>
          <w:rFonts w:cs="Arial"/>
        </w:rPr>
        <w:t>y</w:t>
      </w:r>
      <w:r w:rsidRPr="002C2CA4">
        <w:rPr>
          <w:rFonts w:cs="Arial"/>
        </w:rPr>
        <w:t xml:space="preserve"> believed GMW had demonstrated that costs are sufficiently aligned to support a common tariff, and the proposal better meets the ACCC’s pricing principles.</w:t>
      </w:r>
    </w:p>
    <w:p w14:paraId="57F0C773" w14:textId="77777777" w:rsidR="00306D8F" w:rsidRDefault="0074462C" w:rsidP="00306D8F">
      <w:pPr>
        <w:rPr>
          <w:rFonts w:cs="Arial"/>
        </w:rPr>
      </w:pPr>
      <w:r w:rsidRPr="00594600">
        <w:rPr>
          <w:noProof/>
          <w:lang w:eastAsia="en-AU"/>
        </w:rPr>
        <w:drawing>
          <wp:inline distT="0" distB="0" distL="0" distR="0" wp14:anchorId="075CCB63" wp14:editId="0DF34CB7">
            <wp:extent cx="5467350" cy="18491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5336" cy="1855204"/>
                    </a:xfrm>
                    <a:prstGeom prst="rect">
                      <a:avLst/>
                    </a:prstGeom>
                    <a:noFill/>
                    <a:ln>
                      <a:noFill/>
                    </a:ln>
                  </pic:spPr>
                </pic:pic>
              </a:graphicData>
            </a:graphic>
          </wp:inline>
        </w:drawing>
      </w:r>
    </w:p>
    <w:tbl>
      <w:tblPr>
        <w:tblStyle w:val="TableGrid"/>
        <w:tblW w:w="8647" w:type="dxa"/>
        <w:tblInd w:w="-5" w:type="dxa"/>
        <w:tblLook w:val="04A0" w:firstRow="1" w:lastRow="0" w:firstColumn="1" w:lastColumn="0" w:noHBand="0" w:noVBand="1"/>
      </w:tblPr>
      <w:tblGrid>
        <w:gridCol w:w="2612"/>
        <w:gridCol w:w="1964"/>
        <w:gridCol w:w="1661"/>
        <w:gridCol w:w="2410"/>
      </w:tblGrid>
      <w:tr w:rsidR="00E34CD3" w:rsidRPr="00612380" w14:paraId="0B6ACFFB" w14:textId="77777777" w:rsidTr="00E34CD3">
        <w:trPr>
          <w:trHeight w:val="324"/>
        </w:trPr>
        <w:tc>
          <w:tcPr>
            <w:tcW w:w="2612" w:type="dxa"/>
            <w:shd w:val="clear" w:color="auto" w:fill="BFBFBF" w:themeFill="background1" w:themeFillShade="BF"/>
            <w:vAlign w:val="center"/>
          </w:tcPr>
          <w:p w14:paraId="4B2067F5" w14:textId="77777777" w:rsidR="00E34CD3" w:rsidRPr="00612380" w:rsidRDefault="00E34CD3" w:rsidP="00593E22">
            <w:pPr>
              <w:jc w:val="center"/>
              <w:rPr>
                <w:b/>
                <w:sz w:val="18"/>
              </w:rPr>
            </w:pPr>
            <w:r>
              <w:rPr>
                <w:b/>
                <w:sz w:val="18"/>
              </w:rPr>
              <w:t>2019-20 $s</w:t>
            </w:r>
          </w:p>
        </w:tc>
        <w:tc>
          <w:tcPr>
            <w:tcW w:w="3625" w:type="dxa"/>
            <w:gridSpan w:val="2"/>
            <w:shd w:val="clear" w:color="auto" w:fill="BFBFBF" w:themeFill="background1" w:themeFillShade="BF"/>
            <w:vAlign w:val="center"/>
          </w:tcPr>
          <w:p w14:paraId="35411266" w14:textId="77777777" w:rsidR="00E34CD3" w:rsidRDefault="00E34CD3" w:rsidP="00E34CD3">
            <w:pPr>
              <w:jc w:val="right"/>
              <w:rPr>
                <w:b/>
                <w:sz w:val="18"/>
              </w:rPr>
            </w:pPr>
            <w:r>
              <w:rPr>
                <w:b/>
                <w:sz w:val="18"/>
              </w:rPr>
              <w:t xml:space="preserve">                          Infrastructure Access Fee</w:t>
            </w:r>
          </w:p>
          <w:p w14:paraId="1C6B9837" w14:textId="77777777" w:rsidR="00E34CD3" w:rsidRDefault="00E34CD3" w:rsidP="00E34CD3">
            <w:pPr>
              <w:jc w:val="right"/>
              <w:rPr>
                <w:b/>
                <w:sz w:val="18"/>
              </w:rPr>
            </w:pPr>
            <w:r>
              <w:rPr>
                <w:b/>
                <w:sz w:val="18"/>
              </w:rPr>
              <w:t xml:space="preserve">  </w:t>
            </w:r>
          </w:p>
          <w:p w14:paraId="66BB428E" w14:textId="77777777" w:rsidR="00E34CD3" w:rsidRDefault="00E34CD3" w:rsidP="00E34CD3">
            <w:pPr>
              <w:jc w:val="right"/>
              <w:rPr>
                <w:b/>
                <w:sz w:val="18"/>
              </w:rPr>
            </w:pPr>
            <w:r>
              <w:rPr>
                <w:b/>
                <w:sz w:val="18"/>
              </w:rPr>
              <w:t xml:space="preserve">                               $/ML/Day of delivery share </w:t>
            </w:r>
            <w:proofErr w:type="gramStart"/>
            <w:r>
              <w:rPr>
                <w:b/>
                <w:sz w:val="18"/>
              </w:rPr>
              <w:t>held</w:t>
            </w:r>
            <w:proofErr w:type="gramEnd"/>
          </w:p>
          <w:p w14:paraId="38F533DA" w14:textId="77777777" w:rsidR="00E34CD3" w:rsidRDefault="00E34CD3" w:rsidP="00E34CD3">
            <w:pPr>
              <w:rPr>
                <w:b/>
                <w:sz w:val="18"/>
              </w:rPr>
            </w:pPr>
            <w:r>
              <w:rPr>
                <w:b/>
                <w:sz w:val="18"/>
              </w:rPr>
              <w:t xml:space="preserve">Year                               </w:t>
            </w:r>
          </w:p>
        </w:tc>
        <w:tc>
          <w:tcPr>
            <w:tcW w:w="2410" w:type="dxa"/>
            <w:shd w:val="clear" w:color="auto" w:fill="BFBFBF" w:themeFill="background1" w:themeFillShade="BF"/>
          </w:tcPr>
          <w:p w14:paraId="31D30C1C" w14:textId="77777777" w:rsidR="00E34CD3" w:rsidRDefault="00E34CD3" w:rsidP="00E34CD3">
            <w:pPr>
              <w:jc w:val="right"/>
              <w:rPr>
                <w:b/>
                <w:sz w:val="18"/>
              </w:rPr>
            </w:pPr>
            <w:r>
              <w:rPr>
                <w:b/>
                <w:sz w:val="18"/>
              </w:rPr>
              <w:t xml:space="preserve">      Infrastructure Use Fee </w:t>
            </w:r>
          </w:p>
          <w:p w14:paraId="088466D1" w14:textId="77777777" w:rsidR="00E34CD3" w:rsidRDefault="00E34CD3" w:rsidP="00E34CD3">
            <w:pPr>
              <w:jc w:val="right"/>
              <w:rPr>
                <w:b/>
                <w:sz w:val="18"/>
              </w:rPr>
            </w:pPr>
          </w:p>
          <w:p w14:paraId="5A690ED4" w14:textId="77777777" w:rsidR="00E34CD3" w:rsidRPr="00612380" w:rsidRDefault="00E34CD3" w:rsidP="00E34CD3">
            <w:pPr>
              <w:jc w:val="right"/>
              <w:rPr>
                <w:b/>
                <w:sz w:val="18"/>
              </w:rPr>
            </w:pPr>
            <w:r>
              <w:rPr>
                <w:b/>
                <w:sz w:val="18"/>
              </w:rPr>
              <w:t xml:space="preserve">$/ML                           </w:t>
            </w:r>
          </w:p>
        </w:tc>
      </w:tr>
      <w:tr w:rsidR="00E34CD3" w:rsidRPr="00612380" w14:paraId="346AD3F5" w14:textId="77777777" w:rsidTr="00E34CD3">
        <w:trPr>
          <w:trHeight w:val="415"/>
        </w:trPr>
        <w:tc>
          <w:tcPr>
            <w:tcW w:w="2612" w:type="dxa"/>
            <w:vMerge w:val="restart"/>
            <w:vAlign w:val="center"/>
          </w:tcPr>
          <w:p w14:paraId="1BB9986B" w14:textId="77777777" w:rsidR="00E34CD3" w:rsidRPr="00612380" w:rsidRDefault="00E34CD3" w:rsidP="00593E22">
            <w:pPr>
              <w:rPr>
                <w:sz w:val="18"/>
              </w:rPr>
            </w:pPr>
            <w:r>
              <w:rPr>
                <w:sz w:val="18"/>
              </w:rPr>
              <w:t>Shepparton</w:t>
            </w:r>
          </w:p>
        </w:tc>
        <w:tc>
          <w:tcPr>
            <w:tcW w:w="1964" w:type="dxa"/>
            <w:vAlign w:val="center"/>
          </w:tcPr>
          <w:p w14:paraId="3A18F83E" w14:textId="77777777" w:rsidR="00E34CD3" w:rsidRPr="00612380" w:rsidRDefault="00E34CD3" w:rsidP="00E34CD3">
            <w:pPr>
              <w:rPr>
                <w:sz w:val="18"/>
              </w:rPr>
            </w:pPr>
            <w:r>
              <w:rPr>
                <w:sz w:val="18"/>
              </w:rPr>
              <w:t>2019-20</w:t>
            </w:r>
          </w:p>
        </w:tc>
        <w:tc>
          <w:tcPr>
            <w:tcW w:w="1661" w:type="dxa"/>
            <w:vAlign w:val="center"/>
          </w:tcPr>
          <w:p w14:paraId="6AF84547" w14:textId="77777777" w:rsidR="00E34CD3" w:rsidRPr="00612380" w:rsidRDefault="00E34CD3" w:rsidP="00E34CD3">
            <w:pPr>
              <w:jc w:val="right"/>
              <w:rPr>
                <w:sz w:val="18"/>
              </w:rPr>
            </w:pPr>
            <w:r>
              <w:rPr>
                <w:sz w:val="18"/>
              </w:rPr>
              <w:t>4,245.00</w:t>
            </w:r>
          </w:p>
        </w:tc>
        <w:tc>
          <w:tcPr>
            <w:tcW w:w="2410" w:type="dxa"/>
            <w:vAlign w:val="center"/>
          </w:tcPr>
          <w:p w14:paraId="51869E11" w14:textId="77777777" w:rsidR="00E34CD3" w:rsidRPr="00612380" w:rsidRDefault="00E34CD3" w:rsidP="00E34CD3">
            <w:pPr>
              <w:jc w:val="right"/>
              <w:rPr>
                <w:sz w:val="18"/>
              </w:rPr>
            </w:pPr>
            <w:r>
              <w:rPr>
                <w:sz w:val="18"/>
              </w:rPr>
              <w:t>7.4</w:t>
            </w:r>
            <w:r w:rsidR="006C741A">
              <w:rPr>
                <w:sz w:val="18"/>
              </w:rPr>
              <w:t>0</w:t>
            </w:r>
          </w:p>
        </w:tc>
      </w:tr>
      <w:tr w:rsidR="00E34CD3" w:rsidRPr="00612380" w14:paraId="7CD54500" w14:textId="77777777" w:rsidTr="00E34CD3">
        <w:trPr>
          <w:trHeight w:val="415"/>
        </w:trPr>
        <w:tc>
          <w:tcPr>
            <w:tcW w:w="2612" w:type="dxa"/>
            <w:vMerge/>
            <w:vAlign w:val="center"/>
          </w:tcPr>
          <w:p w14:paraId="0152396C" w14:textId="77777777" w:rsidR="00E34CD3" w:rsidRDefault="00E34CD3" w:rsidP="00593E22">
            <w:pPr>
              <w:rPr>
                <w:sz w:val="18"/>
              </w:rPr>
            </w:pPr>
          </w:p>
        </w:tc>
        <w:tc>
          <w:tcPr>
            <w:tcW w:w="1964" w:type="dxa"/>
            <w:vAlign w:val="center"/>
          </w:tcPr>
          <w:p w14:paraId="4A71886D" w14:textId="77777777" w:rsidR="00E34CD3" w:rsidRDefault="00E34CD3" w:rsidP="00E34CD3">
            <w:pPr>
              <w:rPr>
                <w:sz w:val="18"/>
              </w:rPr>
            </w:pPr>
            <w:r>
              <w:rPr>
                <w:sz w:val="18"/>
              </w:rPr>
              <w:t>2020-21</w:t>
            </w:r>
          </w:p>
        </w:tc>
        <w:tc>
          <w:tcPr>
            <w:tcW w:w="1661" w:type="dxa"/>
            <w:vAlign w:val="center"/>
          </w:tcPr>
          <w:p w14:paraId="008B8D2D" w14:textId="77777777" w:rsidR="00E34CD3" w:rsidRDefault="00E34CD3" w:rsidP="00E34CD3">
            <w:pPr>
              <w:jc w:val="right"/>
              <w:rPr>
                <w:sz w:val="18"/>
              </w:rPr>
            </w:pPr>
            <w:r>
              <w:rPr>
                <w:sz w:val="18"/>
              </w:rPr>
              <w:t>2,416.42</w:t>
            </w:r>
          </w:p>
        </w:tc>
        <w:tc>
          <w:tcPr>
            <w:tcW w:w="2410" w:type="dxa"/>
            <w:vAlign w:val="center"/>
          </w:tcPr>
          <w:p w14:paraId="04B3B28C" w14:textId="77777777" w:rsidR="00E34CD3" w:rsidRDefault="00E34CD3" w:rsidP="00E34CD3">
            <w:pPr>
              <w:jc w:val="right"/>
              <w:rPr>
                <w:sz w:val="18"/>
              </w:rPr>
            </w:pPr>
            <w:r>
              <w:rPr>
                <w:sz w:val="18"/>
              </w:rPr>
              <w:t>4.89</w:t>
            </w:r>
          </w:p>
        </w:tc>
      </w:tr>
      <w:tr w:rsidR="00E34CD3" w:rsidRPr="00612380" w14:paraId="57316581" w14:textId="77777777" w:rsidTr="00E34CD3">
        <w:trPr>
          <w:trHeight w:val="446"/>
        </w:trPr>
        <w:tc>
          <w:tcPr>
            <w:tcW w:w="2612" w:type="dxa"/>
            <w:vMerge w:val="restart"/>
            <w:vAlign w:val="center"/>
          </w:tcPr>
          <w:p w14:paraId="1CC519C8" w14:textId="77777777" w:rsidR="00E34CD3" w:rsidRPr="00593E22" w:rsidRDefault="00E34CD3" w:rsidP="00593E22">
            <w:pPr>
              <w:rPr>
                <w:sz w:val="18"/>
              </w:rPr>
            </w:pPr>
            <w:r w:rsidRPr="00593E22">
              <w:rPr>
                <w:sz w:val="18"/>
              </w:rPr>
              <w:t>Central Goulburn, Rochester, Loddon Valley, Murray Valley, Torrumbarry</w:t>
            </w:r>
          </w:p>
        </w:tc>
        <w:tc>
          <w:tcPr>
            <w:tcW w:w="1964" w:type="dxa"/>
            <w:vAlign w:val="center"/>
          </w:tcPr>
          <w:p w14:paraId="507ABCC9" w14:textId="77777777" w:rsidR="00E34CD3" w:rsidRPr="00612380" w:rsidRDefault="00E34CD3" w:rsidP="00E34CD3">
            <w:pPr>
              <w:rPr>
                <w:sz w:val="18"/>
              </w:rPr>
            </w:pPr>
            <w:r>
              <w:rPr>
                <w:sz w:val="18"/>
              </w:rPr>
              <w:t>2019-20</w:t>
            </w:r>
          </w:p>
        </w:tc>
        <w:tc>
          <w:tcPr>
            <w:tcW w:w="1661" w:type="dxa"/>
            <w:vAlign w:val="center"/>
          </w:tcPr>
          <w:p w14:paraId="0FA94E87" w14:textId="77777777" w:rsidR="00E34CD3" w:rsidRPr="00612380" w:rsidRDefault="00E34CD3" w:rsidP="00E34CD3">
            <w:pPr>
              <w:jc w:val="right"/>
              <w:rPr>
                <w:sz w:val="18"/>
              </w:rPr>
            </w:pPr>
            <w:r>
              <w:rPr>
                <w:sz w:val="18"/>
              </w:rPr>
              <w:t>2,925.00</w:t>
            </w:r>
          </w:p>
        </w:tc>
        <w:tc>
          <w:tcPr>
            <w:tcW w:w="2410" w:type="dxa"/>
            <w:vAlign w:val="center"/>
          </w:tcPr>
          <w:p w14:paraId="6D364CE9" w14:textId="77777777" w:rsidR="00E34CD3" w:rsidRPr="00612380" w:rsidRDefault="00E34CD3" w:rsidP="00E34CD3">
            <w:pPr>
              <w:jc w:val="right"/>
              <w:rPr>
                <w:sz w:val="18"/>
              </w:rPr>
            </w:pPr>
            <w:r>
              <w:rPr>
                <w:sz w:val="18"/>
              </w:rPr>
              <w:t>5.10</w:t>
            </w:r>
          </w:p>
        </w:tc>
      </w:tr>
      <w:tr w:rsidR="00E34CD3" w:rsidRPr="00612380" w14:paraId="693A8945" w14:textId="77777777" w:rsidTr="00E34CD3">
        <w:trPr>
          <w:trHeight w:val="446"/>
        </w:trPr>
        <w:tc>
          <w:tcPr>
            <w:tcW w:w="2612" w:type="dxa"/>
            <w:vMerge/>
            <w:vAlign w:val="center"/>
          </w:tcPr>
          <w:p w14:paraId="1D0FDE35" w14:textId="77777777" w:rsidR="00E34CD3" w:rsidRPr="00593E22" w:rsidRDefault="00E34CD3" w:rsidP="00593E22">
            <w:pPr>
              <w:rPr>
                <w:sz w:val="18"/>
              </w:rPr>
            </w:pPr>
          </w:p>
        </w:tc>
        <w:tc>
          <w:tcPr>
            <w:tcW w:w="1964" w:type="dxa"/>
            <w:vAlign w:val="center"/>
          </w:tcPr>
          <w:p w14:paraId="04CC50A7" w14:textId="77777777" w:rsidR="00E34CD3" w:rsidRDefault="00E34CD3" w:rsidP="00E34CD3">
            <w:pPr>
              <w:rPr>
                <w:sz w:val="18"/>
              </w:rPr>
            </w:pPr>
            <w:r>
              <w:rPr>
                <w:sz w:val="18"/>
              </w:rPr>
              <w:t>2020-21</w:t>
            </w:r>
          </w:p>
        </w:tc>
        <w:tc>
          <w:tcPr>
            <w:tcW w:w="1661" w:type="dxa"/>
            <w:vAlign w:val="center"/>
          </w:tcPr>
          <w:p w14:paraId="2D3ECF64" w14:textId="77777777" w:rsidR="00E34CD3" w:rsidRDefault="00E34CD3" w:rsidP="00E34CD3">
            <w:pPr>
              <w:jc w:val="right"/>
              <w:rPr>
                <w:sz w:val="18"/>
              </w:rPr>
            </w:pPr>
            <w:r>
              <w:rPr>
                <w:sz w:val="18"/>
              </w:rPr>
              <w:t>2,416.42</w:t>
            </w:r>
          </w:p>
        </w:tc>
        <w:tc>
          <w:tcPr>
            <w:tcW w:w="2410" w:type="dxa"/>
            <w:vAlign w:val="center"/>
          </w:tcPr>
          <w:p w14:paraId="5DA6F60F" w14:textId="77777777" w:rsidR="00E34CD3" w:rsidRDefault="00E34CD3" w:rsidP="00E34CD3">
            <w:pPr>
              <w:jc w:val="right"/>
              <w:rPr>
                <w:sz w:val="18"/>
              </w:rPr>
            </w:pPr>
            <w:r>
              <w:rPr>
                <w:sz w:val="18"/>
              </w:rPr>
              <w:t>4.89</w:t>
            </w:r>
          </w:p>
        </w:tc>
      </w:tr>
    </w:tbl>
    <w:p w14:paraId="05B10485" w14:textId="77777777" w:rsidR="00593E22" w:rsidRPr="00507B0D" w:rsidRDefault="00593E22" w:rsidP="00306D8F">
      <w:pPr>
        <w:rPr>
          <w:rFonts w:cs="Arial"/>
        </w:rPr>
      </w:pPr>
    </w:p>
    <w:p w14:paraId="73071DBB" w14:textId="77777777" w:rsidR="00E32DD0" w:rsidRPr="00507B0D" w:rsidRDefault="00E32DD0" w:rsidP="00E32DD0">
      <w:pPr>
        <w:rPr>
          <w:rFonts w:cs="Arial"/>
          <w:u w:val="single"/>
        </w:rPr>
      </w:pPr>
      <w:r w:rsidRPr="00507B0D">
        <w:rPr>
          <w:rFonts w:cs="Arial"/>
          <w:u w:val="single"/>
        </w:rPr>
        <w:t>Service Points</w:t>
      </w:r>
    </w:p>
    <w:p w14:paraId="730C90B5" w14:textId="77777777" w:rsidR="00E32DD0" w:rsidRPr="00507B0D" w:rsidRDefault="00E32DD0" w:rsidP="00E32DD0">
      <w:pPr>
        <w:spacing w:after="0"/>
        <w:rPr>
          <w:rFonts w:eastAsia="Times New Roman" w:cs="Arial"/>
          <w:szCs w:val="24"/>
        </w:rPr>
      </w:pPr>
      <w:r w:rsidRPr="00507B0D">
        <w:rPr>
          <w:rFonts w:eastAsia="Times New Roman" w:cs="Arial"/>
          <w:szCs w:val="24"/>
        </w:rPr>
        <w:t xml:space="preserve">GMW proposed cost reflective service point tariffs for Gravity and Pumped Irrigation, Water </w:t>
      </w:r>
      <w:r w:rsidRPr="002C2CA4">
        <w:rPr>
          <w:rFonts w:eastAsia="Times New Roman" w:cs="Arial"/>
          <w:szCs w:val="24"/>
        </w:rPr>
        <w:t>Districts and Diversions to treat all service points the same way across all customer groups by 2023/24.</w:t>
      </w:r>
      <w:r w:rsidRPr="00507B0D">
        <w:rPr>
          <w:rFonts w:eastAsia="Times New Roman" w:cs="Arial"/>
          <w:szCs w:val="24"/>
        </w:rPr>
        <w:t xml:space="preserve"> </w:t>
      </w:r>
      <w:r w:rsidR="003F0B0D" w:rsidRPr="00507B0D">
        <w:rPr>
          <w:rFonts w:eastAsia="Times New Roman" w:cs="Arial"/>
          <w:szCs w:val="24"/>
        </w:rPr>
        <w:t>Price changes were designed so that there was a steady transition between the beginning of WP5 and the final year of the regulatory period.</w:t>
      </w:r>
    </w:p>
    <w:p w14:paraId="441860AC" w14:textId="77777777" w:rsidR="00E32DD0" w:rsidRPr="00507B0D" w:rsidRDefault="00E32DD0" w:rsidP="00E32DD0">
      <w:pPr>
        <w:spacing w:after="0"/>
        <w:ind w:left="360"/>
        <w:rPr>
          <w:rFonts w:eastAsia="Times New Roman" w:cs="Arial"/>
          <w:szCs w:val="24"/>
        </w:rPr>
      </w:pPr>
    </w:p>
    <w:p w14:paraId="76417621" w14:textId="77777777" w:rsidR="00E32DD0" w:rsidRPr="00507B0D" w:rsidRDefault="00E32DD0" w:rsidP="00E32DD0">
      <w:pPr>
        <w:spacing w:after="0"/>
        <w:rPr>
          <w:rFonts w:eastAsia="Times New Roman" w:cs="Arial"/>
          <w:szCs w:val="24"/>
        </w:rPr>
      </w:pPr>
      <w:r w:rsidRPr="00507B0D">
        <w:rPr>
          <w:rFonts w:cs="Arial"/>
          <w:u w:val="single"/>
        </w:rPr>
        <w:t>Bulk Storage charges</w:t>
      </w:r>
      <w:r w:rsidRPr="00507B0D">
        <w:rPr>
          <w:rFonts w:eastAsia="Times New Roman" w:cs="Arial"/>
          <w:szCs w:val="24"/>
        </w:rPr>
        <w:t>:</w:t>
      </w:r>
    </w:p>
    <w:p w14:paraId="485DD36A" w14:textId="77777777" w:rsidR="00E32DD0" w:rsidRPr="00507B0D" w:rsidRDefault="00E32DD0" w:rsidP="00E32DD0">
      <w:pPr>
        <w:spacing w:after="0"/>
        <w:rPr>
          <w:rFonts w:eastAsia="Times New Roman" w:cs="Arial"/>
          <w:szCs w:val="24"/>
        </w:rPr>
      </w:pPr>
    </w:p>
    <w:p w14:paraId="52845410" w14:textId="77777777" w:rsidR="00E32DD0" w:rsidRPr="00507B0D" w:rsidRDefault="003F0B0D" w:rsidP="00E32DD0">
      <w:pPr>
        <w:pStyle w:val="ListParagraph"/>
        <w:numPr>
          <w:ilvl w:val="0"/>
          <w:numId w:val="12"/>
        </w:numPr>
        <w:spacing w:after="0"/>
        <w:rPr>
          <w:rFonts w:eastAsia="Times New Roman" w:cs="Arial"/>
          <w:szCs w:val="24"/>
        </w:rPr>
      </w:pPr>
      <w:r w:rsidRPr="00507B0D">
        <w:rPr>
          <w:rFonts w:eastAsia="Times New Roman" w:cs="Arial"/>
          <w:szCs w:val="24"/>
        </w:rPr>
        <w:t xml:space="preserve">Wholesale customers - </w:t>
      </w:r>
      <w:r w:rsidR="00E32DD0" w:rsidRPr="00507B0D">
        <w:rPr>
          <w:rFonts w:eastAsia="Times New Roman" w:cs="Arial"/>
          <w:szCs w:val="24"/>
        </w:rPr>
        <w:t>Bulk Entitlement holders to be maintained at the current basin pricing approach with no real change in price during the water plan 5 period.</w:t>
      </w:r>
    </w:p>
    <w:p w14:paraId="3999B963" w14:textId="77777777" w:rsidR="00E32DD0" w:rsidRPr="00507B0D" w:rsidRDefault="00E32DD0" w:rsidP="00E32DD0">
      <w:pPr>
        <w:spacing w:after="0"/>
        <w:ind w:left="720"/>
        <w:rPr>
          <w:rFonts w:eastAsia="Times New Roman" w:cs="Arial"/>
          <w:szCs w:val="24"/>
        </w:rPr>
      </w:pPr>
      <w:r w:rsidRPr="00507B0D">
        <w:rPr>
          <w:rFonts w:eastAsia="Times New Roman" w:cs="Arial"/>
          <w:szCs w:val="24"/>
        </w:rPr>
        <w:t>With the possibility to transition bulk charges to a system price during the next price review.</w:t>
      </w:r>
    </w:p>
    <w:p w14:paraId="5969E10E" w14:textId="77777777" w:rsidR="00E32DD0" w:rsidRPr="00507B0D" w:rsidRDefault="00E32DD0" w:rsidP="00E32DD0">
      <w:pPr>
        <w:pStyle w:val="ListParagraph"/>
        <w:numPr>
          <w:ilvl w:val="0"/>
          <w:numId w:val="12"/>
        </w:numPr>
        <w:spacing w:after="0"/>
        <w:rPr>
          <w:rFonts w:eastAsia="Times New Roman" w:cs="Arial"/>
          <w:szCs w:val="24"/>
        </w:rPr>
      </w:pPr>
      <w:r w:rsidRPr="00507B0D">
        <w:rPr>
          <w:rFonts w:eastAsia="Times New Roman" w:cs="Arial"/>
          <w:szCs w:val="24"/>
        </w:rPr>
        <w:t>Retail customers to pay the same storage fees regardless of whether their water entitlement is associated with land (</w:t>
      </w:r>
      <w:proofErr w:type="spellStart"/>
      <w:proofErr w:type="gramStart"/>
      <w:r w:rsidRPr="00507B0D">
        <w:rPr>
          <w:rFonts w:eastAsia="Times New Roman" w:cs="Arial"/>
          <w:szCs w:val="24"/>
        </w:rPr>
        <w:t>ie</w:t>
      </w:r>
      <w:proofErr w:type="spellEnd"/>
      <w:proofErr w:type="gramEnd"/>
      <w:r w:rsidRPr="00507B0D">
        <w:rPr>
          <w:rFonts w:eastAsia="Times New Roman" w:cs="Arial"/>
          <w:szCs w:val="24"/>
        </w:rPr>
        <w:t xml:space="preserve"> their status as a water or non-water user) and to be charged Entitlement Storage fees based on a system price.</w:t>
      </w:r>
    </w:p>
    <w:p w14:paraId="4DEBCAF9" w14:textId="77777777" w:rsidR="00E32DD0" w:rsidRPr="00507B0D" w:rsidRDefault="00E32DD0" w:rsidP="00E32DD0">
      <w:pPr>
        <w:spacing w:after="0"/>
        <w:ind w:left="360"/>
        <w:rPr>
          <w:rFonts w:eastAsia="Times New Roman" w:cs="Arial"/>
          <w:szCs w:val="24"/>
        </w:rPr>
      </w:pPr>
    </w:p>
    <w:p w14:paraId="69D69A15" w14:textId="77777777" w:rsidR="00E32DD0" w:rsidRPr="00507B0D" w:rsidRDefault="00E32DD0" w:rsidP="00E32DD0">
      <w:pPr>
        <w:rPr>
          <w:rFonts w:cs="Arial"/>
          <w:u w:val="single"/>
        </w:rPr>
      </w:pPr>
      <w:r w:rsidRPr="00507B0D">
        <w:rPr>
          <w:rFonts w:cs="Arial"/>
          <w:u w:val="single"/>
        </w:rPr>
        <w:t>Single Customer Strategy</w:t>
      </w:r>
    </w:p>
    <w:p w14:paraId="68E1F97C" w14:textId="77777777" w:rsidR="00E32DD0" w:rsidRPr="00507B0D" w:rsidRDefault="00E32DD0" w:rsidP="00E32DD0">
      <w:pPr>
        <w:spacing w:after="0"/>
        <w:rPr>
          <w:rFonts w:eastAsia="Times New Roman" w:cs="Arial"/>
          <w:szCs w:val="24"/>
        </w:rPr>
      </w:pPr>
      <w:r w:rsidRPr="00507B0D">
        <w:rPr>
          <w:rFonts w:eastAsia="Times New Roman" w:cs="Arial"/>
          <w:szCs w:val="24"/>
        </w:rPr>
        <w:t>In the second year of the regulatory period (2021/22)</w:t>
      </w:r>
      <w:r w:rsidR="003F0B0D" w:rsidRPr="00507B0D">
        <w:rPr>
          <w:rFonts w:eastAsia="Times New Roman" w:cs="Arial"/>
          <w:szCs w:val="24"/>
        </w:rPr>
        <w:t xml:space="preserve"> the service fee will be replaced by a single Customer fee.</w:t>
      </w:r>
      <w:r w:rsidRPr="00507B0D">
        <w:rPr>
          <w:rFonts w:eastAsia="Times New Roman" w:cs="Arial"/>
          <w:szCs w:val="24"/>
        </w:rPr>
        <w:t xml:space="preserve"> Water register fees will </w:t>
      </w:r>
      <w:r w:rsidR="003F0B0D" w:rsidRPr="00507B0D">
        <w:rPr>
          <w:rFonts w:eastAsia="Times New Roman" w:cs="Arial"/>
          <w:szCs w:val="24"/>
        </w:rPr>
        <w:t xml:space="preserve">also </w:t>
      </w:r>
      <w:r w:rsidRPr="00507B0D">
        <w:rPr>
          <w:rFonts w:eastAsia="Times New Roman" w:cs="Arial"/>
          <w:szCs w:val="24"/>
        </w:rPr>
        <w:t xml:space="preserve">be separated from Service fees and be levied based on the number of water entitlements recorded in the water register. </w:t>
      </w:r>
    </w:p>
    <w:p w14:paraId="402CEC6E" w14:textId="77777777" w:rsidR="00E32DD0" w:rsidRPr="00612011" w:rsidRDefault="00E32DD0" w:rsidP="00E32DD0">
      <w:pPr>
        <w:spacing w:after="0"/>
        <w:ind w:left="1080"/>
        <w:rPr>
          <w:rFonts w:eastAsia="Times New Roman" w:cs="Arial"/>
          <w:szCs w:val="24"/>
          <w:highlight w:val="yellow"/>
        </w:rPr>
      </w:pPr>
    </w:p>
    <w:p w14:paraId="1676FE65" w14:textId="77777777" w:rsidR="0074462C" w:rsidRPr="00612011" w:rsidRDefault="0074462C" w:rsidP="00306D8F">
      <w:pPr>
        <w:rPr>
          <w:rFonts w:cs="Arial"/>
          <w:highlight w:val="yellow"/>
        </w:rPr>
      </w:pPr>
    </w:p>
    <w:p w14:paraId="6E0A38A3" w14:textId="77777777" w:rsidR="00306D8F" w:rsidRPr="00507B0D" w:rsidRDefault="00306D8F" w:rsidP="00306D8F">
      <w:pPr>
        <w:rPr>
          <w:rFonts w:cs="Arial"/>
        </w:rPr>
      </w:pPr>
      <w:r w:rsidRPr="00507B0D">
        <w:rPr>
          <w:rFonts w:cs="Arial"/>
        </w:rPr>
        <w:lastRenderedPageBreak/>
        <w:t>In relation to GMW’s other fees and tariffs the ESC approved:</w:t>
      </w:r>
    </w:p>
    <w:p w14:paraId="192BBE27" w14:textId="77777777" w:rsidR="0045027B" w:rsidRPr="00507B0D" w:rsidRDefault="0045027B" w:rsidP="0014517A">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 xml:space="preserve">Nyah, </w:t>
      </w:r>
      <w:proofErr w:type="gramStart"/>
      <w:r w:rsidRPr="00507B0D">
        <w:rPr>
          <w:rFonts w:cs="Arial"/>
        </w:rPr>
        <w:t>Tresco</w:t>
      </w:r>
      <w:proofErr w:type="gramEnd"/>
      <w:r w:rsidRPr="00507B0D">
        <w:rPr>
          <w:rFonts w:cs="Arial"/>
        </w:rPr>
        <w:t xml:space="preserve"> and Woorinen Pumped Irrigation tariffs </w:t>
      </w:r>
      <w:r w:rsidR="00E32DD0" w:rsidRPr="00507B0D">
        <w:rPr>
          <w:rFonts w:cs="Arial"/>
        </w:rPr>
        <w:t xml:space="preserve">to </w:t>
      </w:r>
      <w:r w:rsidRPr="00507B0D">
        <w:rPr>
          <w:rFonts w:cs="Arial"/>
        </w:rPr>
        <w:t xml:space="preserve">continue with existing arrangements </w:t>
      </w:r>
      <w:r w:rsidR="00E32DD0" w:rsidRPr="00507B0D">
        <w:rPr>
          <w:rFonts w:cs="Arial"/>
        </w:rPr>
        <w:t xml:space="preserve">as they </w:t>
      </w:r>
      <w:r w:rsidRPr="00507B0D">
        <w:rPr>
          <w:rFonts w:cs="Arial"/>
        </w:rPr>
        <w:t>comply with the ACCC pricing principles.</w:t>
      </w:r>
    </w:p>
    <w:p w14:paraId="3E2A983D" w14:textId="77777777" w:rsidR="0045027B" w:rsidRPr="00507B0D" w:rsidRDefault="0045027B" w:rsidP="0014517A">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 xml:space="preserve">To phase out the Torrumbarry Natural Carriers Rebate gradually over 3 years. </w:t>
      </w:r>
    </w:p>
    <w:p w14:paraId="031F2D3D" w14:textId="77777777" w:rsidR="0045027B" w:rsidRPr="00507B0D" w:rsidRDefault="0045027B" w:rsidP="0014517A">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Diversion Service tariffs</w:t>
      </w:r>
    </w:p>
    <w:p w14:paraId="5E171ECD" w14:textId="77777777" w:rsidR="0045027B" w:rsidRPr="00507B0D" w:rsidRDefault="0045027B" w:rsidP="0045027B">
      <w:pPr>
        <w:pStyle w:val="ListParagraph"/>
        <w:numPr>
          <w:ilvl w:val="1"/>
          <w:numId w:val="12"/>
        </w:numPr>
        <w:spacing w:after="0"/>
        <w:rPr>
          <w:rFonts w:eastAsia="Times New Roman" w:cs="Arial"/>
          <w:szCs w:val="24"/>
        </w:rPr>
      </w:pPr>
      <w:r w:rsidRPr="00507B0D">
        <w:rPr>
          <w:rFonts w:eastAsia="Times New Roman" w:cs="Arial"/>
          <w:szCs w:val="24"/>
        </w:rPr>
        <w:t>To be rebalanced within the existing tariff rebalancing constraints and to lower other diversion tariffs to reflect lower operating costs.</w:t>
      </w:r>
    </w:p>
    <w:p w14:paraId="38058DAB" w14:textId="77777777" w:rsidR="0045027B" w:rsidRPr="00507B0D" w:rsidRDefault="0045027B" w:rsidP="0045027B">
      <w:pPr>
        <w:pStyle w:val="ListParagraph"/>
        <w:numPr>
          <w:ilvl w:val="1"/>
          <w:numId w:val="12"/>
        </w:numPr>
        <w:spacing w:after="0"/>
        <w:rPr>
          <w:rFonts w:eastAsia="Times New Roman" w:cs="Arial"/>
          <w:szCs w:val="24"/>
        </w:rPr>
      </w:pPr>
      <w:r w:rsidRPr="00507B0D">
        <w:rPr>
          <w:rFonts w:eastAsia="Times New Roman" w:cs="Arial"/>
          <w:szCs w:val="24"/>
        </w:rPr>
        <w:t xml:space="preserve">To charge a resource management fee to 25 identified Unregulated Surface Water licence holders promoting greater cost reflectivity. </w:t>
      </w:r>
    </w:p>
    <w:p w14:paraId="4818B8E1" w14:textId="77777777" w:rsidR="00306D8F" w:rsidRPr="00507B0D" w:rsidRDefault="00306D8F" w:rsidP="0014517A">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GMW’s irrigation drainage prices, retaining the current tariff structure for the regulatory period and undertake further consultation on pricing reform to irrigation drainage prior to the next price review</w:t>
      </w:r>
      <w:r w:rsidR="0045027B" w:rsidRPr="00507B0D">
        <w:rPr>
          <w:rFonts w:cs="Arial"/>
        </w:rPr>
        <w:t>.</w:t>
      </w:r>
    </w:p>
    <w:p w14:paraId="77796ED2" w14:textId="77777777" w:rsidR="002E4087" w:rsidRPr="00507B0D" w:rsidRDefault="002E4087" w:rsidP="0014517A">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Tariffs for the newly constructed Mitiamo water pipeline district.</w:t>
      </w:r>
    </w:p>
    <w:p w14:paraId="089D5B63" w14:textId="77777777" w:rsidR="00306D8F" w:rsidRPr="00507B0D" w:rsidRDefault="002E4087" w:rsidP="0014517A">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 xml:space="preserve">GMW’s </w:t>
      </w:r>
      <w:r w:rsidR="00306D8F" w:rsidRPr="00507B0D">
        <w:rPr>
          <w:rFonts w:cs="Arial"/>
        </w:rPr>
        <w:t>miscellaneous services.</w:t>
      </w:r>
    </w:p>
    <w:p w14:paraId="17C7AA6D" w14:textId="77777777" w:rsidR="00306D8F" w:rsidRPr="00507B0D" w:rsidRDefault="00306D8F" w:rsidP="00306D8F">
      <w:pPr>
        <w:rPr>
          <w:rFonts w:cs="Arial"/>
        </w:rPr>
      </w:pPr>
    </w:p>
    <w:p w14:paraId="61E1D9AF" w14:textId="77777777" w:rsidR="00306D8F" w:rsidRPr="00507B0D" w:rsidRDefault="00306D8F" w:rsidP="00306D8F">
      <w:pPr>
        <w:rPr>
          <w:rFonts w:cs="Arial"/>
        </w:rPr>
      </w:pPr>
      <w:r w:rsidRPr="00507B0D">
        <w:rPr>
          <w:rFonts w:cs="Arial"/>
        </w:rPr>
        <w:t>Further, the ESC approved GMW’s proposed prices for the first year of the regulatory period.</w:t>
      </w:r>
    </w:p>
    <w:p w14:paraId="3068F05B" w14:textId="77777777" w:rsidR="00306D8F" w:rsidRPr="00507B0D" w:rsidRDefault="001303A0" w:rsidP="00306D8F">
      <w:pPr>
        <w:rPr>
          <w:rFonts w:cs="Arial"/>
        </w:rPr>
      </w:pPr>
      <w:r w:rsidRPr="002C2CA4">
        <w:rPr>
          <w:rFonts w:cs="Arial"/>
        </w:rPr>
        <w:t>On average, Goulburn Murray Water’s charges and prices will fall by around 10 per cent in 2020</w:t>
      </w:r>
      <w:r w:rsidR="00850200" w:rsidRPr="002C2CA4">
        <w:rPr>
          <w:rFonts w:cs="Arial"/>
        </w:rPr>
        <w:t>/</w:t>
      </w:r>
      <w:r w:rsidRPr="002C2CA4">
        <w:rPr>
          <w:rFonts w:cs="Arial"/>
        </w:rPr>
        <w:t>21 (compared</w:t>
      </w:r>
      <w:r w:rsidR="00850200" w:rsidRPr="002C2CA4">
        <w:rPr>
          <w:rFonts w:cs="Arial"/>
        </w:rPr>
        <w:t xml:space="preserve"> to 2019/2</w:t>
      </w:r>
      <w:r w:rsidRPr="002C2CA4">
        <w:rPr>
          <w:rFonts w:cs="Arial"/>
        </w:rPr>
        <w:t>0). Charges and prices will fall by a little less than 1 per cent per annum for the remaining three years</w:t>
      </w:r>
      <w:r w:rsidRPr="00507B0D">
        <w:rPr>
          <w:rFonts w:cs="Arial"/>
        </w:rPr>
        <w:t xml:space="preserve"> of its regulatory period</w:t>
      </w:r>
      <w:r w:rsidRPr="00507B0D">
        <w:rPr>
          <w:rStyle w:val="FootnoteReference"/>
          <w:rFonts w:cs="Arial"/>
        </w:rPr>
        <w:footnoteReference w:id="2"/>
      </w:r>
      <w:r w:rsidRPr="00507B0D">
        <w:rPr>
          <w:rFonts w:cs="Arial"/>
        </w:rPr>
        <w:t xml:space="preserve"> . </w:t>
      </w:r>
    </w:p>
    <w:p w14:paraId="6E072282" w14:textId="77777777" w:rsidR="00306D8F" w:rsidRPr="00507B0D" w:rsidRDefault="00306D8F" w:rsidP="00306D8F">
      <w:pPr>
        <w:rPr>
          <w:rFonts w:cs="Arial"/>
        </w:rPr>
      </w:pPr>
      <w:r w:rsidRPr="00507B0D">
        <w:rPr>
          <w:rFonts w:cs="Arial"/>
        </w:rPr>
        <w:t>Form of Price Control – the ESC approved GMW’s form of price control, continuing to apply a revenue cap to our regulated tariffs (other than miscellaneous service charges which are set according to the pricing principles), with a rebalancing constraint of + 10 per cent to limit changes to tariffs in each year of the regulatory period.</w:t>
      </w:r>
    </w:p>
    <w:p w14:paraId="22C3CB2A" w14:textId="77777777" w:rsidR="00306D8F" w:rsidRPr="00612011" w:rsidRDefault="00306D8F" w:rsidP="00306D8F">
      <w:pPr>
        <w:rPr>
          <w:rFonts w:cs="Arial"/>
          <w:highlight w:val="yellow"/>
        </w:rPr>
      </w:pPr>
    </w:p>
    <w:p w14:paraId="4C55E080" w14:textId="77777777" w:rsidR="00306D8F" w:rsidRPr="00507B0D" w:rsidRDefault="00306D8F" w:rsidP="00306D8F">
      <w:pPr>
        <w:pStyle w:val="Heading3"/>
        <w:keepLines w:val="0"/>
        <w:numPr>
          <w:ilvl w:val="2"/>
          <w:numId w:val="3"/>
        </w:numPr>
        <w:spacing w:before="240" w:after="60"/>
        <w:rPr>
          <w:rFonts w:eastAsia="Calibri" w:cs="Arial"/>
        </w:rPr>
      </w:pPr>
      <w:bookmarkStart w:id="22" w:name="_Toc481579032"/>
      <w:bookmarkStart w:id="23" w:name="_Toc134012424"/>
      <w:r w:rsidRPr="00507B0D">
        <w:rPr>
          <w:rFonts w:eastAsia="Calibri" w:cs="Arial"/>
        </w:rPr>
        <w:t>Actions taken since 2020 Price Review</w:t>
      </w:r>
      <w:bookmarkEnd w:id="22"/>
      <w:bookmarkEnd w:id="23"/>
      <w:r w:rsidRPr="00507B0D">
        <w:rPr>
          <w:rFonts w:eastAsia="Calibri" w:cs="Arial"/>
        </w:rPr>
        <w:t xml:space="preserve"> </w:t>
      </w:r>
    </w:p>
    <w:p w14:paraId="15926AF7" w14:textId="77777777" w:rsidR="00306D8F" w:rsidRPr="00507B0D" w:rsidRDefault="00306D8F" w:rsidP="00306D8F">
      <w:pPr>
        <w:rPr>
          <w:rFonts w:cs="Arial"/>
          <w:u w:val="single"/>
        </w:rPr>
      </w:pPr>
      <w:r w:rsidRPr="00507B0D">
        <w:rPr>
          <w:rFonts w:cs="Arial"/>
          <w:u w:val="single"/>
        </w:rPr>
        <w:t>Gravity Irrigation</w:t>
      </w:r>
    </w:p>
    <w:p w14:paraId="2D1E3EC1" w14:textId="77777777" w:rsidR="00306D8F" w:rsidRPr="00507B0D" w:rsidRDefault="00306D8F" w:rsidP="00306D8F">
      <w:pPr>
        <w:spacing w:line="240" w:lineRule="auto"/>
        <w:jc w:val="both"/>
        <w:rPr>
          <w:rFonts w:eastAsia="Calibri" w:cs="Arial"/>
        </w:rPr>
      </w:pPr>
      <w:r w:rsidRPr="00507B0D">
        <w:rPr>
          <w:rFonts w:eastAsia="Calibri" w:cs="Arial"/>
        </w:rPr>
        <w:t xml:space="preserve">As approved by the ESC in its Final Decision (as described above), GMW’s proposal for a common Infrastructure Access and Use Fee in the six irrigation areas (Shepparton, Central Goulburn, Rochester, Loddon Valley, Murray </w:t>
      </w:r>
      <w:proofErr w:type="gramStart"/>
      <w:r w:rsidRPr="00507B0D">
        <w:rPr>
          <w:rFonts w:eastAsia="Calibri" w:cs="Arial"/>
        </w:rPr>
        <w:t>Valley</w:t>
      </w:r>
      <w:proofErr w:type="gramEnd"/>
      <w:r w:rsidRPr="00507B0D">
        <w:rPr>
          <w:rFonts w:eastAsia="Calibri" w:cs="Arial"/>
        </w:rPr>
        <w:t xml:space="preserve"> and Torrumbarry) was applied in the first year of the regulatory period.</w:t>
      </w:r>
    </w:p>
    <w:p w14:paraId="7C5A2E5A" w14:textId="77777777" w:rsidR="00306D8F" w:rsidRPr="00507B0D" w:rsidRDefault="00306D8F" w:rsidP="00306D8F">
      <w:pPr>
        <w:rPr>
          <w:rFonts w:eastAsia="Times New Roman" w:cs="Arial"/>
          <w:szCs w:val="24"/>
          <w:u w:val="single"/>
        </w:rPr>
      </w:pPr>
      <w:r w:rsidRPr="00507B0D">
        <w:rPr>
          <w:rFonts w:eastAsia="Times New Roman" w:cs="Arial"/>
          <w:szCs w:val="24"/>
          <w:u w:val="single"/>
        </w:rPr>
        <w:t>Service Point Fees</w:t>
      </w:r>
    </w:p>
    <w:p w14:paraId="2AB13466" w14:textId="77777777" w:rsidR="00EE6C8B" w:rsidRPr="00507B0D" w:rsidRDefault="00FD08D2" w:rsidP="00306D8F">
      <w:pPr>
        <w:rPr>
          <w:rFonts w:eastAsia="Times New Roman" w:cs="Arial"/>
          <w:szCs w:val="24"/>
        </w:rPr>
      </w:pPr>
      <w:r w:rsidRPr="00507B0D">
        <w:rPr>
          <w:rFonts w:eastAsia="Times New Roman" w:cs="Arial"/>
          <w:szCs w:val="24"/>
        </w:rPr>
        <w:t xml:space="preserve">Service points continue their transition to be </w:t>
      </w:r>
      <w:r w:rsidR="00EE6C8B" w:rsidRPr="00507B0D">
        <w:rPr>
          <w:rFonts w:eastAsia="Times New Roman" w:cs="Arial"/>
          <w:szCs w:val="24"/>
        </w:rPr>
        <w:t xml:space="preserve">cost reflective </w:t>
      </w:r>
      <w:r w:rsidRPr="00507B0D">
        <w:rPr>
          <w:rFonts w:eastAsia="Times New Roman" w:cs="Arial"/>
          <w:szCs w:val="24"/>
        </w:rPr>
        <w:t>f</w:t>
      </w:r>
      <w:r w:rsidR="00EE6C8B" w:rsidRPr="00507B0D">
        <w:rPr>
          <w:rFonts w:eastAsia="Times New Roman" w:cs="Arial"/>
          <w:szCs w:val="24"/>
        </w:rPr>
        <w:t xml:space="preserve">or Gravity and Pumped Irrigation, Water </w:t>
      </w:r>
      <w:r w:rsidR="00E63F9C">
        <w:rPr>
          <w:rFonts w:eastAsia="Times New Roman" w:cs="Arial"/>
          <w:szCs w:val="24"/>
        </w:rPr>
        <w:t xml:space="preserve">Supply </w:t>
      </w:r>
      <w:r w:rsidR="00EE6C8B" w:rsidRPr="00507B0D">
        <w:rPr>
          <w:rFonts w:eastAsia="Times New Roman" w:cs="Arial"/>
          <w:szCs w:val="24"/>
        </w:rPr>
        <w:t xml:space="preserve">Districts and Diversions </w:t>
      </w:r>
      <w:r w:rsidRPr="00507B0D">
        <w:rPr>
          <w:rFonts w:eastAsia="Times New Roman" w:cs="Arial"/>
          <w:szCs w:val="24"/>
        </w:rPr>
        <w:t xml:space="preserve">and to be </w:t>
      </w:r>
      <w:r w:rsidR="00EE6C8B" w:rsidRPr="00507B0D">
        <w:rPr>
          <w:rFonts w:eastAsia="Times New Roman" w:cs="Arial"/>
          <w:szCs w:val="24"/>
        </w:rPr>
        <w:t>treat</w:t>
      </w:r>
      <w:r w:rsidRPr="00507B0D">
        <w:rPr>
          <w:rFonts w:eastAsia="Times New Roman" w:cs="Arial"/>
          <w:szCs w:val="24"/>
        </w:rPr>
        <w:t xml:space="preserve">ed </w:t>
      </w:r>
      <w:r w:rsidR="00EE6C8B" w:rsidRPr="00507B0D">
        <w:rPr>
          <w:rFonts w:eastAsia="Times New Roman" w:cs="Arial"/>
          <w:szCs w:val="24"/>
        </w:rPr>
        <w:t xml:space="preserve">the same way across all customer groups by </w:t>
      </w:r>
      <w:r w:rsidR="00EE6C8B" w:rsidRPr="002C2CA4">
        <w:rPr>
          <w:rFonts w:eastAsia="Times New Roman" w:cs="Arial"/>
          <w:szCs w:val="24"/>
        </w:rPr>
        <w:t>2023</w:t>
      </w:r>
      <w:r w:rsidR="00EE6C8B" w:rsidRPr="00632528">
        <w:rPr>
          <w:rFonts w:eastAsia="Times New Roman" w:cs="Arial"/>
          <w:szCs w:val="24"/>
        </w:rPr>
        <w:t>/24.</w:t>
      </w:r>
      <w:r w:rsidR="00EE6C8B" w:rsidRPr="00507B0D">
        <w:rPr>
          <w:rFonts w:eastAsia="Times New Roman" w:cs="Arial"/>
          <w:szCs w:val="24"/>
        </w:rPr>
        <w:t xml:space="preserve"> </w:t>
      </w:r>
    </w:p>
    <w:p w14:paraId="6B33F0B6" w14:textId="77777777" w:rsidR="00306D8F" w:rsidRPr="00507B0D" w:rsidRDefault="00306D8F" w:rsidP="00306D8F">
      <w:pPr>
        <w:rPr>
          <w:rFonts w:eastAsia="Times New Roman" w:cs="Arial"/>
          <w:szCs w:val="24"/>
          <w:u w:val="single"/>
        </w:rPr>
      </w:pPr>
      <w:r w:rsidRPr="00507B0D">
        <w:rPr>
          <w:rFonts w:eastAsia="Times New Roman" w:cs="Arial"/>
          <w:szCs w:val="24"/>
          <w:u w:val="single"/>
        </w:rPr>
        <w:t xml:space="preserve">Bulk water </w:t>
      </w:r>
    </w:p>
    <w:p w14:paraId="42A67725" w14:textId="77777777" w:rsidR="001A5BD4" w:rsidRPr="00507B0D" w:rsidRDefault="00306D8F" w:rsidP="001A5BD4">
      <w:pPr>
        <w:rPr>
          <w:rFonts w:eastAsia="Times New Roman" w:cs="Arial"/>
          <w:szCs w:val="24"/>
        </w:rPr>
      </w:pPr>
      <w:r w:rsidRPr="00A21526">
        <w:rPr>
          <w:rFonts w:eastAsia="Times New Roman" w:cs="Arial"/>
          <w:szCs w:val="24"/>
        </w:rPr>
        <w:t xml:space="preserve">Bulk water prices </w:t>
      </w:r>
      <w:r w:rsidR="000457D3">
        <w:rPr>
          <w:rFonts w:eastAsia="Times New Roman" w:cs="Arial"/>
          <w:szCs w:val="24"/>
        </w:rPr>
        <w:t xml:space="preserve">retain their current tariff structure of basin pricing </w:t>
      </w:r>
      <w:r w:rsidR="002834F0" w:rsidRPr="00632528">
        <w:rPr>
          <w:rFonts w:eastAsia="Times New Roman" w:cs="Arial"/>
          <w:szCs w:val="24"/>
        </w:rPr>
        <w:t>as we further</w:t>
      </w:r>
      <w:r w:rsidR="002834F0" w:rsidRPr="00A21526">
        <w:rPr>
          <w:rFonts w:eastAsia="Times New Roman" w:cs="Arial"/>
          <w:szCs w:val="24"/>
        </w:rPr>
        <w:t xml:space="preserve"> consult with the Bulk Water Entitlement holders regarding system pricing in the next pricing submission.</w:t>
      </w:r>
      <w:r w:rsidR="002834F0">
        <w:rPr>
          <w:rFonts w:eastAsia="Times New Roman" w:cs="Arial"/>
          <w:szCs w:val="24"/>
        </w:rPr>
        <w:t xml:space="preserve"> </w:t>
      </w:r>
      <w:r w:rsidRPr="00507B0D">
        <w:rPr>
          <w:rFonts w:eastAsia="Times New Roman" w:cs="Arial"/>
          <w:szCs w:val="24"/>
        </w:rPr>
        <w:t xml:space="preserve"> </w:t>
      </w:r>
    </w:p>
    <w:p w14:paraId="07359831" w14:textId="77777777" w:rsidR="00306D8F" w:rsidRPr="00507B0D" w:rsidRDefault="00306D8F" w:rsidP="00306D8F">
      <w:pPr>
        <w:rPr>
          <w:rFonts w:eastAsia="Times New Roman" w:cs="Arial"/>
          <w:szCs w:val="24"/>
          <w:u w:val="single"/>
        </w:rPr>
      </w:pPr>
      <w:r w:rsidRPr="00507B0D">
        <w:rPr>
          <w:rFonts w:eastAsia="Times New Roman" w:cs="Arial"/>
          <w:szCs w:val="24"/>
          <w:u w:val="single"/>
        </w:rPr>
        <w:lastRenderedPageBreak/>
        <w:t>Drainage</w:t>
      </w:r>
    </w:p>
    <w:p w14:paraId="2E1C49CC" w14:textId="77777777" w:rsidR="000C7D16" w:rsidRPr="00507B0D" w:rsidRDefault="000C7D16" w:rsidP="000C7D16">
      <w:pPr>
        <w:rPr>
          <w:rFonts w:eastAsia="Times New Roman" w:cs="Arial"/>
          <w:szCs w:val="24"/>
        </w:rPr>
      </w:pPr>
      <w:r w:rsidRPr="00507B0D">
        <w:rPr>
          <w:rFonts w:eastAsia="Times New Roman" w:cs="Arial"/>
          <w:szCs w:val="24"/>
        </w:rPr>
        <w:t xml:space="preserve">As approved by the ESC in the Final Decision drainage fee adjustments are made </w:t>
      </w:r>
      <w:proofErr w:type="gramStart"/>
      <w:r w:rsidRPr="00507B0D">
        <w:rPr>
          <w:rFonts w:eastAsia="Times New Roman" w:cs="Arial"/>
          <w:szCs w:val="24"/>
        </w:rPr>
        <w:t>with regard to</w:t>
      </w:r>
      <w:proofErr w:type="gramEnd"/>
      <w:r w:rsidRPr="00507B0D">
        <w:rPr>
          <w:rFonts w:eastAsia="Times New Roman" w:cs="Arial"/>
          <w:szCs w:val="24"/>
        </w:rPr>
        <w:t xml:space="preserve"> the ACCC pricing principles including that fixed costs should be recovered from fixed charges and variable costs from variable charges.</w:t>
      </w:r>
    </w:p>
    <w:p w14:paraId="0E47E138" w14:textId="77777777" w:rsidR="00306D8F" w:rsidRPr="00507B0D" w:rsidRDefault="000C7D16" w:rsidP="000C7D16">
      <w:pPr>
        <w:rPr>
          <w:rFonts w:eastAsia="Times New Roman" w:cs="Arial"/>
          <w:szCs w:val="24"/>
        </w:rPr>
      </w:pPr>
      <w:r w:rsidRPr="00507B0D">
        <w:rPr>
          <w:rFonts w:eastAsia="Times New Roman" w:cs="Arial"/>
          <w:szCs w:val="24"/>
        </w:rPr>
        <w:t>GMW’s irrigation drainage prices will retain the current tariff structure for the regulatory period and will undertake further consultation on pricing reform to irrigation drainage prior to the next price review.</w:t>
      </w:r>
    </w:p>
    <w:p w14:paraId="7697C71B" w14:textId="77777777" w:rsidR="00306D8F" w:rsidRPr="00CA7A23" w:rsidRDefault="00306D8F" w:rsidP="00306D8F">
      <w:pPr>
        <w:rPr>
          <w:rFonts w:eastAsia="Calibri" w:cs="Arial"/>
          <w:u w:val="single"/>
        </w:rPr>
      </w:pPr>
      <w:r w:rsidRPr="00CA7A23">
        <w:rPr>
          <w:rFonts w:eastAsia="Calibri" w:cs="Arial"/>
          <w:u w:val="single"/>
        </w:rPr>
        <w:t>Single Customer Fee and Water Register Fee</w:t>
      </w:r>
    </w:p>
    <w:p w14:paraId="37BE45A1" w14:textId="77777777" w:rsidR="00C14D6A" w:rsidRPr="00CA7A23" w:rsidRDefault="00037FF0" w:rsidP="00C14D6A">
      <w:pPr>
        <w:rPr>
          <w:rFonts w:eastAsia="Times New Roman" w:cs="Arial"/>
          <w:szCs w:val="24"/>
        </w:rPr>
      </w:pPr>
      <w:r w:rsidRPr="00CA7A23">
        <w:rPr>
          <w:rFonts w:eastAsia="Times New Roman" w:cs="Arial"/>
          <w:szCs w:val="24"/>
        </w:rPr>
        <w:t>In 2021</w:t>
      </w:r>
      <w:r w:rsidR="00850200">
        <w:rPr>
          <w:rFonts w:eastAsia="Times New Roman" w:cs="Arial"/>
          <w:szCs w:val="24"/>
        </w:rPr>
        <w:t>/</w:t>
      </w:r>
      <w:r w:rsidRPr="00CA7A23">
        <w:rPr>
          <w:rFonts w:eastAsia="Times New Roman" w:cs="Arial"/>
          <w:szCs w:val="24"/>
        </w:rPr>
        <w:t xml:space="preserve">22 GMW </w:t>
      </w:r>
      <w:r w:rsidR="00C14D6A" w:rsidRPr="00CA7A23">
        <w:rPr>
          <w:rFonts w:eastAsia="Times New Roman" w:cs="Arial"/>
          <w:szCs w:val="24"/>
        </w:rPr>
        <w:t>introduce</w:t>
      </w:r>
      <w:r w:rsidRPr="00CA7A23">
        <w:rPr>
          <w:rFonts w:eastAsia="Times New Roman" w:cs="Arial"/>
          <w:szCs w:val="24"/>
        </w:rPr>
        <w:t>d</w:t>
      </w:r>
      <w:r w:rsidR="00C14D6A" w:rsidRPr="00CA7A23">
        <w:rPr>
          <w:rFonts w:eastAsia="Times New Roman" w:cs="Arial"/>
          <w:szCs w:val="24"/>
        </w:rPr>
        <w:t xml:space="preserve"> the single Customer fee and Water Register fee replacing the Service fee.</w:t>
      </w:r>
      <w:r w:rsidRPr="00CA7A23">
        <w:rPr>
          <w:rFonts w:eastAsia="Times New Roman" w:cs="Arial"/>
          <w:szCs w:val="24"/>
        </w:rPr>
        <w:t xml:space="preserve"> </w:t>
      </w:r>
    </w:p>
    <w:p w14:paraId="1981FDD8" w14:textId="77777777" w:rsidR="00C14D6A" w:rsidRPr="00507B0D" w:rsidRDefault="00C14D6A" w:rsidP="00C14D6A">
      <w:pPr>
        <w:rPr>
          <w:rFonts w:eastAsia="Times New Roman" w:cs="Arial"/>
          <w:szCs w:val="24"/>
        </w:rPr>
      </w:pPr>
      <w:r w:rsidRPr="00507B0D">
        <w:rPr>
          <w:rFonts w:eastAsia="Times New Roman" w:cs="Arial"/>
          <w:szCs w:val="24"/>
        </w:rPr>
        <w:t xml:space="preserve">The service fee recovers the costs of maintaining customers’ land and water records, billing, debt recovery and central customer service as well as a payment to </w:t>
      </w:r>
      <w:r w:rsidR="00A252E7">
        <w:rPr>
          <w:rFonts w:eastAsia="Times New Roman" w:cs="Arial"/>
          <w:szCs w:val="24"/>
        </w:rPr>
        <w:t>DEECA</w:t>
      </w:r>
      <w:r w:rsidRPr="00507B0D">
        <w:rPr>
          <w:rFonts w:eastAsia="Times New Roman" w:cs="Arial"/>
          <w:szCs w:val="24"/>
        </w:rPr>
        <w:t xml:space="preserve"> for access to the Victorian Water Register. This is currently charged per </w:t>
      </w:r>
      <w:r w:rsidR="00F44059" w:rsidRPr="00507B0D">
        <w:rPr>
          <w:rFonts w:eastAsia="Times New Roman" w:cs="Arial"/>
          <w:szCs w:val="24"/>
        </w:rPr>
        <w:t>property;</w:t>
      </w:r>
      <w:r w:rsidRPr="00507B0D">
        <w:rPr>
          <w:rFonts w:eastAsia="Times New Roman" w:cs="Arial"/>
          <w:szCs w:val="24"/>
        </w:rPr>
        <w:t xml:space="preserve"> </w:t>
      </w:r>
      <w:r w:rsidR="00F44059" w:rsidRPr="00507B0D">
        <w:rPr>
          <w:rFonts w:eastAsia="Times New Roman" w:cs="Arial"/>
          <w:szCs w:val="24"/>
        </w:rPr>
        <w:t>therefore,</w:t>
      </w:r>
      <w:r w:rsidRPr="00507B0D">
        <w:rPr>
          <w:rFonts w:eastAsia="Times New Roman" w:cs="Arial"/>
          <w:szCs w:val="24"/>
        </w:rPr>
        <w:t xml:space="preserve"> a customer with various properties would be charged multiple service fees. The single Customer fee will now be charged per customer.</w:t>
      </w:r>
    </w:p>
    <w:p w14:paraId="2AF3FE78" w14:textId="77777777" w:rsidR="00C14D6A" w:rsidRPr="00507B0D" w:rsidRDefault="00C14D6A" w:rsidP="00C14D6A">
      <w:pPr>
        <w:rPr>
          <w:rFonts w:eastAsia="Times New Roman" w:cs="Arial"/>
          <w:szCs w:val="24"/>
        </w:rPr>
      </w:pPr>
      <w:r w:rsidRPr="00507B0D">
        <w:rPr>
          <w:rFonts w:eastAsia="Times New Roman" w:cs="Arial"/>
          <w:szCs w:val="24"/>
        </w:rPr>
        <w:t xml:space="preserve">The water register fee will pass through to customers the costs of storing their records in the Victorian water register. It will be separated from the service fee and levied based on the number of water entitlements recorded. </w:t>
      </w:r>
    </w:p>
    <w:p w14:paraId="6D760181" w14:textId="77777777" w:rsidR="002D4EFA" w:rsidRPr="00612011" w:rsidRDefault="002D4EFA" w:rsidP="00C14D6A">
      <w:pPr>
        <w:rPr>
          <w:rFonts w:eastAsia="Times New Roman" w:cs="Arial"/>
          <w:szCs w:val="24"/>
          <w:highlight w:val="yellow"/>
        </w:rPr>
      </w:pPr>
    </w:p>
    <w:p w14:paraId="6324AFBE" w14:textId="77777777" w:rsidR="00306D8F" w:rsidRPr="00507B0D" w:rsidRDefault="00306D8F" w:rsidP="00306D8F">
      <w:pPr>
        <w:pStyle w:val="Heading2"/>
        <w:keepLines w:val="0"/>
        <w:numPr>
          <w:ilvl w:val="1"/>
          <w:numId w:val="3"/>
        </w:numPr>
        <w:spacing w:before="240" w:after="60"/>
        <w:rPr>
          <w:rFonts w:cs="Arial"/>
        </w:rPr>
      </w:pPr>
      <w:bookmarkStart w:id="24" w:name="_Toc481579033"/>
      <w:bookmarkStart w:id="25" w:name="_Toc134012425"/>
      <w:r w:rsidRPr="00507B0D">
        <w:rPr>
          <w:rFonts w:cs="Arial"/>
        </w:rPr>
        <w:t>Water Price Review GMW Determination 1 July 2020 – 30 June 2024</w:t>
      </w:r>
      <w:bookmarkEnd w:id="24"/>
      <w:bookmarkEnd w:id="25"/>
    </w:p>
    <w:p w14:paraId="1176EBDC" w14:textId="77777777" w:rsidR="002D4EFA" w:rsidRPr="00507B0D" w:rsidRDefault="00306D8F" w:rsidP="002D4EFA">
      <w:pPr>
        <w:jc w:val="both"/>
        <w:rPr>
          <w:rFonts w:cs="Arial"/>
        </w:rPr>
      </w:pPr>
      <w:r w:rsidRPr="00507B0D">
        <w:rPr>
          <w:rFonts w:cs="Arial"/>
        </w:rPr>
        <w:t>In accordance with Clause 2.3 of the ESC’s Goulburn-Murray Water Determination June 2020, the Application and the accompanying spreadsheets include:</w:t>
      </w:r>
    </w:p>
    <w:p w14:paraId="1A43169D" w14:textId="77777777" w:rsidR="002D4EFA" w:rsidRPr="002C2CA4" w:rsidRDefault="00306D8F" w:rsidP="002D4EFA">
      <w:pPr>
        <w:pStyle w:val="ListParagraph"/>
        <w:numPr>
          <w:ilvl w:val="0"/>
          <w:numId w:val="27"/>
        </w:numPr>
        <w:jc w:val="both"/>
        <w:rPr>
          <w:rFonts w:cs="Arial"/>
        </w:rPr>
      </w:pPr>
      <w:r w:rsidRPr="00507B0D">
        <w:rPr>
          <w:rFonts w:cs="Arial"/>
        </w:rPr>
        <w:t xml:space="preserve">forecast quantities </w:t>
      </w:r>
      <w:r w:rsidRPr="002C2CA4">
        <w:rPr>
          <w:rFonts w:cs="Arial"/>
        </w:rPr>
        <w:t>for 202</w:t>
      </w:r>
      <w:r w:rsidR="00703835" w:rsidRPr="002C2CA4">
        <w:rPr>
          <w:rFonts w:cs="Arial"/>
        </w:rPr>
        <w:t>3/24</w:t>
      </w:r>
      <w:r w:rsidRPr="002C2CA4">
        <w:rPr>
          <w:rFonts w:cs="Arial"/>
        </w:rPr>
        <w:t>[spreadsheet]</w:t>
      </w:r>
    </w:p>
    <w:p w14:paraId="1AC747A6" w14:textId="77777777" w:rsidR="002D4EFA" w:rsidRPr="00507B0D" w:rsidRDefault="00306D8F" w:rsidP="002D4EFA">
      <w:pPr>
        <w:pStyle w:val="ListParagraph"/>
        <w:numPr>
          <w:ilvl w:val="0"/>
          <w:numId w:val="27"/>
        </w:numPr>
        <w:jc w:val="both"/>
        <w:rPr>
          <w:rFonts w:cs="Arial"/>
        </w:rPr>
      </w:pPr>
      <w:r w:rsidRPr="002C2CA4">
        <w:rPr>
          <w:rFonts w:cs="Arial"/>
        </w:rPr>
        <w:t>actual quantities for 20</w:t>
      </w:r>
      <w:r w:rsidR="00703835" w:rsidRPr="002C2CA4">
        <w:rPr>
          <w:rFonts w:cs="Arial"/>
        </w:rPr>
        <w:t>22</w:t>
      </w:r>
      <w:r w:rsidR="001822D4" w:rsidRPr="002C2CA4">
        <w:rPr>
          <w:rFonts w:cs="Arial"/>
        </w:rPr>
        <w:t>/2</w:t>
      </w:r>
      <w:r w:rsidR="00703835" w:rsidRPr="002C2CA4">
        <w:rPr>
          <w:rFonts w:cs="Arial"/>
        </w:rPr>
        <w:t>3</w:t>
      </w:r>
      <w:r w:rsidRPr="002C2CA4">
        <w:rPr>
          <w:rFonts w:cs="Arial"/>
        </w:rPr>
        <w:t>[</w:t>
      </w:r>
      <w:r w:rsidRPr="00507B0D">
        <w:rPr>
          <w:rFonts w:cs="Arial"/>
        </w:rPr>
        <w:t>spreadsheet]</w:t>
      </w:r>
    </w:p>
    <w:p w14:paraId="6A147123" w14:textId="77777777" w:rsidR="002D4EFA" w:rsidRPr="00507B0D" w:rsidRDefault="00306D8F" w:rsidP="002D4EFA">
      <w:pPr>
        <w:pStyle w:val="ListParagraph"/>
        <w:numPr>
          <w:ilvl w:val="0"/>
          <w:numId w:val="27"/>
        </w:numPr>
        <w:jc w:val="both"/>
        <w:rPr>
          <w:rFonts w:cs="Arial"/>
        </w:rPr>
      </w:pPr>
      <w:r w:rsidRPr="00507B0D">
        <w:rPr>
          <w:rFonts w:cs="Arial"/>
        </w:rPr>
        <w:t>information explaining how these quantities are derived and an explanation of why the forecast quantities are different from those set in its pricing proposal by at least a 10</w:t>
      </w:r>
      <w:r w:rsidR="001D4A98">
        <w:rPr>
          <w:rFonts w:cs="Arial"/>
        </w:rPr>
        <w:t xml:space="preserve"> per cent</w:t>
      </w:r>
      <w:r w:rsidRPr="00507B0D">
        <w:rPr>
          <w:rFonts w:cs="Arial"/>
        </w:rPr>
        <w:t xml:space="preserve"> variance, where applicable [section 6.2 below]</w:t>
      </w:r>
    </w:p>
    <w:p w14:paraId="2D4530A5" w14:textId="77777777" w:rsidR="002D4EFA" w:rsidRPr="00507B0D" w:rsidRDefault="00306D8F" w:rsidP="002D4EFA">
      <w:pPr>
        <w:pStyle w:val="ListParagraph"/>
        <w:numPr>
          <w:ilvl w:val="0"/>
          <w:numId w:val="27"/>
        </w:numPr>
        <w:jc w:val="both"/>
        <w:rPr>
          <w:rFonts w:cs="Arial"/>
        </w:rPr>
      </w:pPr>
      <w:r w:rsidRPr="00507B0D">
        <w:rPr>
          <w:rFonts w:cs="Arial"/>
        </w:rPr>
        <w:t xml:space="preserve">information on any new prices GMW proposes to introduce </w:t>
      </w:r>
      <w:r w:rsidRPr="002C2CA4">
        <w:rPr>
          <w:rFonts w:cs="Arial"/>
        </w:rPr>
        <w:t>in 202</w:t>
      </w:r>
      <w:r w:rsidR="00703835" w:rsidRPr="002C2CA4">
        <w:rPr>
          <w:rFonts w:cs="Arial"/>
        </w:rPr>
        <w:t>3/24</w:t>
      </w:r>
      <w:r w:rsidRPr="002C2CA4">
        <w:rPr>
          <w:rFonts w:cs="Arial"/>
        </w:rPr>
        <w:t xml:space="preserve"> [section</w:t>
      </w:r>
      <w:r w:rsidRPr="00507B0D">
        <w:rPr>
          <w:rFonts w:cs="Arial"/>
        </w:rPr>
        <w:t xml:space="preserve"> 6.2 miscellaneous fees]</w:t>
      </w:r>
    </w:p>
    <w:p w14:paraId="5267F71E" w14:textId="77777777" w:rsidR="002D4EFA" w:rsidRPr="00507B0D" w:rsidRDefault="00306D8F" w:rsidP="002D4EFA">
      <w:pPr>
        <w:pStyle w:val="ListParagraph"/>
        <w:numPr>
          <w:ilvl w:val="0"/>
          <w:numId w:val="27"/>
        </w:numPr>
        <w:jc w:val="both"/>
        <w:rPr>
          <w:rFonts w:cs="Arial"/>
        </w:rPr>
      </w:pPr>
      <w:r w:rsidRPr="00507B0D">
        <w:rPr>
          <w:rFonts w:cs="Arial"/>
        </w:rPr>
        <w:t>evidence demonstrating the extent to which GMW has consulted with customers regarding price changes [section 8 and Appendix 1 below]</w:t>
      </w:r>
    </w:p>
    <w:p w14:paraId="7980172E" w14:textId="77777777" w:rsidR="002D4EFA" w:rsidRPr="00507B0D" w:rsidRDefault="00306D8F" w:rsidP="002D4EFA">
      <w:pPr>
        <w:pStyle w:val="ListParagraph"/>
        <w:numPr>
          <w:ilvl w:val="0"/>
          <w:numId w:val="27"/>
        </w:numPr>
        <w:jc w:val="both"/>
        <w:rPr>
          <w:rFonts w:cs="Arial"/>
        </w:rPr>
      </w:pPr>
      <w:r w:rsidRPr="00507B0D">
        <w:rPr>
          <w:rFonts w:cs="Arial"/>
        </w:rPr>
        <w:t>information regarding anticipated customer impacts resulting from revised prices and actions, if any, to address these impacts [section 6.3 below]</w:t>
      </w:r>
    </w:p>
    <w:p w14:paraId="42064562" w14:textId="77777777" w:rsidR="002D4EFA" w:rsidRPr="00507B0D" w:rsidRDefault="00306D8F" w:rsidP="002D4EFA">
      <w:pPr>
        <w:pStyle w:val="ListParagraph"/>
        <w:numPr>
          <w:ilvl w:val="0"/>
          <w:numId w:val="27"/>
        </w:numPr>
        <w:jc w:val="both"/>
        <w:rPr>
          <w:rFonts w:cs="Arial"/>
        </w:rPr>
      </w:pPr>
      <w:r w:rsidRPr="00507B0D">
        <w:rPr>
          <w:rFonts w:cs="Arial"/>
        </w:rPr>
        <w:t xml:space="preserve">evidence that GMW has provided information to its customers explaining its </w:t>
      </w:r>
      <w:proofErr w:type="gramStart"/>
      <w:r w:rsidR="00A905B1" w:rsidRPr="00507B0D">
        <w:rPr>
          <w:rFonts w:cs="Arial"/>
        </w:rPr>
        <w:t>long term</w:t>
      </w:r>
      <w:proofErr w:type="gramEnd"/>
      <w:r w:rsidR="00A905B1" w:rsidRPr="00507B0D">
        <w:rPr>
          <w:rFonts w:cs="Arial"/>
        </w:rPr>
        <w:t xml:space="preserve"> </w:t>
      </w:r>
      <w:r w:rsidRPr="00507B0D">
        <w:rPr>
          <w:rFonts w:cs="Arial"/>
        </w:rPr>
        <w:t>pricing strategy and consulted effectively to deliver sustainable and predictable pricing outcomes [sections 7 and 8, and Appendix 1 below]</w:t>
      </w:r>
    </w:p>
    <w:p w14:paraId="05A09C3E" w14:textId="77777777" w:rsidR="002D4EFA" w:rsidRPr="00507B0D" w:rsidRDefault="00306D8F" w:rsidP="002D4EFA">
      <w:pPr>
        <w:pStyle w:val="ListParagraph"/>
        <w:numPr>
          <w:ilvl w:val="0"/>
          <w:numId w:val="27"/>
        </w:numPr>
        <w:jc w:val="both"/>
        <w:rPr>
          <w:rFonts w:cs="Arial"/>
        </w:rPr>
      </w:pPr>
      <w:r w:rsidRPr="00507B0D">
        <w:rPr>
          <w:rFonts w:cs="Arial"/>
        </w:rPr>
        <w:t>the actual or anticipated change (if any) in the annual contribution required to be made by GMW to the Murray Darling Basin Authority.</w:t>
      </w:r>
    </w:p>
    <w:p w14:paraId="7D96AF9E" w14:textId="77777777" w:rsidR="00306D8F" w:rsidRPr="00507B0D" w:rsidRDefault="00306D8F" w:rsidP="002D4EFA">
      <w:pPr>
        <w:pStyle w:val="ListParagraph"/>
        <w:numPr>
          <w:ilvl w:val="0"/>
          <w:numId w:val="27"/>
        </w:numPr>
        <w:jc w:val="both"/>
        <w:rPr>
          <w:rFonts w:cs="Arial"/>
        </w:rPr>
      </w:pPr>
      <w:r w:rsidRPr="00507B0D">
        <w:rPr>
          <w:rFonts w:cs="Arial"/>
        </w:rPr>
        <w:t>other information as required by the ESC.</w:t>
      </w:r>
    </w:p>
    <w:p w14:paraId="18DC29FA" w14:textId="77777777" w:rsidR="00306D8F" w:rsidRPr="00507B0D" w:rsidRDefault="00306D8F" w:rsidP="00306D8F">
      <w:pPr>
        <w:pStyle w:val="Heading1"/>
        <w:keepLines w:val="0"/>
        <w:numPr>
          <w:ilvl w:val="0"/>
          <w:numId w:val="3"/>
        </w:numPr>
        <w:spacing w:before="240" w:after="60"/>
        <w:rPr>
          <w:rFonts w:cs="Arial"/>
        </w:rPr>
      </w:pPr>
      <w:bookmarkStart w:id="26" w:name="_Toc481579034"/>
      <w:bookmarkStart w:id="27" w:name="_Toc134012426"/>
      <w:r w:rsidRPr="00507B0D">
        <w:rPr>
          <w:rFonts w:cs="Arial"/>
        </w:rPr>
        <w:lastRenderedPageBreak/>
        <w:t>Annual Price Review Process</w:t>
      </w:r>
      <w:bookmarkEnd w:id="26"/>
      <w:bookmarkEnd w:id="27"/>
    </w:p>
    <w:p w14:paraId="51430CBF" w14:textId="77777777" w:rsidR="00306D8F" w:rsidRPr="00507B0D" w:rsidRDefault="00306D8F" w:rsidP="00306D8F">
      <w:pPr>
        <w:pStyle w:val="Heading2"/>
        <w:keepLines w:val="0"/>
        <w:numPr>
          <w:ilvl w:val="1"/>
          <w:numId w:val="3"/>
        </w:numPr>
        <w:spacing w:before="240" w:after="60"/>
        <w:rPr>
          <w:rFonts w:cs="Arial"/>
        </w:rPr>
      </w:pPr>
      <w:bookmarkStart w:id="28" w:name="_Toc481579035"/>
      <w:bookmarkStart w:id="29" w:name="_Toc134012427"/>
      <w:r w:rsidRPr="00507B0D">
        <w:rPr>
          <w:rFonts w:cs="Arial"/>
        </w:rPr>
        <w:t>Water Charge Rules 2010</w:t>
      </w:r>
      <w:bookmarkEnd w:id="28"/>
      <w:bookmarkEnd w:id="29"/>
    </w:p>
    <w:p w14:paraId="144CECAE" w14:textId="77777777" w:rsidR="0014517A" w:rsidRPr="00507B0D" w:rsidRDefault="0014517A" w:rsidP="0014517A"/>
    <w:p w14:paraId="66209B43" w14:textId="77777777" w:rsidR="00306D8F" w:rsidRPr="00507B0D" w:rsidRDefault="00306D8F" w:rsidP="00306D8F">
      <w:pPr>
        <w:jc w:val="both"/>
        <w:rPr>
          <w:rFonts w:cs="Arial"/>
        </w:rPr>
      </w:pPr>
      <w:r w:rsidRPr="00507B0D">
        <w:rPr>
          <w:rFonts w:cs="Arial"/>
        </w:rPr>
        <w:t xml:space="preserve">GMW acknowledges the key regulations by which annual prices are reviewed and set. After setting prices for the first year of a regulatory period, GMW may request that the ESC adjust charges for the second and subsequent years of the regulatory period through an annual review process. As part of this process, GMW is required to </w:t>
      </w:r>
      <w:proofErr w:type="gramStart"/>
      <w:r w:rsidRPr="00507B0D">
        <w:rPr>
          <w:rFonts w:cs="Arial"/>
        </w:rPr>
        <w:t>submit an application</w:t>
      </w:r>
      <w:proofErr w:type="gramEnd"/>
      <w:r w:rsidRPr="00507B0D">
        <w:rPr>
          <w:rFonts w:cs="Arial"/>
        </w:rPr>
        <w:t xml:space="preserve"> each year prior to the start of the regulatory year. </w:t>
      </w:r>
    </w:p>
    <w:p w14:paraId="0BF14132" w14:textId="77777777" w:rsidR="00306D8F" w:rsidRPr="00507B0D" w:rsidRDefault="00306D8F" w:rsidP="00306D8F">
      <w:pPr>
        <w:jc w:val="both"/>
        <w:rPr>
          <w:rFonts w:cs="Arial"/>
        </w:rPr>
      </w:pPr>
      <w:r w:rsidRPr="00507B0D">
        <w:rPr>
          <w:rFonts w:cs="Arial"/>
        </w:rPr>
        <w:t>In its application, GMW may propose a change to the indicative charges approved by the ESC prior to the start of the regulatory period.</w:t>
      </w:r>
    </w:p>
    <w:p w14:paraId="415EC533" w14:textId="77777777" w:rsidR="00306D8F" w:rsidRDefault="00306D8F" w:rsidP="00306D8F">
      <w:pPr>
        <w:jc w:val="both"/>
        <w:rPr>
          <w:rFonts w:cs="Arial"/>
        </w:rPr>
      </w:pPr>
      <w:r w:rsidRPr="00507B0D">
        <w:rPr>
          <w:rFonts w:cs="Arial"/>
        </w:rPr>
        <w:t>Under Division 3 of Part 6, the ESC’s function is to adjust charges approved or determined under Division 2 of Part 6 (or as amended under Division 4) for changes in demand or consumption forecasts subject to the condition that changes must maintain price stability. The ESC has 30 business days from receiving GMW’s application to approve or determine GMW’s charges for the relevant year.</w:t>
      </w:r>
    </w:p>
    <w:p w14:paraId="6BC00B8B" w14:textId="77777777" w:rsidR="006E47E0" w:rsidRPr="00507B0D" w:rsidRDefault="006E47E0" w:rsidP="00306D8F">
      <w:pPr>
        <w:jc w:val="both"/>
        <w:rPr>
          <w:rFonts w:cs="Arial"/>
        </w:rPr>
      </w:pPr>
      <w:r w:rsidRPr="003002D7">
        <w:rPr>
          <w:rFonts w:cs="Arial"/>
        </w:rPr>
        <w:t>GMW</w:t>
      </w:r>
      <w:r w:rsidR="000D272B" w:rsidRPr="003002D7">
        <w:rPr>
          <w:rFonts w:cs="Arial"/>
        </w:rPr>
        <w:t xml:space="preserve"> has </w:t>
      </w:r>
      <w:r w:rsidR="00A23401">
        <w:rPr>
          <w:rFonts w:cs="Arial"/>
        </w:rPr>
        <w:t xml:space="preserve">been </w:t>
      </w:r>
      <w:r w:rsidR="000D272B" w:rsidRPr="003002D7">
        <w:rPr>
          <w:rFonts w:cs="Arial"/>
        </w:rPr>
        <w:t xml:space="preserve">notified </w:t>
      </w:r>
      <w:r w:rsidR="00433FBF">
        <w:rPr>
          <w:rFonts w:cs="Arial"/>
        </w:rPr>
        <w:t xml:space="preserve">by the </w:t>
      </w:r>
      <w:r w:rsidR="000D272B" w:rsidRPr="003002D7">
        <w:rPr>
          <w:rFonts w:cs="Arial"/>
        </w:rPr>
        <w:t xml:space="preserve">ACCC </w:t>
      </w:r>
      <w:r w:rsidR="00A23401">
        <w:rPr>
          <w:rFonts w:cs="Arial"/>
        </w:rPr>
        <w:t xml:space="preserve">that </w:t>
      </w:r>
      <w:r w:rsidR="000D272B" w:rsidRPr="003002D7">
        <w:rPr>
          <w:rFonts w:cs="Arial"/>
        </w:rPr>
        <w:t xml:space="preserve">it will cease to be a Part 6 operator under </w:t>
      </w:r>
      <w:r w:rsidR="00A23401">
        <w:rPr>
          <w:rFonts w:cs="Arial"/>
        </w:rPr>
        <w:t xml:space="preserve">rule 23 </w:t>
      </w:r>
      <w:r w:rsidR="000D272B" w:rsidRPr="003002D7">
        <w:rPr>
          <w:rFonts w:cs="Arial"/>
        </w:rPr>
        <w:t xml:space="preserve">the </w:t>
      </w:r>
      <w:r w:rsidR="000D272B" w:rsidRPr="00A23401">
        <w:rPr>
          <w:rFonts w:cs="Arial"/>
          <w:i/>
        </w:rPr>
        <w:t>W</w:t>
      </w:r>
      <w:r w:rsidR="00A23401" w:rsidRPr="00A23401">
        <w:rPr>
          <w:rFonts w:cs="Arial"/>
          <w:i/>
        </w:rPr>
        <w:t>ater Charge Rules 2010</w:t>
      </w:r>
      <w:r w:rsidR="00A23401">
        <w:rPr>
          <w:rFonts w:cs="Arial"/>
        </w:rPr>
        <w:t xml:space="preserve"> from </w:t>
      </w:r>
      <w:r w:rsidR="000D272B" w:rsidRPr="003002D7">
        <w:rPr>
          <w:rFonts w:cs="Arial"/>
        </w:rPr>
        <w:t>30 June 2024</w:t>
      </w:r>
      <w:r w:rsidR="00A23401">
        <w:rPr>
          <w:rFonts w:cs="Arial"/>
        </w:rPr>
        <w:t xml:space="preserve">. </w:t>
      </w:r>
      <w:r w:rsidR="000D272B" w:rsidRPr="003002D7">
        <w:rPr>
          <w:rFonts w:cs="Arial"/>
        </w:rPr>
        <w:t xml:space="preserve"> </w:t>
      </w:r>
    </w:p>
    <w:p w14:paraId="4187C16B" w14:textId="77777777" w:rsidR="00306D8F" w:rsidRPr="00507B0D" w:rsidRDefault="00306D8F" w:rsidP="00306D8F">
      <w:pPr>
        <w:pStyle w:val="NoSpacing"/>
        <w:rPr>
          <w:rFonts w:ascii="Arial" w:hAnsi="Arial" w:cs="Arial"/>
        </w:rPr>
      </w:pPr>
    </w:p>
    <w:p w14:paraId="1013EB55" w14:textId="77777777" w:rsidR="00306D8F" w:rsidRPr="00507B0D" w:rsidRDefault="00306D8F" w:rsidP="00306D8F">
      <w:pPr>
        <w:jc w:val="both"/>
        <w:rPr>
          <w:rFonts w:cs="Arial"/>
        </w:rPr>
      </w:pPr>
      <w:r w:rsidRPr="00507B0D">
        <w:rPr>
          <w:rFonts w:cs="Arial"/>
        </w:rPr>
        <w:t>The following outlines the process for the annual review of prices.</w:t>
      </w:r>
    </w:p>
    <w:p w14:paraId="6737DDF7" w14:textId="77777777" w:rsidR="00306D8F" w:rsidRPr="00612011" w:rsidRDefault="00306D8F" w:rsidP="00306D8F">
      <w:pPr>
        <w:pStyle w:val="NoSpacing"/>
        <w:rPr>
          <w:rFonts w:ascii="Arial" w:hAnsi="Arial" w:cs="Arial"/>
          <w:highlight w:val="yellow"/>
        </w:rPr>
      </w:pPr>
    </w:p>
    <w:p w14:paraId="654B2E83" w14:textId="77777777" w:rsidR="00306D8F" w:rsidRPr="00507B0D" w:rsidRDefault="00306D8F" w:rsidP="00306D8F">
      <w:pPr>
        <w:jc w:val="both"/>
        <w:rPr>
          <w:rFonts w:cs="Arial"/>
        </w:rPr>
      </w:pPr>
      <w:r w:rsidRPr="00507B0D">
        <w:rPr>
          <w:rFonts w:cs="Arial"/>
        </w:rPr>
        <w:t xml:space="preserve">The first step in the annual review process is for GMW to </w:t>
      </w:r>
      <w:proofErr w:type="gramStart"/>
      <w:r w:rsidRPr="00507B0D">
        <w:rPr>
          <w:rFonts w:cs="Arial"/>
        </w:rPr>
        <w:t>submit an application</w:t>
      </w:r>
      <w:proofErr w:type="gramEnd"/>
      <w:r w:rsidRPr="00507B0D">
        <w:rPr>
          <w:rFonts w:cs="Arial"/>
        </w:rPr>
        <w:t xml:space="preserve"> for an annual review of charges. The application for the annual review of charges must include:</w:t>
      </w:r>
    </w:p>
    <w:p w14:paraId="10443301" w14:textId="77777777" w:rsidR="00306D8F" w:rsidRPr="00507B0D" w:rsidRDefault="00306D8F" w:rsidP="00306D8F">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 xml:space="preserve">GMW’s forecast of demand for or consumption of infrastructure services for the year to which the application </w:t>
      </w:r>
      <w:proofErr w:type="gramStart"/>
      <w:r w:rsidRPr="00507B0D">
        <w:rPr>
          <w:rFonts w:cs="Arial"/>
        </w:rPr>
        <w:t>relates</w:t>
      </w:r>
      <w:proofErr w:type="gramEnd"/>
    </w:p>
    <w:p w14:paraId="236577EB" w14:textId="77777777" w:rsidR="00306D8F" w:rsidRPr="00507B0D" w:rsidRDefault="00306D8F" w:rsidP="00306D8F">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 xml:space="preserve">GMW’s estimate of demand or consumption during the current </w:t>
      </w:r>
      <w:proofErr w:type="gramStart"/>
      <w:r w:rsidRPr="00507B0D">
        <w:rPr>
          <w:rFonts w:cs="Arial"/>
        </w:rPr>
        <w:t>year</w:t>
      </w:r>
      <w:proofErr w:type="gramEnd"/>
    </w:p>
    <w:p w14:paraId="06B641F3" w14:textId="77777777" w:rsidR="00A905B1" w:rsidRPr="00507B0D" w:rsidRDefault="00A905B1" w:rsidP="00306D8F">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 xml:space="preserve">An explanation of why </w:t>
      </w:r>
      <w:r w:rsidR="006C07DC" w:rsidRPr="00507B0D">
        <w:rPr>
          <w:rFonts w:cs="Arial"/>
        </w:rPr>
        <w:t>any</w:t>
      </w:r>
      <w:r w:rsidRPr="00507B0D">
        <w:rPr>
          <w:rFonts w:cs="Arial"/>
        </w:rPr>
        <w:t xml:space="preserve"> forecast quantities </w:t>
      </w:r>
      <w:proofErr w:type="gramStart"/>
      <w:r w:rsidRPr="00507B0D">
        <w:rPr>
          <w:rFonts w:cs="Arial"/>
        </w:rPr>
        <w:t>are</w:t>
      </w:r>
      <w:proofErr w:type="gramEnd"/>
      <w:r w:rsidRPr="00507B0D">
        <w:rPr>
          <w:rFonts w:cs="Arial"/>
        </w:rPr>
        <w:t xml:space="preserve"> different from those set in its </w:t>
      </w:r>
      <w:r w:rsidR="001D4A98">
        <w:rPr>
          <w:rFonts w:cs="Arial"/>
        </w:rPr>
        <w:t>pricing proposal by at least 10 per cent</w:t>
      </w:r>
    </w:p>
    <w:p w14:paraId="190CB702" w14:textId="77777777" w:rsidR="00306D8F" w:rsidRPr="00507B0D" w:rsidRDefault="00306D8F" w:rsidP="00306D8F">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 xml:space="preserve">information about how the forecast and estimate was </w:t>
      </w:r>
      <w:proofErr w:type="gramStart"/>
      <w:r w:rsidRPr="00507B0D">
        <w:rPr>
          <w:rFonts w:cs="Arial"/>
        </w:rPr>
        <w:t>calculated</w:t>
      </w:r>
      <w:proofErr w:type="gramEnd"/>
    </w:p>
    <w:p w14:paraId="17D59641" w14:textId="77777777" w:rsidR="00A905B1" w:rsidRPr="00507B0D" w:rsidRDefault="00A905B1" w:rsidP="00306D8F">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Anticipated customer impacts</w:t>
      </w:r>
    </w:p>
    <w:p w14:paraId="77F1FCDF" w14:textId="77777777" w:rsidR="00A905B1" w:rsidRPr="00507B0D" w:rsidRDefault="00A905B1" w:rsidP="00306D8F">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 xml:space="preserve">Customer engagement in respect to material price increases and </w:t>
      </w:r>
      <w:proofErr w:type="gramStart"/>
      <w:r w:rsidRPr="00507B0D">
        <w:rPr>
          <w:rFonts w:cs="Arial"/>
        </w:rPr>
        <w:t>long term</w:t>
      </w:r>
      <w:proofErr w:type="gramEnd"/>
      <w:r w:rsidRPr="00507B0D">
        <w:rPr>
          <w:rFonts w:cs="Arial"/>
        </w:rPr>
        <w:t xml:space="preserve"> pricing strategy. </w:t>
      </w:r>
    </w:p>
    <w:p w14:paraId="197EFF3C" w14:textId="77777777" w:rsidR="00306D8F" w:rsidRPr="00507B0D" w:rsidRDefault="00306D8F" w:rsidP="00306D8F">
      <w:pPr>
        <w:keepNext/>
        <w:numPr>
          <w:ilvl w:val="0"/>
          <w:numId w:val="2"/>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507B0D">
        <w:rPr>
          <w:rFonts w:cs="Arial"/>
        </w:rPr>
        <w:t>proposed regulated charges for the year to which the application relates.</w:t>
      </w:r>
    </w:p>
    <w:p w14:paraId="38125CF7" w14:textId="77777777" w:rsidR="00306D8F" w:rsidRPr="00612011" w:rsidRDefault="00306D8F" w:rsidP="00306D8F">
      <w:pPr>
        <w:pStyle w:val="NoSpacing"/>
        <w:rPr>
          <w:rFonts w:ascii="Arial" w:hAnsi="Arial" w:cs="Arial"/>
          <w:highlight w:val="yellow"/>
        </w:rPr>
      </w:pPr>
    </w:p>
    <w:p w14:paraId="3385441A" w14:textId="77777777" w:rsidR="00306D8F" w:rsidRPr="00507B0D" w:rsidRDefault="00306D8F" w:rsidP="00306D8F">
      <w:pPr>
        <w:jc w:val="both"/>
        <w:rPr>
          <w:rFonts w:cs="Arial"/>
        </w:rPr>
      </w:pPr>
      <w:r w:rsidRPr="00507B0D">
        <w:rPr>
          <w:rFonts w:cs="Arial"/>
        </w:rPr>
        <w:t>During this step, the ESC may seek further information from GMW, halting the assessment process. ‘Stop the clock’ provisions can be applied if further information is required. The assessment will only restart once the additional information is provided to the ESC. The ESC will then publish a copy of the application and additional information on its website (subject to any confidentiality requirements).</w:t>
      </w:r>
    </w:p>
    <w:p w14:paraId="1A926128" w14:textId="77777777" w:rsidR="00306D8F" w:rsidRPr="00612011" w:rsidRDefault="00306D8F" w:rsidP="00306D8F">
      <w:pPr>
        <w:jc w:val="both"/>
        <w:rPr>
          <w:rFonts w:cs="Arial"/>
          <w:highlight w:val="yellow"/>
        </w:rPr>
      </w:pPr>
      <w:r w:rsidRPr="00507B0D">
        <w:rPr>
          <w:rFonts w:cs="Arial"/>
        </w:rPr>
        <w:t>The second step involves the ESC considering the application and publishing its Draft Decision on the regulated charges for the year. Submissions will be invited on its Draft Decision</w:t>
      </w:r>
      <w:r w:rsidRPr="00850200">
        <w:rPr>
          <w:rFonts w:cs="Arial"/>
        </w:rPr>
        <w:t xml:space="preserve">. </w:t>
      </w:r>
    </w:p>
    <w:p w14:paraId="7CA5E87C" w14:textId="77777777" w:rsidR="00306D8F" w:rsidRPr="00507B0D" w:rsidRDefault="00306D8F" w:rsidP="00306D8F">
      <w:pPr>
        <w:jc w:val="both"/>
        <w:rPr>
          <w:rFonts w:cs="Arial"/>
        </w:rPr>
      </w:pPr>
      <w:r w:rsidRPr="00507B0D">
        <w:rPr>
          <w:rFonts w:cs="Arial"/>
        </w:rPr>
        <w:lastRenderedPageBreak/>
        <w:t>The third step entails consideration of submissions by the ESC on its Draft Decision, followed by the issue of a Final Decision. As part of the Final Decision, final charges will be approved or determined for each year of the regulatory period.</w:t>
      </w:r>
    </w:p>
    <w:p w14:paraId="03D4DCA7" w14:textId="77777777" w:rsidR="00306D8F" w:rsidRPr="00507B0D" w:rsidRDefault="00306D8F" w:rsidP="00306D8F">
      <w:pPr>
        <w:jc w:val="both"/>
        <w:rPr>
          <w:rFonts w:cs="Arial"/>
        </w:rPr>
      </w:pPr>
      <w:r w:rsidRPr="00507B0D">
        <w:rPr>
          <w:rFonts w:cs="Arial"/>
        </w:rPr>
        <w:t xml:space="preserve">Assuming all information is </w:t>
      </w:r>
      <w:proofErr w:type="gramStart"/>
      <w:r w:rsidRPr="00507B0D">
        <w:rPr>
          <w:rFonts w:cs="Arial"/>
        </w:rPr>
        <w:t>provided</w:t>
      </w:r>
      <w:proofErr w:type="gramEnd"/>
      <w:r w:rsidRPr="00507B0D">
        <w:rPr>
          <w:rFonts w:cs="Arial"/>
        </w:rPr>
        <w:t xml:space="preserve"> and the ESC does not require an extension of the deliberation period, the Final Decision on the annual review of charges will be made within 30 business days of GMW submitting its application.</w:t>
      </w:r>
    </w:p>
    <w:p w14:paraId="1821B309" w14:textId="77777777" w:rsidR="00306D8F" w:rsidRPr="00507B0D" w:rsidRDefault="00306D8F" w:rsidP="00306D8F">
      <w:pPr>
        <w:jc w:val="both"/>
        <w:rPr>
          <w:rFonts w:cs="Arial"/>
        </w:rPr>
      </w:pPr>
      <w:r w:rsidRPr="00507B0D">
        <w:rPr>
          <w:rFonts w:cs="Arial"/>
        </w:rPr>
        <w:t xml:space="preserve">In the event that the ESC is unable to make a decision or determination within the </w:t>
      </w:r>
      <w:proofErr w:type="gramStart"/>
      <w:r w:rsidRPr="00507B0D">
        <w:rPr>
          <w:rFonts w:cs="Arial"/>
        </w:rPr>
        <w:t>30 business</w:t>
      </w:r>
      <w:proofErr w:type="gramEnd"/>
      <w:r w:rsidRPr="00507B0D">
        <w:rPr>
          <w:rFonts w:cs="Arial"/>
        </w:rPr>
        <w:t xml:space="preserve"> day period, the ESC is able to extend the period by one month at a time. When this occurs, GMW can continue to levy fees and charges’ not exceeding its current fees and charges until the extension expires.</w:t>
      </w:r>
    </w:p>
    <w:p w14:paraId="5FDE14DE" w14:textId="77777777" w:rsidR="00306D8F" w:rsidRPr="00507B0D" w:rsidRDefault="00306D8F" w:rsidP="00306D8F">
      <w:pPr>
        <w:jc w:val="both"/>
        <w:rPr>
          <w:rFonts w:cs="Arial"/>
        </w:rPr>
      </w:pPr>
      <w:r w:rsidRPr="00507B0D">
        <w:rPr>
          <w:rFonts w:cs="Arial"/>
        </w:rPr>
        <w:t xml:space="preserve">In a pricing </w:t>
      </w:r>
      <w:r w:rsidR="00F44059" w:rsidRPr="00507B0D">
        <w:rPr>
          <w:rFonts w:cs="Arial"/>
        </w:rPr>
        <w:t>application,</w:t>
      </w:r>
      <w:r w:rsidRPr="00507B0D">
        <w:rPr>
          <w:rFonts w:cs="Arial"/>
        </w:rPr>
        <w:t xml:space="preserve"> GMW is required to provide an overview of how it consulted with its customers. In seeking input from </w:t>
      </w:r>
      <w:r w:rsidR="00F44059" w:rsidRPr="00507B0D">
        <w:rPr>
          <w:rFonts w:cs="Arial"/>
        </w:rPr>
        <w:t>customers,</w:t>
      </w:r>
      <w:r w:rsidRPr="00507B0D">
        <w:rPr>
          <w:rFonts w:cs="Arial"/>
        </w:rPr>
        <w:t xml:space="preserve"> GMW is required to consult, at a minimum, on issues of significance to its customers, such as service, tariffs, </w:t>
      </w:r>
      <w:proofErr w:type="gramStart"/>
      <w:r w:rsidRPr="00507B0D">
        <w:rPr>
          <w:rFonts w:cs="Arial"/>
        </w:rPr>
        <w:t>pricing</w:t>
      </w:r>
      <w:proofErr w:type="gramEnd"/>
      <w:r w:rsidRPr="00507B0D">
        <w:rPr>
          <w:rFonts w:cs="Arial"/>
        </w:rPr>
        <w:t xml:space="preserve"> and investment decisions.</w:t>
      </w:r>
      <w:r w:rsidRPr="00507B0D">
        <w:rPr>
          <w:rStyle w:val="FootnoteReference"/>
          <w:rFonts w:cs="Arial"/>
        </w:rPr>
        <w:footnoteReference w:id="3"/>
      </w:r>
    </w:p>
    <w:p w14:paraId="7C674532" w14:textId="77777777" w:rsidR="00306D8F" w:rsidRPr="00507B0D" w:rsidRDefault="00306D8F" w:rsidP="00306D8F">
      <w:pPr>
        <w:jc w:val="both"/>
        <w:rPr>
          <w:rFonts w:cs="Arial"/>
        </w:rPr>
      </w:pPr>
      <w:r w:rsidRPr="00507B0D">
        <w:rPr>
          <w:rFonts w:cs="Arial"/>
        </w:rPr>
        <w:t xml:space="preserve">The structure of consultation may take </w:t>
      </w:r>
      <w:proofErr w:type="gramStart"/>
      <w:r w:rsidRPr="00507B0D">
        <w:rPr>
          <w:rFonts w:cs="Arial"/>
        </w:rPr>
        <w:t>a number of</w:t>
      </w:r>
      <w:proofErr w:type="gramEnd"/>
      <w:r w:rsidRPr="00507B0D">
        <w:rPr>
          <w:rFonts w:cs="Arial"/>
        </w:rPr>
        <w:t xml:space="preserve"> forms depending on the opportunity presented. Options for customer consultation include, but are not limited to, surveys, customer committees, public forums and customer focus groups, project specific consultation, inviting submissions, workshops, </w:t>
      </w:r>
      <w:proofErr w:type="gramStart"/>
      <w:r w:rsidRPr="00507B0D">
        <w:rPr>
          <w:rFonts w:cs="Arial"/>
        </w:rPr>
        <w:t>newsletters</w:t>
      </w:r>
      <w:proofErr w:type="gramEnd"/>
      <w:r w:rsidRPr="00507B0D">
        <w:rPr>
          <w:rFonts w:cs="Arial"/>
        </w:rPr>
        <w:t xml:space="preserve"> and media releases.</w:t>
      </w:r>
    </w:p>
    <w:p w14:paraId="20D68960" w14:textId="77777777" w:rsidR="00306D8F" w:rsidRPr="00507B0D" w:rsidRDefault="00306D8F" w:rsidP="00306D8F">
      <w:pPr>
        <w:rPr>
          <w:rFonts w:cs="Arial"/>
        </w:rPr>
      </w:pPr>
      <w:r w:rsidRPr="00507B0D">
        <w:rPr>
          <w:rFonts w:cs="Arial"/>
        </w:rPr>
        <w:t>Appendix 1 sets out the key activities and dates for GMW’s annual price review for 202</w:t>
      </w:r>
      <w:r w:rsidR="00703835">
        <w:rPr>
          <w:rFonts w:cs="Arial"/>
        </w:rPr>
        <w:t>3/24</w:t>
      </w:r>
      <w:r w:rsidR="001822D4" w:rsidRPr="00507B0D">
        <w:rPr>
          <w:rFonts w:cs="Arial"/>
        </w:rPr>
        <w:t>.</w:t>
      </w:r>
    </w:p>
    <w:p w14:paraId="6160E53D" w14:textId="77777777" w:rsidR="00306D8F" w:rsidRPr="00612011" w:rsidRDefault="00306D8F" w:rsidP="00306D8F">
      <w:pPr>
        <w:rPr>
          <w:rFonts w:cs="Arial"/>
          <w:highlight w:val="yellow"/>
        </w:rPr>
      </w:pPr>
    </w:p>
    <w:p w14:paraId="5D474C4B" w14:textId="77777777" w:rsidR="00306D8F" w:rsidRPr="00507B0D" w:rsidRDefault="00306D8F" w:rsidP="00306D8F">
      <w:pPr>
        <w:pStyle w:val="Heading1"/>
        <w:keepLines w:val="0"/>
        <w:numPr>
          <w:ilvl w:val="0"/>
          <w:numId w:val="3"/>
        </w:numPr>
        <w:spacing w:before="240" w:after="60"/>
        <w:rPr>
          <w:rFonts w:cs="Arial"/>
        </w:rPr>
      </w:pPr>
      <w:bookmarkStart w:id="30" w:name="_Toc481579036"/>
      <w:bookmarkStart w:id="31" w:name="_Toc134012428"/>
      <w:r w:rsidRPr="00507B0D">
        <w:rPr>
          <w:rFonts w:cs="Arial"/>
        </w:rPr>
        <w:t>Financial Sustainability</w:t>
      </w:r>
      <w:bookmarkEnd w:id="30"/>
      <w:bookmarkEnd w:id="31"/>
    </w:p>
    <w:p w14:paraId="1346D21C" w14:textId="77777777" w:rsidR="00306D8F" w:rsidRPr="00507B0D" w:rsidRDefault="00306D8F" w:rsidP="00306D8F">
      <w:pPr>
        <w:rPr>
          <w:rFonts w:cs="Arial"/>
        </w:rPr>
      </w:pPr>
      <w:r w:rsidRPr="00507B0D">
        <w:rPr>
          <w:rFonts w:cs="Arial"/>
        </w:rPr>
        <w:t>Financial sustainability is a key component of GMW’s corporate strategy. GMW has developed a series of metrics that it uses to assess financial viability.</w:t>
      </w:r>
    </w:p>
    <w:p w14:paraId="1EF72F20" w14:textId="77777777" w:rsidR="00306D8F" w:rsidRPr="005B1ABB" w:rsidRDefault="00306D8F" w:rsidP="00306D8F">
      <w:pPr>
        <w:rPr>
          <w:rFonts w:cs="Arial"/>
        </w:rPr>
      </w:pPr>
      <w:r w:rsidRPr="00507B0D">
        <w:rPr>
          <w:rFonts w:cs="Arial"/>
        </w:rPr>
        <w:t>Revenue from GMW’s proposed prices for 202</w:t>
      </w:r>
      <w:r w:rsidR="00D55631">
        <w:rPr>
          <w:rFonts w:cs="Arial"/>
        </w:rPr>
        <w:t>3/24</w:t>
      </w:r>
      <w:r w:rsidRPr="00507B0D">
        <w:rPr>
          <w:rFonts w:cs="Arial"/>
        </w:rPr>
        <w:t xml:space="preserve"> generates metrics within their target ranges, indicating that the revenue proposed by these prices does not cause detriment to </w:t>
      </w:r>
      <w:r w:rsidRPr="005B1ABB">
        <w:rPr>
          <w:rFonts w:cs="Arial"/>
        </w:rPr>
        <w:t>GMW’s financial sustainability.</w:t>
      </w:r>
    </w:p>
    <w:p w14:paraId="0BD7A5E3" w14:textId="77777777" w:rsidR="004C4F7E" w:rsidRPr="005B1ABB" w:rsidRDefault="002C2675" w:rsidP="00306D8F">
      <w:pPr>
        <w:rPr>
          <w:rFonts w:cs="Arial"/>
          <w:b/>
        </w:rPr>
      </w:pPr>
      <w:r w:rsidRPr="002C2CA4">
        <w:rPr>
          <w:rFonts w:cs="Arial"/>
          <w:b/>
        </w:rPr>
        <w:t>GMW’s financial indicators for Price Review 202</w:t>
      </w:r>
      <w:r w:rsidR="00703835" w:rsidRPr="002C2CA4">
        <w:rPr>
          <w:rFonts w:cs="Arial"/>
          <w:b/>
        </w:rPr>
        <w:t>3/24</w:t>
      </w:r>
    </w:p>
    <w:tbl>
      <w:tblPr>
        <w:tblStyle w:val="TableGrid"/>
        <w:tblW w:w="0" w:type="auto"/>
        <w:tblLook w:val="04A0" w:firstRow="1" w:lastRow="0" w:firstColumn="1" w:lastColumn="0" w:noHBand="0" w:noVBand="1"/>
      </w:tblPr>
      <w:tblGrid>
        <w:gridCol w:w="4390"/>
        <w:gridCol w:w="1134"/>
      </w:tblGrid>
      <w:tr w:rsidR="0045548D" w:rsidRPr="005B1ABB" w14:paraId="05A81BB8" w14:textId="77777777" w:rsidTr="005B1ABB">
        <w:tc>
          <w:tcPr>
            <w:tcW w:w="4390" w:type="dxa"/>
            <w:shd w:val="clear" w:color="auto" w:fill="DBE5F1" w:themeFill="accent1" w:themeFillTint="33"/>
          </w:tcPr>
          <w:p w14:paraId="6B039EF9" w14:textId="77777777" w:rsidR="0045548D" w:rsidRPr="005B1ABB" w:rsidRDefault="0045548D" w:rsidP="00306D8F">
            <w:pPr>
              <w:rPr>
                <w:rFonts w:cs="Arial"/>
                <w:b/>
              </w:rPr>
            </w:pPr>
          </w:p>
        </w:tc>
        <w:tc>
          <w:tcPr>
            <w:tcW w:w="1134" w:type="dxa"/>
            <w:shd w:val="clear" w:color="auto" w:fill="DBE5F1" w:themeFill="accent1" w:themeFillTint="33"/>
          </w:tcPr>
          <w:p w14:paraId="04F6A86D" w14:textId="77777777" w:rsidR="0045548D" w:rsidRPr="00594600" w:rsidRDefault="00D55631" w:rsidP="00306D8F">
            <w:pPr>
              <w:rPr>
                <w:rFonts w:cs="Arial"/>
                <w:b/>
                <w:highlight w:val="yellow"/>
              </w:rPr>
            </w:pPr>
            <w:r w:rsidRPr="002C2CA4">
              <w:rPr>
                <w:rFonts w:cs="Arial"/>
                <w:b/>
              </w:rPr>
              <w:t>2023/24</w:t>
            </w:r>
          </w:p>
        </w:tc>
      </w:tr>
      <w:tr w:rsidR="0045548D" w:rsidRPr="005B1ABB" w14:paraId="0AC9E5C5" w14:textId="77777777" w:rsidTr="00A8158C">
        <w:tc>
          <w:tcPr>
            <w:tcW w:w="4390" w:type="dxa"/>
          </w:tcPr>
          <w:p w14:paraId="1D3C0536" w14:textId="77777777" w:rsidR="0045548D" w:rsidRPr="005B1ABB" w:rsidRDefault="0045548D" w:rsidP="00306D8F">
            <w:pPr>
              <w:rPr>
                <w:rFonts w:cs="Arial"/>
                <w:b/>
              </w:rPr>
            </w:pPr>
            <w:r w:rsidRPr="005B1ABB">
              <w:rPr>
                <w:rFonts w:cs="Arial"/>
                <w:b/>
              </w:rPr>
              <w:t>Cash Interest Cover</w:t>
            </w:r>
          </w:p>
        </w:tc>
        <w:tc>
          <w:tcPr>
            <w:tcW w:w="1134" w:type="dxa"/>
            <w:shd w:val="clear" w:color="auto" w:fill="auto"/>
          </w:tcPr>
          <w:p w14:paraId="22A0B845" w14:textId="77777777" w:rsidR="0045548D" w:rsidRPr="00A8158C" w:rsidRDefault="00A8158C" w:rsidP="004C7245">
            <w:pPr>
              <w:jc w:val="center"/>
              <w:rPr>
                <w:rFonts w:cs="Arial"/>
              </w:rPr>
            </w:pPr>
            <w:r w:rsidRPr="00A8158C">
              <w:rPr>
                <w:rFonts w:cs="Arial"/>
              </w:rPr>
              <w:t>7.3</w:t>
            </w:r>
            <w:r w:rsidR="0045548D" w:rsidRPr="00A8158C">
              <w:rPr>
                <w:rFonts w:cs="Arial"/>
              </w:rPr>
              <w:t>x</w:t>
            </w:r>
          </w:p>
        </w:tc>
      </w:tr>
      <w:tr w:rsidR="0045548D" w:rsidRPr="005B1ABB" w14:paraId="0F7DB90A" w14:textId="77777777" w:rsidTr="00A8158C">
        <w:tc>
          <w:tcPr>
            <w:tcW w:w="4390" w:type="dxa"/>
          </w:tcPr>
          <w:p w14:paraId="7E805A9A" w14:textId="77777777" w:rsidR="0045548D" w:rsidRPr="005B1ABB" w:rsidRDefault="0045548D" w:rsidP="00306D8F">
            <w:pPr>
              <w:rPr>
                <w:rFonts w:cs="Arial"/>
                <w:b/>
              </w:rPr>
            </w:pPr>
            <w:r w:rsidRPr="005B1ABB">
              <w:rPr>
                <w:rFonts w:cs="Arial"/>
                <w:b/>
              </w:rPr>
              <w:t>Gearing</w:t>
            </w:r>
          </w:p>
        </w:tc>
        <w:tc>
          <w:tcPr>
            <w:tcW w:w="1134" w:type="dxa"/>
            <w:shd w:val="clear" w:color="auto" w:fill="auto"/>
          </w:tcPr>
          <w:p w14:paraId="1D20D450" w14:textId="77777777" w:rsidR="0045548D" w:rsidRPr="00A8158C" w:rsidRDefault="0045548D" w:rsidP="004C7245">
            <w:pPr>
              <w:jc w:val="center"/>
              <w:rPr>
                <w:rFonts w:cs="Arial"/>
              </w:rPr>
            </w:pPr>
            <w:r w:rsidRPr="00A8158C">
              <w:rPr>
                <w:rFonts w:cs="Arial"/>
              </w:rPr>
              <w:t>2.2%</w:t>
            </w:r>
          </w:p>
        </w:tc>
      </w:tr>
      <w:tr w:rsidR="0045548D" w:rsidRPr="005B1ABB" w14:paraId="644E5E76" w14:textId="77777777" w:rsidTr="00A8158C">
        <w:tc>
          <w:tcPr>
            <w:tcW w:w="4390" w:type="dxa"/>
          </w:tcPr>
          <w:p w14:paraId="65305C0B" w14:textId="77777777" w:rsidR="0045548D" w:rsidRPr="005B1ABB" w:rsidRDefault="0045548D" w:rsidP="00306D8F">
            <w:pPr>
              <w:rPr>
                <w:rFonts w:cs="Arial"/>
                <w:b/>
              </w:rPr>
            </w:pPr>
            <w:r w:rsidRPr="005B1ABB">
              <w:rPr>
                <w:rFonts w:cs="Arial"/>
                <w:b/>
              </w:rPr>
              <w:t>Regulatory Gearing</w:t>
            </w:r>
          </w:p>
        </w:tc>
        <w:tc>
          <w:tcPr>
            <w:tcW w:w="1134" w:type="dxa"/>
            <w:shd w:val="clear" w:color="auto" w:fill="auto"/>
          </w:tcPr>
          <w:p w14:paraId="0B4800AB" w14:textId="77777777" w:rsidR="0045548D" w:rsidRPr="00A8158C" w:rsidRDefault="00A8158C" w:rsidP="00A8158C">
            <w:pPr>
              <w:jc w:val="center"/>
              <w:rPr>
                <w:rFonts w:cs="Arial"/>
              </w:rPr>
            </w:pPr>
            <w:r w:rsidRPr="00A8158C">
              <w:rPr>
                <w:rFonts w:cs="Arial"/>
              </w:rPr>
              <w:t>17</w:t>
            </w:r>
            <w:r w:rsidR="0045548D" w:rsidRPr="00A8158C">
              <w:rPr>
                <w:rFonts w:cs="Arial"/>
              </w:rPr>
              <w:t>.</w:t>
            </w:r>
            <w:r w:rsidRPr="00A8158C">
              <w:rPr>
                <w:rFonts w:cs="Arial"/>
              </w:rPr>
              <w:t>0</w:t>
            </w:r>
            <w:r w:rsidR="0045548D" w:rsidRPr="00A8158C">
              <w:rPr>
                <w:rFonts w:cs="Arial"/>
              </w:rPr>
              <w:t>%</w:t>
            </w:r>
          </w:p>
        </w:tc>
      </w:tr>
      <w:tr w:rsidR="0045548D" w:rsidRPr="005B1ABB" w14:paraId="6E58D2FD" w14:textId="77777777" w:rsidTr="00A8158C">
        <w:tc>
          <w:tcPr>
            <w:tcW w:w="4390" w:type="dxa"/>
          </w:tcPr>
          <w:p w14:paraId="2D8AB381" w14:textId="77777777" w:rsidR="0045548D" w:rsidRPr="005B1ABB" w:rsidRDefault="0045548D" w:rsidP="00306D8F">
            <w:pPr>
              <w:rPr>
                <w:rFonts w:cs="Arial"/>
                <w:b/>
              </w:rPr>
            </w:pPr>
            <w:r w:rsidRPr="005B1ABB">
              <w:rPr>
                <w:rFonts w:cs="Arial"/>
                <w:b/>
              </w:rPr>
              <w:t>Internal Financing Ratio</w:t>
            </w:r>
          </w:p>
        </w:tc>
        <w:tc>
          <w:tcPr>
            <w:tcW w:w="1134" w:type="dxa"/>
            <w:shd w:val="clear" w:color="auto" w:fill="auto"/>
          </w:tcPr>
          <w:p w14:paraId="3D151F26" w14:textId="77777777" w:rsidR="0045548D" w:rsidRPr="00A8158C" w:rsidRDefault="0045548D" w:rsidP="00A8158C">
            <w:pPr>
              <w:jc w:val="center"/>
              <w:rPr>
                <w:rFonts w:cs="Arial"/>
              </w:rPr>
            </w:pPr>
            <w:r w:rsidRPr="00A8158C">
              <w:rPr>
                <w:rFonts w:cs="Arial"/>
              </w:rPr>
              <w:t>1</w:t>
            </w:r>
            <w:r w:rsidR="00A8158C" w:rsidRPr="00A8158C">
              <w:rPr>
                <w:rFonts w:cs="Arial"/>
              </w:rPr>
              <w:t>08</w:t>
            </w:r>
            <w:r w:rsidRPr="00A8158C">
              <w:rPr>
                <w:rFonts w:cs="Arial"/>
              </w:rPr>
              <w:t>%</w:t>
            </w:r>
          </w:p>
        </w:tc>
      </w:tr>
    </w:tbl>
    <w:p w14:paraId="60A31A1C" w14:textId="77777777" w:rsidR="002C2675" w:rsidRPr="008D3ACD" w:rsidRDefault="002C2675" w:rsidP="00306D8F">
      <w:pPr>
        <w:rPr>
          <w:rFonts w:cs="Arial"/>
          <w:i/>
          <w:sz w:val="18"/>
        </w:rPr>
      </w:pPr>
      <w:r w:rsidRPr="008D3ACD">
        <w:rPr>
          <w:rFonts w:cs="Arial"/>
          <w:i/>
          <w:sz w:val="18"/>
        </w:rPr>
        <w:t xml:space="preserve">  The above table incorporates </w:t>
      </w:r>
      <w:proofErr w:type="gramStart"/>
      <w:r w:rsidRPr="008D3ACD">
        <w:rPr>
          <w:rFonts w:cs="Arial"/>
          <w:i/>
          <w:sz w:val="18"/>
        </w:rPr>
        <w:t>all of</w:t>
      </w:r>
      <w:proofErr w:type="gramEnd"/>
      <w:r w:rsidRPr="008D3ACD">
        <w:rPr>
          <w:rFonts w:cs="Arial"/>
          <w:i/>
          <w:sz w:val="18"/>
        </w:rPr>
        <w:t xml:space="preserve"> GMW’s Water Storage &amp; Delivery</w:t>
      </w:r>
    </w:p>
    <w:p w14:paraId="6C2D9B15" w14:textId="77777777" w:rsidR="000C1162" w:rsidRDefault="000C1162" w:rsidP="00306D8F">
      <w:pPr>
        <w:rPr>
          <w:rFonts w:cs="Arial"/>
          <w:i/>
          <w:sz w:val="18"/>
          <w:highlight w:val="yellow"/>
        </w:rPr>
      </w:pPr>
    </w:p>
    <w:p w14:paraId="2CA35896" w14:textId="77777777" w:rsidR="00A966D2" w:rsidRDefault="00A966D2" w:rsidP="00306D8F">
      <w:pPr>
        <w:rPr>
          <w:rFonts w:cs="Arial"/>
          <w:i/>
          <w:sz w:val="18"/>
          <w:highlight w:val="yellow"/>
        </w:rPr>
      </w:pPr>
    </w:p>
    <w:p w14:paraId="118A31F6" w14:textId="77777777" w:rsidR="00A966D2" w:rsidRPr="00612011" w:rsidRDefault="00A966D2" w:rsidP="00306D8F">
      <w:pPr>
        <w:rPr>
          <w:rFonts w:cs="Arial"/>
          <w:i/>
          <w:sz w:val="18"/>
          <w:highlight w:val="yellow"/>
        </w:rPr>
      </w:pPr>
    </w:p>
    <w:p w14:paraId="7DAB5812" w14:textId="77777777" w:rsidR="00306D8F" w:rsidRPr="008D3ACD" w:rsidRDefault="00306D8F" w:rsidP="00306D8F">
      <w:pPr>
        <w:pStyle w:val="Heading1"/>
        <w:keepLines w:val="0"/>
        <w:numPr>
          <w:ilvl w:val="0"/>
          <w:numId w:val="3"/>
        </w:numPr>
        <w:spacing w:before="240" w:after="60"/>
        <w:rPr>
          <w:rFonts w:cs="Arial"/>
        </w:rPr>
      </w:pPr>
      <w:bookmarkStart w:id="32" w:name="_Toc481579037"/>
      <w:bookmarkStart w:id="33" w:name="_Toc134012429"/>
      <w:r w:rsidRPr="008D3ACD">
        <w:rPr>
          <w:rFonts w:cs="Arial"/>
        </w:rPr>
        <w:lastRenderedPageBreak/>
        <w:t>Governance Process</w:t>
      </w:r>
      <w:bookmarkEnd w:id="32"/>
      <w:bookmarkEnd w:id="33"/>
    </w:p>
    <w:p w14:paraId="315EA31A" w14:textId="77777777" w:rsidR="00306D8F" w:rsidRPr="008D3ACD" w:rsidRDefault="00306D8F" w:rsidP="00306D8F">
      <w:pPr>
        <w:jc w:val="both"/>
        <w:rPr>
          <w:rFonts w:eastAsiaTheme="majorEastAsia" w:cs="Arial"/>
          <w:b/>
          <w:bCs/>
          <w:kern w:val="32"/>
          <w:sz w:val="32"/>
          <w:szCs w:val="32"/>
        </w:rPr>
      </w:pPr>
      <w:r w:rsidRPr="008D3ACD">
        <w:rPr>
          <w:rFonts w:cs="Arial"/>
        </w:rPr>
        <w:t xml:space="preserve">In developing its </w:t>
      </w:r>
      <w:r w:rsidRPr="002C2CA4">
        <w:rPr>
          <w:rFonts w:cs="Arial"/>
        </w:rPr>
        <w:t>proposed 202</w:t>
      </w:r>
      <w:r w:rsidR="00D55631" w:rsidRPr="002C2CA4">
        <w:rPr>
          <w:rFonts w:cs="Arial"/>
        </w:rPr>
        <w:t>3</w:t>
      </w:r>
      <w:r w:rsidR="001822D4" w:rsidRPr="002C2CA4">
        <w:rPr>
          <w:rFonts w:cs="Arial"/>
        </w:rPr>
        <w:t>/2</w:t>
      </w:r>
      <w:r w:rsidR="00D55631" w:rsidRPr="002C2CA4">
        <w:rPr>
          <w:rFonts w:cs="Arial"/>
        </w:rPr>
        <w:t>4</w:t>
      </w:r>
      <w:r w:rsidRPr="002C2CA4">
        <w:rPr>
          <w:rFonts w:cs="Arial"/>
        </w:rPr>
        <w:t xml:space="preserve"> prices</w:t>
      </w:r>
      <w:r w:rsidRPr="008D3ACD">
        <w:rPr>
          <w:rFonts w:cs="Arial"/>
        </w:rPr>
        <w:t xml:space="preserve">, GMW has applied stringent internal governance arrangements relating to its annual pricing submission. GMW’s Regulatory and Pricing team within the Finance Group manages and coordinates annual pricing reviews and regulatory compliance obligations. The pricing approach, annual price adjustments and broader pricing application developed by the Regulatory and Pricing team are subject to internal review by GMW before submission to the ESC. The GMW Board has been informed through the review period, endorsed the </w:t>
      </w:r>
      <w:proofErr w:type="gramStart"/>
      <w:r w:rsidRPr="008D3ACD">
        <w:rPr>
          <w:rFonts w:cs="Arial"/>
        </w:rPr>
        <w:t>approach</w:t>
      </w:r>
      <w:proofErr w:type="gramEnd"/>
      <w:r w:rsidRPr="008D3ACD">
        <w:rPr>
          <w:rFonts w:cs="Arial"/>
        </w:rPr>
        <w:t xml:space="preserve"> and is expected to subsequently approve 202</w:t>
      </w:r>
      <w:r w:rsidR="00D55631">
        <w:rPr>
          <w:rFonts w:cs="Arial"/>
        </w:rPr>
        <w:t>3/24</w:t>
      </w:r>
      <w:r w:rsidR="001822D4" w:rsidRPr="008D3ACD">
        <w:rPr>
          <w:rFonts w:cs="Arial"/>
        </w:rPr>
        <w:t xml:space="preserve"> </w:t>
      </w:r>
      <w:r w:rsidRPr="008D3ACD">
        <w:rPr>
          <w:rFonts w:cs="Arial"/>
        </w:rPr>
        <w:t>prices after it has received the ESC’s decision.</w:t>
      </w:r>
    </w:p>
    <w:p w14:paraId="16A3D9F7" w14:textId="77777777" w:rsidR="00306D8F" w:rsidRPr="008D3ACD" w:rsidRDefault="00306D8F" w:rsidP="00306D8F">
      <w:pPr>
        <w:pStyle w:val="Heading1"/>
        <w:keepLines w:val="0"/>
        <w:numPr>
          <w:ilvl w:val="0"/>
          <w:numId w:val="3"/>
        </w:numPr>
        <w:spacing w:before="240" w:after="60"/>
        <w:rPr>
          <w:rFonts w:cs="Arial"/>
        </w:rPr>
      </w:pPr>
      <w:bookmarkStart w:id="34" w:name="_Toc481579038"/>
      <w:bookmarkStart w:id="35" w:name="_Toc134012430"/>
      <w:r w:rsidRPr="008D3ACD">
        <w:rPr>
          <w:rFonts w:cs="Arial"/>
        </w:rPr>
        <w:t>Approach to Determining Prices</w:t>
      </w:r>
      <w:bookmarkEnd w:id="34"/>
      <w:bookmarkEnd w:id="35"/>
      <w:r w:rsidR="00A905B1" w:rsidRPr="008D3ACD">
        <w:rPr>
          <w:rFonts w:cs="Arial"/>
        </w:rPr>
        <w:t xml:space="preserve"> </w:t>
      </w:r>
    </w:p>
    <w:p w14:paraId="26ED9114" w14:textId="77777777" w:rsidR="00600A03" w:rsidRPr="008D3ACD" w:rsidRDefault="00600A03" w:rsidP="00306D8F">
      <w:pPr>
        <w:jc w:val="both"/>
        <w:rPr>
          <w:rFonts w:cs="Arial"/>
        </w:rPr>
      </w:pPr>
    </w:p>
    <w:p w14:paraId="02E37686" w14:textId="77777777" w:rsidR="00306D8F" w:rsidRPr="008D3ACD" w:rsidRDefault="00306D8F" w:rsidP="00306D8F">
      <w:pPr>
        <w:jc w:val="both"/>
        <w:rPr>
          <w:rFonts w:cs="Arial"/>
        </w:rPr>
      </w:pPr>
      <w:r w:rsidRPr="008D3ACD">
        <w:rPr>
          <w:rFonts w:cs="Arial"/>
        </w:rPr>
        <w:t xml:space="preserve">In determining the prices </w:t>
      </w:r>
      <w:r w:rsidRPr="002C2CA4">
        <w:rPr>
          <w:rFonts w:cs="Arial"/>
        </w:rPr>
        <w:t>for 202</w:t>
      </w:r>
      <w:r w:rsidR="00D55631" w:rsidRPr="002C2CA4">
        <w:rPr>
          <w:rFonts w:cs="Arial"/>
        </w:rPr>
        <w:t>3/24</w:t>
      </w:r>
      <w:r w:rsidRPr="002C2CA4">
        <w:rPr>
          <w:rFonts w:cs="Arial"/>
        </w:rPr>
        <w:t xml:space="preserve"> we have</w:t>
      </w:r>
      <w:r w:rsidRPr="008D3ACD">
        <w:rPr>
          <w:rFonts w:cs="Arial"/>
        </w:rPr>
        <w:t xml:space="preserve"> considered the following factors:</w:t>
      </w:r>
    </w:p>
    <w:p w14:paraId="6B46A661" w14:textId="77777777" w:rsidR="00306D8F" w:rsidRPr="008D3ACD" w:rsidRDefault="00306D8F" w:rsidP="0014517A">
      <w:pPr>
        <w:keepNext/>
        <w:numPr>
          <w:ilvl w:val="0"/>
          <w:numId w:val="25"/>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8D3ACD">
        <w:rPr>
          <w:rFonts w:cs="Arial"/>
        </w:rPr>
        <w:t>GMW’s 2020 Price Submission - Final Decision and Determination issued by the ESC in June 2020</w:t>
      </w:r>
    </w:p>
    <w:p w14:paraId="1069BDD2" w14:textId="77777777" w:rsidR="00306D8F" w:rsidRPr="008D3ACD" w:rsidRDefault="00306D8F" w:rsidP="0014517A">
      <w:pPr>
        <w:keepNext/>
        <w:numPr>
          <w:ilvl w:val="0"/>
          <w:numId w:val="25"/>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8D3ACD">
        <w:rPr>
          <w:rFonts w:cs="Arial"/>
        </w:rPr>
        <w:t>continue to drive operational efficiencies to achieve reduced controllable costs, while maintaining and/or improving service levels to our customers</w:t>
      </w:r>
    </w:p>
    <w:p w14:paraId="43A3DEF5" w14:textId="77777777" w:rsidR="001A5BD4" w:rsidRPr="008D3ACD" w:rsidRDefault="00306D8F" w:rsidP="0014517A">
      <w:pPr>
        <w:keepNext/>
        <w:numPr>
          <w:ilvl w:val="0"/>
          <w:numId w:val="25"/>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8D3ACD">
        <w:rPr>
          <w:rFonts w:cs="Arial"/>
        </w:rPr>
        <w:t xml:space="preserve">long-term tariff strategy implementation for </w:t>
      </w:r>
      <w:r w:rsidR="00132C61" w:rsidRPr="008D3ACD">
        <w:rPr>
          <w:rFonts w:cs="Arial"/>
        </w:rPr>
        <w:t>S</w:t>
      </w:r>
      <w:r w:rsidR="001A5BD4" w:rsidRPr="008D3ACD">
        <w:rPr>
          <w:rFonts w:cs="Arial"/>
        </w:rPr>
        <w:t>ervice points</w:t>
      </w:r>
      <w:r w:rsidR="00EE6C8B" w:rsidRPr="008D3ACD">
        <w:rPr>
          <w:rFonts w:cs="Arial"/>
        </w:rPr>
        <w:t>, Storage fees</w:t>
      </w:r>
      <w:r w:rsidR="001A5BD4" w:rsidRPr="008D3ACD">
        <w:rPr>
          <w:rFonts w:cs="Arial"/>
        </w:rPr>
        <w:t xml:space="preserve"> and </w:t>
      </w:r>
      <w:r w:rsidR="00132C61" w:rsidRPr="008D3ACD">
        <w:rPr>
          <w:rFonts w:cs="Arial"/>
        </w:rPr>
        <w:t>Single customer.</w:t>
      </w:r>
      <w:r w:rsidR="001A5BD4" w:rsidRPr="008D3ACD">
        <w:rPr>
          <w:rFonts w:cs="Arial"/>
        </w:rPr>
        <w:t xml:space="preserve"> </w:t>
      </w:r>
    </w:p>
    <w:p w14:paraId="00AD234A" w14:textId="77777777" w:rsidR="00306D8F" w:rsidRPr="008D3ACD" w:rsidRDefault="00306D8F" w:rsidP="0014517A">
      <w:pPr>
        <w:keepNext/>
        <w:numPr>
          <w:ilvl w:val="0"/>
          <w:numId w:val="25"/>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8D3ACD">
        <w:rPr>
          <w:rFonts w:cs="Arial"/>
        </w:rPr>
        <w:t xml:space="preserve">maintaining prices that are sustainable and predictable. We aim to maintain price increases within </w:t>
      </w:r>
      <w:r w:rsidR="001A5BD4" w:rsidRPr="008D3ACD">
        <w:rPr>
          <w:rFonts w:cs="Arial"/>
        </w:rPr>
        <w:t>CPI unless approved in the Final Decision.</w:t>
      </w:r>
    </w:p>
    <w:p w14:paraId="0D2F8FE6" w14:textId="77777777" w:rsidR="00306D8F" w:rsidRPr="008D3ACD" w:rsidRDefault="00306D8F" w:rsidP="0014517A">
      <w:pPr>
        <w:keepNext/>
        <w:numPr>
          <w:ilvl w:val="0"/>
          <w:numId w:val="25"/>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8D3ACD">
        <w:rPr>
          <w:rFonts w:cs="Arial"/>
        </w:rPr>
        <w:t>ensuring prices are as low as possible, while ensuring GMW’s financial sustainability</w:t>
      </w:r>
    </w:p>
    <w:p w14:paraId="74B01F01" w14:textId="77777777" w:rsidR="00306D8F" w:rsidRPr="008D3ACD" w:rsidRDefault="00306D8F" w:rsidP="0014517A">
      <w:pPr>
        <w:keepNext/>
        <w:numPr>
          <w:ilvl w:val="0"/>
          <w:numId w:val="25"/>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8D3ACD">
        <w:rPr>
          <w:rFonts w:cs="Arial"/>
        </w:rPr>
        <w:t xml:space="preserve">ensuring forecast revenue is within the revenue cap approved by the ESC for the 2020 - 2024 regulatory </w:t>
      </w:r>
      <w:proofErr w:type="gramStart"/>
      <w:r w:rsidRPr="008D3ACD">
        <w:rPr>
          <w:rFonts w:cs="Arial"/>
        </w:rPr>
        <w:t>period</w:t>
      </w:r>
      <w:proofErr w:type="gramEnd"/>
    </w:p>
    <w:p w14:paraId="23A25467" w14:textId="77777777" w:rsidR="00306D8F" w:rsidRPr="008D3ACD" w:rsidRDefault="00306D8F" w:rsidP="0014517A">
      <w:pPr>
        <w:keepNext/>
        <w:numPr>
          <w:ilvl w:val="0"/>
          <w:numId w:val="25"/>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8D3ACD">
        <w:rPr>
          <w:rFonts w:cs="Arial"/>
        </w:rPr>
        <w:t xml:space="preserve">consideration of the risks presented by uncertain and unforeseen events on GMW’s financial sustainability and potential impact on </w:t>
      </w:r>
      <w:proofErr w:type="gramStart"/>
      <w:r w:rsidRPr="008D3ACD">
        <w:rPr>
          <w:rFonts w:cs="Arial"/>
        </w:rPr>
        <w:t>prices</w:t>
      </w:r>
      <w:proofErr w:type="gramEnd"/>
    </w:p>
    <w:p w14:paraId="258CA5FF" w14:textId="77777777" w:rsidR="00306D8F" w:rsidRPr="008D3ACD" w:rsidRDefault="00306D8F" w:rsidP="0014517A">
      <w:pPr>
        <w:keepNext/>
        <w:numPr>
          <w:ilvl w:val="0"/>
          <w:numId w:val="25"/>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8D3ACD">
        <w:rPr>
          <w:rFonts w:cs="Arial"/>
        </w:rPr>
        <w:t xml:space="preserve">cost reflective pricing for </w:t>
      </w:r>
      <w:r w:rsidR="00FD08D2" w:rsidRPr="008D3ACD">
        <w:rPr>
          <w:rFonts w:cs="Arial"/>
        </w:rPr>
        <w:t>S</w:t>
      </w:r>
      <w:r w:rsidRPr="008D3ACD">
        <w:rPr>
          <w:rFonts w:cs="Arial"/>
        </w:rPr>
        <w:t>ervice point fees, etc.</w:t>
      </w:r>
    </w:p>
    <w:p w14:paraId="1FC8F26B" w14:textId="77777777" w:rsidR="00306D8F" w:rsidRPr="008D3ACD" w:rsidRDefault="00306D8F" w:rsidP="0014517A">
      <w:pPr>
        <w:keepNext/>
        <w:numPr>
          <w:ilvl w:val="0"/>
          <w:numId w:val="25"/>
        </w:numPr>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jc w:val="both"/>
        <w:rPr>
          <w:rFonts w:cs="Arial"/>
        </w:rPr>
      </w:pPr>
      <w:r w:rsidRPr="008D3ACD">
        <w:rPr>
          <w:rFonts w:cs="Arial"/>
        </w:rPr>
        <w:t>customers’ views.</w:t>
      </w:r>
    </w:p>
    <w:p w14:paraId="7B08B0FC" w14:textId="77777777" w:rsidR="00306D8F" w:rsidRPr="00612011" w:rsidRDefault="00306D8F" w:rsidP="00306D8F">
      <w:pPr>
        <w:jc w:val="both"/>
        <w:rPr>
          <w:rFonts w:cs="Arial"/>
          <w:highlight w:val="yellow"/>
        </w:rPr>
      </w:pPr>
    </w:p>
    <w:p w14:paraId="177AA3A4" w14:textId="77777777" w:rsidR="00306D8F" w:rsidRPr="008D3ACD" w:rsidRDefault="00306D8F" w:rsidP="00306D8F">
      <w:pPr>
        <w:rPr>
          <w:rFonts w:cs="Arial"/>
        </w:rPr>
      </w:pPr>
      <w:r w:rsidRPr="008D3ACD">
        <w:rPr>
          <w:rFonts w:cs="Arial"/>
        </w:rPr>
        <w:t xml:space="preserve">Regarding the item 4 and 5 above, in some cases, significant price changes have been expressed in tariff strategy, meaning it’s been necessary to introduce price changes greater than 10 per cent. Increases </w:t>
      </w:r>
      <w:proofErr w:type="gramStart"/>
      <w:r w:rsidRPr="008D3ACD">
        <w:rPr>
          <w:rFonts w:cs="Arial"/>
        </w:rPr>
        <w:t>in excess of</w:t>
      </w:r>
      <w:proofErr w:type="gramEnd"/>
      <w:r w:rsidRPr="008D3ACD">
        <w:rPr>
          <w:rFonts w:cs="Arial"/>
        </w:rPr>
        <w:t xml:space="preserve"> 10 per cent only affect prices already determined by the June 2020 ESC Final Decision. GMW has chosen a constant price path over several years to smooth the transition of prices. During the development of GMW’s 2020 Pricing Submission GMW </w:t>
      </w:r>
      <w:r w:rsidR="006C07DC" w:rsidRPr="008D3ACD">
        <w:rPr>
          <w:rFonts w:cs="Arial"/>
        </w:rPr>
        <w:t xml:space="preserve">conducted </w:t>
      </w:r>
      <w:proofErr w:type="gramStart"/>
      <w:r w:rsidR="006C07DC" w:rsidRPr="008D3ACD">
        <w:rPr>
          <w:rFonts w:cs="Arial"/>
        </w:rPr>
        <w:t>a number of</w:t>
      </w:r>
      <w:proofErr w:type="gramEnd"/>
      <w:r w:rsidR="006C07DC" w:rsidRPr="008D3ACD">
        <w:rPr>
          <w:rFonts w:cs="Arial"/>
        </w:rPr>
        <w:t xml:space="preserve"> engagements with c</w:t>
      </w:r>
      <w:r w:rsidRPr="008D3ACD">
        <w:rPr>
          <w:rFonts w:cs="Arial"/>
        </w:rPr>
        <w:t>ustomers</w:t>
      </w:r>
      <w:r w:rsidR="006C07DC" w:rsidRPr="008D3ACD">
        <w:rPr>
          <w:rFonts w:cs="Arial"/>
        </w:rPr>
        <w:t xml:space="preserve"> to explain the costs in detail and compare a range of options </w:t>
      </w:r>
      <w:r w:rsidRPr="008D3ACD">
        <w:rPr>
          <w:rFonts w:cs="Arial"/>
        </w:rPr>
        <w:t>of the long-term transition path, thereby providing predictability, so that customers are able to prepare for price changes subsequently approved by the ESC.</w:t>
      </w:r>
      <w:r w:rsidRPr="008D3ACD">
        <w:rPr>
          <w:rFonts w:cs="Arial"/>
        </w:rPr>
        <w:br/>
      </w:r>
    </w:p>
    <w:p w14:paraId="56E49A3A" w14:textId="77777777" w:rsidR="00306D8F" w:rsidRPr="008D3ACD" w:rsidRDefault="00306D8F" w:rsidP="00306D8F">
      <w:pPr>
        <w:pStyle w:val="Heading2"/>
        <w:keepLines w:val="0"/>
        <w:numPr>
          <w:ilvl w:val="1"/>
          <w:numId w:val="3"/>
        </w:numPr>
        <w:spacing w:before="240" w:after="60"/>
        <w:rPr>
          <w:rFonts w:cs="Arial"/>
        </w:rPr>
      </w:pPr>
      <w:bookmarkStart w:id="36" w:name="_Toc481579039"/>
      <w:bookmarkStart w:id="37" w:name="_Toc134012431"/>
      <w:r w:rsidRPr="008D3ACD">
        <w:rPr>
          <w:rFonts w:cs="Arial"/>
        </w:rPr>
        <w:lastRenderedPageBreak/>
        <w:t>Price Adjustments</w:t>
      </w:r>
      <w:bookmarkEnd w:id="36"/>
      <w:bookmarkEnd w:id="37"/>
    </w:p>
    <w:p w14:paraId="1AFD8022" w14:textId="77777777" w:rsidR="00306D8F" w:rsidRDefault="00306D8F" w:rsidP="00306D8F">
      <w:pPr>
        <w:jc w:val="both"/>
        <w:rPr>
          <w:rFonts w:eastAsia="Times New Roman" w:cs="Arial"/>
          <w:szCs w:val="24"/>
        </w:rPr>
      </w:pPr>
      <w:r w:rsidRPr="002C2CA4">
        <w:rPr>
          <w:rFonts w:cs="Arial"/>
        </w:rPr>
        <w:t>With the above considerations in mind, t</w:t>
      </w:r>
      <w:r w:rsidRPr="002C2CA4">
        <w:rPr>
          <w:rFonts w:eastAsia="Times New Roman" w:cs="Arial"/>
          <w:szCs w:val="24"/>
        </w:rPr>
        <w:t xml:space="preserve">he following provides details on our proposed prices for </w:t>
      </w:r>
      <w:r w:rsidR="001822D4" w:rsidRPr="002C2CA4">
        <w:rPr>
          <w:rFonts w:eastAsia="Times New Roman" w:cs="Arial"/>
          <w:szCs w:val="24"/>
        </w:rPr>
        <w:t>202</w:t>
      </w:r>
      <w:r w:rsidR="00703835" w:rsidRPr="002C2CA4">
        <w:rPr>
          <w:rFonts w:eastAsia="Times New Roman" w:cs="Arial"/>
          <w:szCs w:val="24"/>
        </w:rPr>
        <w:t>3/24</w:t>
      </w:r>
      <w:r w:rsidRPr="005C3896">
        <w:rPr>
          <w:rFonts w:eastAsia="Times New Roman" w:cs="Arial"/>
          <w:szCs w:val="24"/>
        </w:rPr>
        <w:t xml:space="preserve">. An </w:t>
      </w:r>
      <w:r w:rsidR="007C0260" w:rsidRPr="005C3896">
        <w:rPr>
          <w:rFonts w:eastAsia="Times New Roman" w:cs="Arial"/>
          <w:szCs w:val="24"/>
        </w:rPr>
        <w:t xml:space="preserve">agreed </w:t>
      </w:r>
      <w:r w:rsidR="005B794C" w:rsidRPr="005C3896">
        <w:rPr>
          <w:rFonts w:eastAsia="Times New Roman" w:cs="Arial"/>
          <w:szCs w:val="24"/>
        </w:rPr>
        <w:t>increase</w:t>
      </w:r>
      <w:r w:rsidRPr="005C3896">
        <w:rPr>
          <w:rFonts w:eastAsia="Times New Roman" w:cs="Arial"/>
          <w:szCs w:val="24"/>
        </w:rPr>
        <w:t xml:space="preserve"> </w:t>
      </w:r>
      <w:r w:rsidRPr="000457D3">
        <w:rPr>
          <w:rFonts w:eastAsia="Times New Roman" w:cs="Arial"/>
          <w:szCs w:val="24"/>
        </w:rPr>
        <w:t xml:space="preserve">of </w:t>
      </w:r>
      <w:r w:rsidR="00E86B79" w:rsidRPr="000457D3">
        <w:rPr>
          <w:rFonts w:eastAsia="Times New Roman" w:cs="Arial"/>
          <w:szCs w:val="24"/>
        </w:rPr>
        <w:t>5.6</w:t>
      </w:r>
      <w:r w:rsidRPr="000457D3">
        <w:rPr>
          <w:rFonts w:eastAsia="Times New Roman" w:cs="Arial"/>
          <w:szCs w:val="24"/>
        </w:rPr>
        <w:t xml:space="preserve"> per cent </w:t>
      </w:r>
      <w:r w:rsidR="000457D3">
        <w:rPr>
          <w:rFonts w:eastAsia="Times New Roman" w:cs="Arial"/>
          <w:szCs w:val="24"/>
        </w:rPr>
        <w:t xml:space="preserve">has been applied and not </w:t>
      </w:r>
      <w:r w:rsidR="000457D3" w:rsidRPr="000457D3">
        <w:rPr>
          <w:rFonts w:eastAsia="Times New Roman" w:cs="Arial"/>
          <w:szCs w:val="24"/>
        </w:rPr>
        <w:t>the “all groups” March quarter 2023 CPI of 7.0 per cent</w:t>
      </w:r>
      <w:r w:rsidR="000457D3">
        <w:rPr>
          <w:rFonts w:eastAsia="Times New Roman" w:cs="Arial"/>
          <w:szCs w:val="24"/>
        </w:rPr>
        <w:t>. P</w:t>
      </w:r>
      <w:r w:rsidRPr="008D3ACD">
        <w:rPr>
          <w:rFonts w:eastAsia="Times New Roman" w:cs="Arial"/>
          <w:szCs w:val="24"/>
        </w:rPr>
        <w:t>rices have been updated accordingly, excluding those prices where GMW is targeting a rounded nominal figure</w:t>
      </w:r>
      <w:r w:rsidR="00CA7A23">
        <w:rPr>
          <w:rFonts w:eastAsia="Times New Roman" w:cs="Arial"/>
          <w:szCs w:val="24"/>
        </w:rPr>
        <w:t>.</w:t>
      </w:r>
    </w:p>
    <w:p w14:paraId="0A2962C2" w14:textId="77777777" w:rsidR="00306D8F" w:rsidRPr="00CA7A23" w:rsidRDefault="001A5BD4" w:rsidP="00306D8F">
      <w:pPr>
        <w:jc w:val="both"/>
        <w:rPr>
          <w:rFonts w:eastAsia="Times New Roman" w:cs="Arial"/>
          <w:szCs w:val="24"/>
          <w:u w:val="single"/>
        </w:rPr>
      </w:pPr>
      <w:r w:rsidRPr="00CA7A23">
        <w:rPr>
          <w:rFonts w:eastAsia="Times New Roman" w:cs="Arial"/>
          <w:szCs w:val="24"/>
          <w:u w:val="single"/>
        </w:rPr>
        <w:t>Customer Fee</w:t>
      </w:r>
      <w:r w:rsidR="004C025E" w:rsidRPr="00CA7A23">
        <w:rPr>
          <w:rFonts w:eastAsia="Times New Roman" w:cs="Arial"/>
          <w:szCs w:val="24"/>
          <w:u w:val="single"/>
        </w:rPr>
        <w:t xml:space="preserve"> </w:t>
      </w:r>
      <w:r w:rsidRPr="00CA7A23">
        <w:rPr>
          <w:rFonts w:eastAsia="Times New Roman" w:cs="Arial"/>
          <w:szCs w:val="24"/>
          <w:u w:val="single"/>
        </w:rPr>
        <w:t>/ Water Register Fee</w:t>
      </w:r>
    </w:p>
    <w:p w14:paraId="70BE6E1C" w14:textId="77777777" w:rsidR="00A32A29" w:rsidRPr="00A21526" w:rsidRDefault="00CA7A23" w:rsidP="00CA7A23">
      <w:pPr>
        <w:rPr>
          <w:rFonts w:eastAsia="Times New Roman" w:cs="Arial"/>
          <w:szCs w:val="24"/>
        </w:rPr>
      </w:pPr>
      <w:r w:rsidRPr="00A21526">
        <w:rPr>
          <w:rFonts w:eastAsia="Times New Roman" w:cs="Arial"/>
          <w:szCs w:val="24"/>
        </w:rPr>
        <w:t>In 2021</w:t>
      </w:r>
      <w:r w:rsidR="00850200" w:rsidRPr="00A21526">
        <w:rPr>
          <w:rFonts w:eastAsia="Times New Roman" w:cs="Arial"/>
          <w:szCs w:val="24"/>
        </w:rPr>
        <w:t>/</w:t>
      </w:r>
      <w:r w:rsidRPr="00A21526">
        <w:rPr>
          <w:rFonts w:eastAsia="Times New Roman" w:cs="Arial"/>
          <w:szCs w:val="24"/>
        </w:rPr>
        <w:t xml:space="preserve">22 GMW introduced the single Customer fee and Water Register fee replacing the Service fee. </w:t>
      </w:r>
    </w:p>
    <w:p w14:paraId="54932CDE" w14:textId="77777777" w:rsidR="00CA7A23" w:rsidRPr="004006CE" w:rsidRDefault="00CA7A23" w:rsidP="00CA7A23">
      <w:pPr>
        <w:rPr>
          <w:rFonts w:eastAsia="Times New Roman" w:cs="Arial"/>
          <w:szCs w:val="24"/>
        </w:rPr>
      </w:pPr>
      <w:r w:rsidRPr="008200F8">
        <w:rPr>
          <w:rFonts w:eastAsia="Times New Roman" w:cs="Arial"/>
          <w:szCs w:val="24"/>
        </w:rPr>
        <w:t xml:space="preserve">In </w:t>
      </w:r>
      <w:r w:rsidRPr="00632528">
        <w:rPr>
          <w:rFonts w:eastAsia="Times New Roman" w:cs="Arial"/>
          <w:szCs w:val="24"/>
        </w:rPr>
        <w:t>202</w:t>
      </w:r>
      <w:r w:rsidR="002C2CA4" w:rsidRPr="00632528">
        <w:rPr>
          <w:rFonts w:eastAsia="Times New Roman" w:cs="Arial"/>
          <w:szCs w:val="24"/>
        </w:rPr>
        <w:t>3</w:t>
      </w:r>
      <w:r w:rsidR="00850200" w:rsidRPr="00632528">
        <w:rPr>
          <w:rFonts w:eastAsia="Times New Roman" w:cs="Arial"/>
          <w:szCs w:val="24"/>
        </w:rPr>
        <w:t>/</w:t>
      </w:r>
      <w:r w:rsidRPr="00632528">
        <w:rPr>
          <w:rFonts w:eastAsia="Times New Roman" w:cs="Arial"/>
          <w:szCs w:val="24"/>
        </w:rPr>
        <w:t>2</w:t>
      </w:r>
      <w:r w:rsidR="002C2CA4" w:rsidRPr="00632528">
        <w:rPr>
          <w:rFonts w:eastAsia="Times New Roman" w:cs="Arial"/>
          <w:szCs w:val="24"/>
        </w:rPr>
        <w:t>4</w:t>
      </w:r>
      <w:r w:rsidRPr="00632528">
        <w:rPr>
          <w:rFonts w:eastAsia="Times New Roman" w:cs="Arial"/>
          <w:szCs w:val="24"/>
        </w:rPr>
        <w:t xml:space="preserve"> GMW is holding the Customer Fee at</w:t>
      </w:r>
      <w:r w:rsidR="00D97369" w:rsidRPr="00632528">
        <w:rPr>
          <w:rFonts w:eastAsia="Times New Roman" w:cs="Arial"/>
          <w:szCs w:val="24"/>
        </w:rPr>
        <w:t xml:space="preserve"> the</w:t>
      </w:r>
      <w:r w:rsidRPr="00632528">
        <w:rPr>
          <w:rFonts w:eastAsia="Times New Roman" w:cs="Arial"/>
          <w:szCs w:val="24"/>
        </w:rPr>
        <w:t xml:space="preserve"> 202</w:t>
      </w:r>
      <w:r w:rsidR="000457D3">
        <w:rPr>
          <w:rFonts w:eastAsia="Times New Roman" w:cs="Arial"/>
          <w:szCs w:val="24"/>
        </w:rPr>
        <w:t>2/23 price of $130</w:t>
      </w:r>
      <w:r w:rsidRPr="00632528">
        <w:rPr>
          <w:rFonts w:eastAsia="Times New Roman" w:cs="Arial"/>
          <w:szCs w:val="24"/>
        </w:rPr>
        <w:t xml:space="preserve"> and not increasing </w:t>
      </w:r>
      <w:r w:rsidR="00C8130A" w:rsidRPr="00632528">
        <w:rPr>
          <w:rFonts w:eastAsia="Times New Roman" w:cs="Arial"/>
          <w:szCs w:val="24"/>
        </w:rPr>
        <w:t xml:space="preserve">the fee to $135 </w:t>
      </w:r>
      <w:r w:rsidRPr="00632528">
        <w:rPr>
          <w:rFonts w:eastAsia="Times New Roman" w:cs="Arial"/>
          <w:szCs w:val="24"/>
        </w:rPr>
        <w:t xml:space="preserve">as expected in the 2020 </w:t>
      </w:r>
      <w:r w:rsidRPr="004006CE">
        <w:rPr>
          <w:rFonts w:eastAsia="Times New Roman" w:cs="Arial"/>
          <w:szCs w:val="24"/>
        </w:rPr>
        <w:t xml:space="preserve">Pricing </w:t>
      </w:r>
      <w:r w:rsidR="00750649" w:rsidRPr="004006CE">
        <w:rPr>
          <w:rFonts w:eastAsia="Times New Roman" w:cs="Arial"/>
          <w:szCs w:val="24"/>
        </w:rPr>
        <w:t>Submission.</w:t>
      </w:r>
      <w:r w:rsidRPr="004006CE">
        <w:rPr>
          <w:rFonts w:eastAsia="Times New Roman" w:cs="Arial"/>
          <w:szCs w:val="24"/>
        </w:rPr>
        <w:t xml:space="preserve"> This is due to the single customer model now being finalised resulting in single customer numbers being higher than originally estimated in the 2020 Pricing Submission. </w:t>
      </w:r>
    </w:p>
    <w:p w14:paraId="2D2D34DD" w14:textId="77777777" w:rsidR="0074462C" w:rsidRPr="00A21526" w:rsidRDefault="00850200" w:rsidP="0074462C">
      <w:pPr>
        <w:rPr>
          <w:rFonts w:eastAsia="Times New Roman" w:cs="Arial"/>
          <w:szCs w:val="24"/>
        </w:rPr>
      </w:pPr>
      <w:r w:rsidRPr="004006CE">
        <w:rPr>
          <w:rFonts w:eastAsia="Times New Roman" w:cs="Arial"/>
          <w:szCs w:val="24"/>
        </w:rPr>
        <w:t>In 202</w:t>
      </w:r>
      <w:r w:rsidR="008200F8" w:rsidRPr="004006CE">
        <w:rPr>
          <w:rFonts w:eastAsia="Times New Roman" w:cs="Arial"/>
          <w:szCs w:val="24"/>
        </w:rPr>
        <w:t>3</w:t>
      </w:r>
      <w:r w:rsidRPr="004006CE">
        <w:rPr>
          <w:rFonts w:eastAsia="Times New Roman" w:cs="Arial"/>
          <w:szCs w:val="24"/>
        </w:rPr>
        <w:t>/</w:t>
      </w:r>
      <w:r w:rsidR="00A32A29" w:rsidRPr="004006CE">
        <w:rPr>
          <w:rFonts w:eastAsia="Times New Roman" w:cs="Arial"/>
          <w:szCs w:val="24"/>
        </w:rPr>
        <w:t>2</w:t>
      </w:r>
      <w:r w:rsidR="008200F8" w:rsidRPr="004006CE">
        <w:rPr>
          <w:rFonts w:eastAsia="Times New Roman" w:cs="Arial"/>
          <w:szCs w:val="24"/>
        </w:rPr>
        <w:t>4</w:t>
      </w:r>
      <w:r w:rsidR="00A32A29" w:rsidRPr="004006CE">
        <w:rPr>
          <w:rFonts w:eastAsia="Times New Roman" w:cs="Arial"/>
          <w:szCs w:val="24"/>
        </w:rPr>
        <w:t xml:space="preserve"> GMW is increasing the </w:t>
      </w:r>
      <w:r w:rsidR="001A5BD4" w:rsidRPr="004006CE">
        <w:rPr>
          <w:rFonts w:eastAsia="Times New Roman" w:cs="Arial"/>
          <w:szCs w:val="24"/>
        </w:rPr>
        <w:t xml:space="preserve">Water Register fee </w:t>
      </w:r>
      <w:r w:rsidR="00A32A29" w:rsidRPr="00B47C4F">
        <w:rPr>
          <w:rFonts w:eastAsia="Times New Roman" w:cs="Arial"/>
          <w:szCs w:val="24"/>
        </w:rPr>
        <w:t>by</w:t>
      </w:r>
      <w:r w:rsidR="003A4FD8" w:rsidRPr="00B47C4F">
        <w:rPr>
          <w:rFonts w:eastAsia="Times New Roman" w:cs="Arial"/>
          <w:szCs w:val="24"/>
        </w:rPr>
        <w:t xml:space="preserve"> </w:t>
      </w:r>
      <w:r w:rsidR="003A4FD8" w:rsidRPr="000457D3">
        <w:rPr>
          <w:rFonts w:eastAsia="Times New Roman" w:cs="Arial"/>
          <w:szCs w:val="24"/>
        </w:rPr>
        <w:t xml:space="preserve">the </w:t>
      </w:r>
      <w:r w:rsidR="003A4FD8" w:rsidRPr="000457D3">
        <w:rPr>
          <w:rFonts w:cs="Arial"/>
        </w:rPr>
        <w:t xml:space="preserve">“all groups” March quarter 2023 </w:t>
      </w:r>
      <w:r w:rsidR="003A4FD8" w:rsidRPr="000457D3">
        <w:rPr>
          <w:rFonts w:eastAsia="Times New Roman" w:cs="Arial"/>
          <w:szCs w:val="24"/>
        </w:rPr>
        <w:t>CPI</w:t>
      </w:r>
      <w:r w:rsidR="00C33EB6" w:rsidRPr="000457D3">
        <w:rPr>
          <w:rFonts w:eastAsia="Times New Roman" w:cs="Arial"/>
          <w:szCs w:val="24"/>
        </w:rPr>
        <w:t xml:space="preserve"> of 7.0 per cent</w:t>
      </w:r>
      <w:r w:rsidR="003A4FD8" w:rsidRPr="000457D3">
        <w:rPr>
          <w:rFonts w:eastAsia="Times New Roman" w:cs="Arial"/>
          <w:szCs w:val="24"/>
        </w:rPr>
        <w:t xml:space="preserve"> as recommended by DE</w:t>
      </w:r>
      <w:r w:rsidR="00B47C4F" w:rsidRPr="000457D3">
        <w:rPr>
          <w:rFonts w:eastAsia="Times New Roman" w:cs="Arial"/>
          <w:szCs w:val="24"/>
        </w:rPr>
        <w:t>E</w:t>
      </w:r>
      <w:r w:rsidR="003A4FD8" w:rsidRPr="000457D3">
        <w:rPr>
          <w:rFonts w:eastAsia="Times New Roman" w:cs="Arial"/>
          <w:szCs w:val="24"/>
        </w:rPr>
        <w:t>CA</w:t>
      </w:r>
      <w:r w:rsidR="00A32A29" w:rsidRPr="000457D3">
        <w:rPr>
          <w:rFonts w:eastAsia="Times New Roman" w:cs="Arial"/>
          <w:szCs w:val="24"/>
        </w:rPr>
        <w:t>. This Fee is set by DE</w:t>
      </w:r>
      <w:r w:rsidR="00621E79" w:rsidRPr="000457D3">
        <w:rPr>
          <w:rFonts w:eastAsia="Times New Roman" w:cs="Arial"/>
          <w:szCs w:val="24"/>
        </w:rPr>
        <w:t>ECA</w:t>
      </w:r>
      <w:r w:rsidR="00A32A29" w:rsidRPr="000457D3">
        <w:rPr>
          <w:rFonts w:eastAsia="Times New Roman" w:cs="Arial"/>
          <w:szCs w:val="24"/>
        </w:rPr>
        <w:t xml:space="preserve"> and is l</w:t>
      </w:r>
      <w:r w:rsidR="001A5BD4" w:rsidRPr="000457D3">
        <w:rPr>
          <w:rFonts w:eastAsia="Times New Roman" w:cs="Arial"/>
          <w:szCs w:val="24"/>
        </w:rPr>
        <w:t>evied based on the number of water entitlements recorded in the water register</w:t>
      </w:r>
      <w:r w:rsidR="001A5BD4" w:rsidRPr="004006CE">
        <w:rPr>
          <w:rFonts w:eastAsia="Times New Roman" w:cs="Arial"/>
          <w:szCs w:val="24"/>
        </w:rPr>
        <w:t>.</w:t>
      </w:r>
      <w:r w:rsidR="001A5BD4" w:rsidRPr="00A21526">
        <w:rPr>
          <w:rFonts w:eastAsia="Times New Roman" w:cs="Arial"/>
          <w:szCs w:val="24"/>
        </w:rPr>
        <w:t xml:space="preserve"> </w:t>
      </w:r>
    </w:p>
    <w:p w14:paraId="3A51D18F" w14:textId="77777777" w:rsidR="00306D8F" w:rsidRPr="008D3ACD" w:rsidRDefault="00306D8F" w:rsidP="0074462C">
      <w:pPr>
        <w:rPr>
          <w:rFonts w:eastAsia="Times New Roman" w:cs="Arial"/>
          <w:szCs w:val="24"/>
        </w:rPr>
      </w:pPr>
      <w:r w:rsidRPr="008D3ACD">
        <w:rPr>
          <w:rFonts w:eastAsia="Times New Roman" w:cs="Arial"/>
          <w:szCs w:val="24"/>
          <w:u w:val="single"/>
        </w:rPr>
        <w:t>Bulk Water Storage Fees</w:t>
      </w:r>
    </w:p>
    <w:p w14:paraId="6FE13B87" w14:textId="77777777" w:rsidR="00306D8F" w:rsidRPr="00A00214" w:rsidRDefault="00306D8F" w:rsidP="00306D8F">
      <w:pPr>
        <w:keepNext/>
        <w:spacing w:line="240" w:lineRule="auto"/>
        <w:rPr>
          <w:rFonts w:eastAsia="Times New Roman" w:cs="Arial"/>
          <w:szCs w:val="24"/>
        </w:rPr>
      </w:pPr>
      <w:r w:rsidRPr="008D3ACD">
        <w:rPr>
          <w:rFonts w:eastAsia="Times New Roman" w:cs="Arial"/>
          <w:szCs w:val="24"/>
        </w:rPr>
        <w:t xml:space="preserve">As required by the bulk entitlements GMW divides its bulk water service into seven Basins, with the price in each reflecting the costs of harvesting and storing water in that basin. Of the seven Basins, there are two larger basins – Goulburn and Murray – that hold </w:t>
      </w:r>
      <w:proofErr w:type="gramStart"/>
      <w:r w:rsidRPr="008D3ACD">
        <w:rPr>
          <w:rFonts w:eastAsia="Times New Roman" w:cs="Arial"/>
          <w:szCs w:val="24"/>
        </w:rPr>
        <w:t>the majority of</w:t>
      </w:r>
      <w:proofErr w:type="gramEnd"/>
      <w:r w:rsidRPr="008D3ACD">
        <w:rPr>
          <w:rFonts w:eastAsia="Times New Roman" w:cs="Arial"/>
          <w:szCs w:val="24"/>
        </w:rPr>
        <w:t xml:space="preserve"> water stored for customers. The other five Basins – Broken, Campaspe, Loddon, </w:t>
      </w:r>
      <w:proofErr w:type="gramStart"/>
      <w:r w:rsidRPr="008D3ACD">
        <w:rPr>
          <w:rFonts w:eastAsia="Times New Roman" w:cs="Arial"/>
          <w:szCs w:val="24"/>
        </w:rPr>
        <w:t>Bullarook</w:t>
      </w:r>
      <w:proofErr w:type="gramEnd"/>
      <w:r w:rsidRPr="008D3ACD">
        <w:rPr>
          <w:rFonts w:eastAsia="Times New Roman" w:cs="Arial"/>
          <w:szCs w:val="24"/>
        </w:rPr>
        <w:t xml:space="preserve"> and Ovens </w:t>
      </w:r>
      <w:r w:rsidRPr="00A00214">
        <w:rPr>
          <w:rFonts w:eastAsia="Times New Roman" w:cs="Arial"/>
          <w:szCs w:val="24"/>
        </w:rPr>
        <w:t>– store relatively small amounts of water.</w:t>
      </w:r>
    </w:p>
    <w:p w14:paraId="2EB5AF6B" w14:textId="77777777" w:rsidR="00B47C4F" w:rsidRPr="00B47C4F" w:rsidRDefault="00306D8F" w:rsidP="00600A03">
      <w:pPr>
        <w:keepNext/>
        <w:spacing w:line="240" w:lineRule="auto"/>
        <w:rPr>
          <w:rFonts w:eastAsia="Times New Roman" w:cs="Arial"/>
          <w:szCs w:val="24"/>
        </w:rPr>
      </w:pPr>
      <w:r w:rsidRPr="00B47C4F">
        <w:rPr>
          <w:rFonts w:eastAsia="Times New Roman" w:cs="Arial"/>
          <w:szCs w:val="24"/>
        </w:rPr>
        <w:t>For 202</w:t>
      </w:r>
      <w:r w:rsidR="00D55631" w:rsidRPr="00B47C4F">
        <w:rPr>
          <w:rFonts w:eastAsia="Times New Roman" w:cs="Arial"/>
          <w:szCs w:val="24"/>
        </w:rPr>
        <w:t>3/24</w:t>
      </w:r>
      <w:r w:rsidR="001822D4" w:rsidRPr="00B47C4F">
        <w:rPr>
          <w:rFonts w:eastAsia="Times New Roman" w:cs="Arial"/>
          <w:szCs w:val="24"/>
        </w:rPr>
        <w:t xml:space="preserve"> </w:t>
      </w:r>
      <w:r w:rsidRPr="00B47C4F">
        <w:rPr>
          <w:rFonts w:eastAsia="Times New Roman" w:cs="Arial"/>
          <w:szCs w:val="24"/>
        </w:rPr>
        <w:t>GMW proposes</w:t>
      </w:r>
      <w:r w:rsidR="00600A03" w:rsidRPr="00B47C4F">
        <w:rPr>
          <w:rFonts w:eastAsia="Times New Roman" w:cs="Arial"/>
          <w:szCs w:val="24"/>
        </w:rPr>
        <w:t xml:space="preserve"> to </w:t>
      </w:r>
      <w:r w:rsidR="003A4FD8" w:rsidRPr="00B47C4F">
        <w:rPr>
          <w:rFonts w:eastAsia="Times New Roman" w:cs="Arial"/>
          <w:szCs w:val="24"/>
        </w:rPr>
        <w:t xml:space="preserve">give the Murray Basin a decrease </w:t>
      </w:r>
      <w:r w:rsidR="003A4FD8" w:rsidRPr="000457D3">
        <w:rPr>
          <w:rFonts w:eastAsia="Times New Roman" w:cs="Arial"/>
          <w:szCs w:val="24"/>
        </w:rPr>
        <w:t>of 4</w:t>
      </w:r>
      <w:r w:rsidR="000457D3" w:rsidRPr="000457D3">
        <w:rPr>
          <w:rFonts w:eastAsia="Times New Roman" w:cs="Arial"/>
          <w:szCs w:val="24"/>
        </w:rPr>
        <w:t xml:space="preserve">.8 </w:t>
      </w:r>
      <w:r w:rsidR="003A4FD8" w:rsidRPr="000457D3">
        <w:rPr>
          <w:rFonts w:eastAsia="Times New Roman" w:cs="Arial"/>
          <w:szCs w:val="24"/>
        </w:rPr>
        <w:t>per cent</w:t>
      </w:r>
      <w:r w:rsidR="003A4FD8" w:rsidRPr="00B47C4F">
        <w:rPr>
          <w:rFonts w:eastAsia="Times New Roman" w:cs="Arial"/>
          <w:szCs w:val="24"/>
        </w:rPr>
        <w:t xml:space="preserve"> in real dollars</w:t>
      </w:r>
      <w:r w:rsidR="00B47C4F" w:rsidRPr="00B47C4F">
        <w:rPr>
          <w:rFonts w:eastAsia="Times New Roman" w:cs="Arial"/>
          <w:szCs w:val="24"/>
        </w:rPr>
        <w:t>.</w:t>
      </w:r>
    </w:p>
    <w:p w14:paraId="0B175BA3" w14:textId="77777777" w:rsidR="00FE5A80" w:rsidRPr="00FE5A80" w:rsidRDefault="00FE5A80" w:rsidP="00FE5A80">
      <w:pPr>
        <w:keepNext/>
        <w:spacing w:line="240" w:lineRule="auto"/>
        <w:rPr>
          <w:rFonts w:eastAsia="Times New Roman" w:cs="Arial"/>
          <w:szCs w:val="24"/>
        </w:rPr>
      </w:pPr>
      <w:r w:rsidRPr="00FE5A80">
        <w:rPr>
          <w:rFonts w:eastAsia="Times New Roman" w:cs="Arial"/>
          <w:szCs w:val="24"/>
        </w:rPr>
        <w:t xml:space="preserve">The forecast </w:t>
      </w:r>
      <w:r>
        <w:rPr>
          <w:rFonts w:eastAsia="Times New Roman" w:cs="Arial"/>
          <w:szCs w:val="24"/>
        </w:rPr>
        <w:t xml:space="preserve">for the MDBA contribution </w:t>
      </w:r>
      <w:r w:rsidRPr="00FE5A80">
        <w:rPr>
          <w:rFonts w:eastAsia="Times New Roman" w:cs="Arial"/>
          <w:szCs w:val="24"/>
        </w:rPr>
        <w:t>in the 2020 Pricing Submission was on a reasonable basis assuming MDBA would apply CPI adjustments to the contribution.</w:t>
      </w:r>
    </w:p>
    <w:p w14:paraId="1A2345CC" w14:textId="77777777" w:rsidR="00B47C4F" w:rsidRDefault="00FE5A80" w:rsidP="00FE5A80">
      <w:pPr>
        <w:keepNext/>
        <w:spacing w:line="240" w:lineRule="auto"/>
        <w:rPr>
          <w:rFonts w:eastAsia="Times New Roman" w:cs="Arial"/>
          <w:szCs w:val="24"/>
        </w:rPr>
      </w:pPr>
      <w:r w:rsidRPr="00FE5A80">
        <w:rPr>
          <w:rFonts w:eastAsia="Times New Roman" w:cs="Arial"/>
          <w:szCs w:val="24"/>
        </w:rPr>
        <w:t>As this has now not occurred GMW wish to make an adjustment in the 2023/24 Annual Price Review.</w:t>
      </w:r>
      <w:r w:rsidR="00B47C4F" w:rsidRPr="00FE5A80">
        <w:rPr>
          <w:rFonts w:eastAsia="Times New Roman" w:cs="Arial"/>
          <w:szCs w:val="24"/>
        </w:rPr>
        <w:t xml:space="preserve"> G</w:t>
      </w:r>
      <w:r w:rsidR="003A4FD8" w:rsidRPr="00FE5A80">
        <w:rPr>
          <w:rFonts w:eastAsia="Times New Roman" w:cs="Arial"/>
          <w:szCs w:val="24"/>
        </w:rPr>
        <w:t xml:space="preserve">MW </w:t>
      </w:r>
      <w:r w:rsidR="00B47C4F" w:rsidRPr="00FE5A80">
        <w:rPr>
          <w:rFonts w:eastAsia="Times New Roman" w:cs="Arial"/>
          <w:szCs w:val="24"/>
        </w:rPr>
        <w:t xml:space="preserve">will </w:t>
      </w:r>
      <w:r w:rsidR="003A4FD8" w:rsidRPr="00FE5A80">
        <w:rPr>
          <w:rFonts w:eastAsia="Times New Roman" w:cs="Arial"/>
          <w:szCs w:val="24"/>
        </w:rPr>
        <w:t>start to pass back</w:t>
      </w:r>
      <w:r w:rsidR="00B47C4F" w:rsidRPr="00FE5A80">
        <w:rPr>
          <w:rFonts w:eastAsia="Times New Roman" w:cs="Arial"/>
          <w:szCs w:val="24"/>
        </w:rPr>
        <w:t xml:space="preserve"> the over recovery across </w:t>
      </w:r>
      <w:r w:rsidR="003A4FD8" w:rsidRPr="00FE5A80">
        <w:rPr>
          <w:rFonts w:eastAsia="Times New Roman" w:cs="Arial"/>
          <w:szCs w:val="24"/>
        </w:rPr>
        <w:t>the next 5 years</w:t>
      </w:r>
      <w:r w:rsidR="00B47C4F" w:rsidRPr="00FE5A80">
        <w:rPr>
          <w:rFonts w:eastAsia="Times New Roman" w:cs="Arial"/>
          <w:szCs w:val="24"/>
        </w:rPr>
        <w:t xml:space="preserve"> as agreed by the Essential Services Commission to ensure prices remain stable. </w:t>
      </w:r>
    </w:p>
    <w:p w14:paraId="563964D2" w14:textId="77777777" w:rsidR="006405D7" w:rsidRPr="00FE5A80" w:rsidRDefault="006405D7" w:rsidP="00FE5A80">
      <w:pPr>
        <w:keepNext/>
        <w:spacing w:line="240" w:lineRule="auto"/>
        <w:rPr>
          <w:rFonts w:eastAsia="Times New Roman" w:cs="Arial"/>
          <w:szCs w:val="24"/>
        </w:rPr>
      </w:pPr>
      <w:r>
        <w:rPr>
          <w:rFonts w:eastAsia="Times New Roman" w:cs="Arial"/>
          <w:szCs w:val="24"/>
        </w:rPr>
        <w:t xml:space="preserve">All other basins will see an </w:t>
      </w:r>
      <w:r w:rsidRPr="000457D3">
        <w:rPr>
          <w:rFonts w:eastAsia="Times New Roman" w:cs="Arial"/>
          <w:szCs w:val="24"/>
        </w:rPr>
        <w:t xml:space="preserve">increase of </w:t>
      </w:r>
      <w:r w:rsidR="00612380" w:rsidRPr="000457D3">
        <w:rPr>
          <w:rFonts w:eastAsia="Times New Roman" w:cs="Arial"/>
          <w:szCs w:val="24"/>
        </w:rPr>
        <w:t>5.6</w:t>
      </w:r>
      <w:r w:rsidR="00C33EB6" w:rsidRPr="000457D3">
        <w:rPr>
          <w:rFonts w:eastAsia="Times New Roman" w:cs="Arial"/>
          <w:szCs w:val="24"/>
        </w:rPr>
        <w:t xml:space="preserve"> per cent</w:t>
      </w:r>
      <w:r w:rsidRPr="000457D3">
        <w:rPr>
          <w:rFonts w:eastAsia="Times New Roman" w:cs="Arial"/>
          <w:szCs w:val="24"/>
        </w:rPr>
        <w:t>.</w:t>
      </w:r>
    </w:p>
    <w:p w14:paraId="72DDB197" w14:textId="77777777" w:rsidR="00FE5A80" w:rsidRPr="00A21526" w:rsidRDefault="003A4FD8" w:rsidP="00600A03">
      <w:pPr>
        <w:keepNext/>
        <w:spacing w:line="240" w:lineRule="auto"/>
        <w:rPr>
          <w:rFonts w:eastAsia="Times New Roman" w:cs="Arial"/>
          <w:szCs w:val="24"/>
        </w:rPr>
      </w:pPr>
      <w:r w:rsidRPr="00B47C4F">
        <w:rPr>
          <w:rFonts w:eastAsia="Times New Roman" w:cs="Arial"/>
          <w:szCs w:val="24"/>
        </w:rPr>
        <w:t xml:space="preserve">GMW will </w:t>
      </w:r>
      <w:r w:rsidR="00600A03" w:rsidRPr="00B47C4F">
        <w:rPr>
          <w:rFonts w:eastAsia="Times New Roman" w:cs="Arial"/>
          <w:szCs w:val="24"/>
        </w:rPr>
        <w:t>maintain the current basin pricing</w:t>
      </w:r>
      <w:r w:rsidR="006C07DC" w:rsidRPr="00B47C4F">
        <w:rPr>
          <w:rFonts w:eastAsia="Times New Roman" w:cs="Arial"/>
          <w:szCs w:val="24"/>
        </w:rPr>
        <w:t xml:space="preserve"> approach</w:t>
      </w:r>
      <w:r w:rsidRPr="00B47C4F">
        <w:rPr>
          <w:rFonts w:eastAsia="Times New Roman" w:cs="Arial"/>
          <w:szCs w:val="24"/>
        </w:rPr>
        <w:t xml:space="preserve"> for the 2023/24 financial year</w:t>
      </w:r>
      <w:r w:rsidR="00B47C4F" w:rsidRPr="00B47C4F">
        <w:rPr>
          <w:rFonts w:eastAsia="Times New Roman" w:cs="Arial"/>
          <w:szCs w:val="24"/>
        </w:rPr>
        <w:t xml:space="preserve"> but c</w:t>
      </w:r>
      <w:r w:rsidR="004C025E" w:rsidRPr="00B47C4F">
        <w:rPr>
          <w:rFonts w:eastAsia="Times New Roman" w:cs="Arial"/>
          <w:szCs w:val="24"/>
        </w:rPr>
        <w:t xml:space="preserve">ontinue to consult with Bulk </w:t>
      </w:r>
      <w:r w:rsidR="006C07DC" w:rsidRPr="00B47C4F">
        <w:rPr>
          <w:rFonts w:eastAsia="Times New Roman" w:cs="Arial"/>
          <w:szCs w:val="24"/>
        </w:rPr>
        <w:t>E</w:t>
      </w:r>
      <w:r w:rsidR="004C025E" w:rsidRPr="00B47C4F">
        <w:rPr>
          <w:rFonts w:eastAsia="Times New Roman" w:cs="Arial"/>
          <w:szCs w:val="24"/>
        </w:rPr>
        <w:t xml:space="preserve">ntitlement holders on the </w:t>
      </w:r>
      <w:r w:rsidR="00600A03" w:rsidRPr="00B47C4F">
        <w:rPr>
          <w:rFonts w:eastAsia="Times New Roman" w:cs="Arial"/>
          <w:szCs w:val="24"/>
        </w:rPr>
        <w:t xml:space="preserve">possibility </w:t>
      </w:r>
      <w:r w:rsidR="006C07DC" w:rsidRPr="00B47C4F">
        <w:rPr>
          <w:rFonts w:eastAsia="Times New Roman" w:cs="Arial"/>
          <w:szCs w:val="24"/>
        </w:rPr>
        <w:t xml:space="preserve">of </w:t>
      </w:r>
      <w:r w:rsidR="00600A03" w:rsidRPr="00B47C4F">
        <w:rPr>
          <w:rFonts w:eastAsia="Times New Roman" w:cs="Arial"/>
          <w:szCs w:val="24"/>
        </w:rPr>
        <w:t>transition</w:t>
      </w:r>
      <w:r w:rsidR="006C07DC" w:rsidRPr="00B47C4F">
        <w:rPr>
          <w:rFonts w:eastAsia="Times New Roman" w:cs="Arial"/>
          <w:szCs w:val="24"/>
        </w:rPr>
        <w:t>ing</w:t>
      </w:r>
      <w:r w:rsidR="00600A03" w:rsidRPr="00B47C4F">
        <w:rPr>
          <w:rFonts w:eastAsia="Times New Roman" w:cs="Arial"/>
          <w:szCs w:val="24"/>
        </w:rPr>
        <w:t xml:space="preserve"> bulk</w:t>
      </w:r>
      <w:r w:rsidR="00600A03" w:rsidRPr="00A21526">
        <w:rPr>
          <w:rFonts w:eastAsia="Times New Roman" w:cs="Arial"/>
          <w:szCs w:val="24"/>
        </w:rPr>
        <w:t xml:space="preserve"> charges to a system price during th</w:t>
      </w:r>
      <w:r w:rsidR="003C59F1">
        <w:rPr>
          <w:rFonts w:eastAsia="Times New Roman" w:cs="Arial"/>
          <w:szCs w:val="24"/>
        </w:rPr>
        <w:t xml:space="preserve">e next </w:t>
      </w:r>
      <w:r w:rsidR="006C07DC" w:rsidRPr="00A21526">
        <w:rPr>
          <w:rFonts w:eastAsia="Times New Roman" w:cs="Arial"/>
          <w:szCs w:val="24"/>
        </w:rPr>
        <w:t>regulatory period, as indicated in the 2020 Price Submission.</w:t>
      </w:r>
    </w:p>
    <w:p w14:paraId="3DF2DDE0" w14:textId="77777777" w:rsidR="00FE5A80" w:rsidRDefault="00306D8F" w:rsidP="00FE5A80">
      <w:pPr>
        <w:jc w:val="both"/>
        <w:rPr>
          <w:rFonts w:eastAsia="Times New Roman" w:cs="Arial"/>
          <w:szCs w:val="24"/>
          <w:u w:val="single"/>
        </w:rPr>
      </w:pPr>
      <w:r w:rsidRPr="00223B69">
        <w:rPr>
          <w:rFonts w:eastAsia="Times New Roman" w:cs="Arial"/>
          <w:szCs w:val="24"/>
          <w:u w:val="single"/>
        </w:rPr>
        <w:t>Entitlement Storage Fee</w:t>
      </w:r>
      <w:r w:rsidR="00600A03" w:rsidRPr="00223B69">
        <w:rPr>
          <w:rFonts w:eastAsia="Times New Roman" w:cs="Arial"/>
          <w:szCs w:val="24"/>
          <w:u w:val="single"/>
        </w:rPr>
        <w:t>s</w:t>
      </w:r>
    </w:p>
    <w:p w14:paraId="2936A322" w14:textId="77777777" w:rsidR="00FE5A80" w:rsidRDefault="00306D8F" w:rsidP="00FE5A80">
      <w:pPr>
        <w:jc w:val="both"/>
        <w:rPr>
          <w:rFonts w:eastAsia="Times New Roman" w:cs="Arial"/>
          <w:color w:val="000000"/>
          <w:szCs w:val="24"/>
        </w:rPr>
      </w:pPr>
      <w:r w:rsidRPr="00FE5A80">
        <w:rPr>
          <w:rFonts w:eastAsia="Times New Roman" w:cs="Arial"/>
          <w:color w:val="000000"/>
          <w:szCs w:val="24"/>
        </w:rPr>
        <w:t xml:space="preserve">The Entitlement Storage Fee for the Murray system will </w:t>
      </w:r>
      <w:r w:rsidR="00B47C4F" w:rsidRPr="00FE5A80">
        <w:rPr>
          <w:rFonts w:eastAsia="Times New Roman" w:cs="Arial"/>
          <w:color w:val="000000"/>
          <w:szCs w:val="24"/>
        </w:rPr>
        <w:t xml:space="preserve">also see </w:t>
      </w:r>
      <w:r w:rsidR="003C59F1" w:rsidRPr="000457D3">
        <w:rPr>
          <w:rFonts w:eastAsia="Times New Roman" w:cs="Arial"/>
          <w:color w:val="000000"/>
          <w:szCs w:val="24"/>
        </w:rPr>
        <w:t xml:space="preserve">a </w:t>
      </w:r>
      <w:r w:rsidR="00B47C4F" w:rsidRPr="000457D3">
        <w:rPr>
          <w:rFonts w:eastAsia="Times New Roman" w:cs="Arial"/>
          <w:color w:val="000000"/>
          <w:szCs w:val="24"/>
        </w:rPr>
        <w:t>4</w:t>
      </w:r>
      <w:r w:rsidR="000457D3" w:rsidRPr="000457D3">
        <w:rPr>
          <w:rFonts w:eastAsia="Times New Roman" w:cs="Arial"/>
          <w:color w:val="000000"/>
          <w:szCs w:val="24"/>
        </w:rPr>
        <w:t xml:space="preserve">.8 </w:t>
      </w:r>
      <w:r w:rsidR="00C33EB6" w:rsidRPr="000457D3">
        <w:rPr>
          <w:rFonts w:eastAsia="Times New Roman" w:cs="Arial"/>
          <w:color w:val="000000"/>
          <w:szCs w:val="24"/>
        </w:rPr>
        <w:t>per cent</w:t>
      </w:r>
      <w:r w:rsidR="00B47C4F" w:rsidRPr="000457D3">
        <w:rPr>
          <w:rFonts w:eastAsia="Times New Roman" w:cs="Arial"/>
          <w:color w:val="000000"/>
          <w:szCs w:val="24"/>
        </w:rPr>
        <w:t xml:space="preserve"> decrease</w:t>
      </w:r>
      <w:r w:rsidR="00B47C4F" w:rsidRPr="00FE5A80">
        <w:rPr>
          <w:rFonts w:eastAsia="Times New Roman" w:cs="Arial"/>
          <w:color w:val="000000"/>
          <w:szCs w:val="24"/>
        </w:rPr>
        <w:t xml:space="preserve"> in real terms from passing back the MDBA contribution</w:t>
      </w:r>
      <w:r w:rsidR="003C59F1" w:rsidRPr="00FE5A80">
        <w:rPr>
          <w:rFonts w:eastAsia="Times New Roman" w:cs="Arial"/>
          <w:color w:val="000000"/>
          <w:szCs w:val="24"/>
        </w:rPr>
        <w:t xml:space="preserve"> back to customers</w:t>
      </w:r>
      <w:r w:rsidR="00B47C4F" w:rsidRPr="00FE5A80">
        <w:rPr>
          <w:rFonts w:eastAsia="Times New Roman" w:cs="Arial"/>
          <w:color w:val="000000"/>
          <w:szCs w:val="24"/>
        </w:rPr>
        <w:t xml:space="preserve">. </w:t>
      </w:r>
      <w:proofErr w:type="gramStart"/>
      <w:r w:rsidR="00B47C4F" w:rsidRPr="00FE5A80">
        <w:rPr>
          <w:rFonts w:eastAsia="Times New Roman" w:cs="Arial"/>
          <w:color w:val="000000"/>
          <w:szCs w:val="24"/>
        </w:rPr>
        <w:t>Therefore</w:t>
      </w:r>
      <w:proofErr w:type="gramEnd"/>
      <w:r w:rsidR="00B47C4F" w:rsidRPr="00FE5A80">
        <w:rPr>
          <w:rFonts w:eastAsia="Times New Roman" w:cs="Arial"/>
          <w:color w:val="000000"/>
          <w:szCs w:val="24"/>
        </w:rPr>
        <w:t xml:space="preserve"> they will only </w:t>
      </w:r>
      <w:r w:rsidR="00B47C4F" w:rsidRPr="000457D3">
        <w:rPr>
          <w:rFonts w:eastAsia="Times New Roman" w:cs="Arial"/>
          <w:color w:val="000000"/>
          <w:szCs w:val="24"/>
        </w:rPr>
        <w:t>see a 2</w:t>
      </w:r>
      <w:r w:rsidR="00490384" w:rsidRPr="000457D3">
        <w:rPr>
          <w:rFonts w:eastAsia="Times New Roman" w:cs="Arial"/>
          <w:color w:val="000000"/>
          <w:szCs w:val="24"/>
        </w:rPr>
        <w:t>.2</w:t>
      </w:r>
      <w:r w:rsidR="00C33EB6" w:rsidRPr="000457D3">
        <w:rPr>
          <w:rFonts w:eastAsia="Times New Roman" w:cs="Arial"/>
          <w:color w:val="000000"/>
          <w:szCs w:val="24"/>
        </w:rPr>
        <w:t xml:space="preserve"> per cent</w:t>
      </w:r>
      <w:r w:rsidR="00B47C4F" w:rsidRPr="000457D3">
        <w:rPr>
          <w:rFonts w:eastAsia="Times New Roman" w:cs="Arial"/>
          <w:color w:val="000000"/>
          <w:szCs w:val="24"/>
        </w:rPr>
        <w:t xml:space="preserve"> i</w:t>
      </w:r>
      <w:r w:rsidR="00353D61" w:rsidRPr="000457D3">
        <w:rPr>
          <w:rFonts w:eastAsia="Times New Roman" w:cs="Arial"/>
          <w:color w:val="000000"/>
          <w:szCs w:val="24"/>
        </w:rPr>
        <w:t>ncrease</w:t>
      </w:r>
      <w:r w:rsidR="00353D61" w:rsidRPr="00FE5A80">
        <w:rPr>
          <w:rFonts w:eastAsia="Times New Roman" w:cs="Arial"/>
          <w:color w:val="000000"/>
          <w:szCs w:val="24"/>
        </w:rPr>
        <w:t xml:space="preserve"> </w:t>
      </w:r>
      <w:r w:rsidR="00FE5A80">
        <w:rPr>
          <w:rFonts w:eastAsia="Times New Roman" w:cs="Arial"/>
          <w:color w:val="000000"/>
          <w:szCs w:val="24"/>
        </w:rPr>
        <w:t xml:space="preserve">in nominal terms </w:t>
      </w:r>
      <w:r w:rsidR="003C59F1" w:rsidRPr="00FE5A80">
        <w:rPr>
          <w:rFonts w:eastAsia="Times New Roman" w:cs="Arial"/>
          <w:color w:val="000000"/>
          <w:szCs w:val="24"/>
        </w:rPr>
        <w:t>which is l</w:t>
      </w:r>
      <w:r w:rsidR="006F5E23" w:rsidRPr="00FE5A80">
        <w:rPr>
          <w:rFonts w:eastAsia="Times New Roman" w:cs="Arial"/>
          <w:color w:val="000000"/>
          <w:szCs w:val="24"/>
        </w:rPr>
        <w:t xml:space="preserve">ess than </w:t>
      </w:r>
      <w:r w:rsidR="006F5E23" w:rsidRPr="000457D3">
        <w:rPr>
          <w:rFonts w:eastAsia="Times New Roman" w:cs="Arial"/>
          <w:szCs w:val="24"/>
        </w:rPr>
        <w:t xml:space="preserve">the </w:t>
      </w:r>
      <w:r w:rsidR="006F5E23" w:rsidRPr="000457D3">
        <w:rPr>
          <w:rFonts w:cs="Arial"/>
        </w:rPr>
        <w:t xml:space="preserve">“all groups” March quarter 2023 </w:t>
      </w:r>
      <w:r w:rsidR="006F5E23" w:rsidRPr="000457D3">
        <w:rPr>
          <w:rFonts w:eastAsia="Times New Roman" w:cs="Arial"/>
          <w:szCs w:val="24"/>
        </w:rPr>
        <w:t>CPI</w:t>
      </w:r>
      <w:r w:rsidR="00C33EB6" w:rsidRPr="000457D3">
        <w:rPr>
          <w:rFonts w:eastAsia="Times New Roman" w:cs="Arial"/>
          <w:szCs w:val="24"/>
        </w:rPr>
        <w:t xml:space="preserve"> of 7.0 per cent</w:t>
      </w:r>
      <w:r w:rsidR="00FE5A80" w:rsidRPr="000457D3">
        <w:rPr>
          <w:rFonts w:eastAsia="Times New Roman" w:cs="Arial"/>
          <w:color w:val="000000"/>
          <w:szCs w:val="24"/>
        </w:rPr>
        <w:t>.</w:t>
      </w:r>
    </w:p>
    <w:p w14:paraId="301D1124" w14:textId="77777777" w:rsidR="00BC103B" w:rsidRDefault="003C59F1" w:rsidP="00FE5A80">
      <w:pPr>
        <w:jc w:val="both"/>
        <w:rPr>
          <w:rFonts w:eastAsia="Times New Roman" w:cs="Arial"/>
          <w:color w:val="000000"/>
          <w:szCs w:val="24"/>
        </w:rPr>
      </w:pPr>
      <w:r w:rsidRPr="003C59F1">
        <w:rPr>
          <w:rFonts w:eastAsia="Times New Roman" w:cs="Arial"/>
          <w:color w:val="000000"/>
          <w:szCs w:val="24"/>
        </w:rPr>
        <w:t>The G</w:t>
      </w:r>
      <w:r w:rsidR="006F5E23" w:rsidRPr="003C59F1">
        <w:rPr>
          <w:rFonts w:eastAsia="Times New Roman" w:cs="Arial"/>
          <w:color w:val="000000"/>
          <w:szCs w:val="24"/>
        </w:rPr>
        <w:t xml:space="preserve">oulburn system will </w:t>
      </w:r>
      <w:r w:rsidR="006F5E23" w:rsidRPr="000457D3">
        <w:rPr>
          <w:rFonts w:eastAsia="Times New Roman" w:cs="Arial"/>
          <w:color w:val="000000"/>
          <w:szCs w:val="24"/>
        </w:rPr>
        <w:t xml:space="preserve">increase by </w:t>
      </w:r>
      <w:r w:rsidR="00612380" w:rsidRPr="000457D3">
        <w:rPr>
          <w:rFonts w:eastAsia="Times New Roman" w:cs="Arial"/>
          <w:color w:val="000000"/>
          <w:szCs w:val="24"/>
        </w:rPr>
        <w:t>5.6</w:t>
      </w:r>
      <w:r w:rsidR="006F5E23" w:rsidRPr="000457D3">
        <w:rPr>
          <w:rFonts w:eastAsia="Times New Roman" w:cs="Arial"/>
          <w:color w:val="000000"/>
          <w:szCs w:val="24"/>
        </w:rPr>
        <w:t xml:space="preserve"> per cent. T</w:t>
      </w:r>
      <w:r w:rsidR="00353D61" w:rsidRPr="000457D3">
        <w:rPr>
          <w:rFonts w:eastAsia="Times New Roman" w:cs="Arial"/>
          <w:color w:val="000000"/>
          <w:szCs w:val="24"/>
        </w:rPr>
        <w:t>his</w:t>
      </w:r>
      <w:r w:rsidR="00353D61" w:rsidRPr="003C59F1">
        <w:rPr>
          <w:rFonts w:eastAsia="Times New Roman" w:cs="Arial"/>
          <w:color w:val="000000"/>
          <w:szCs w:val="24"/>
        </w:rPr>
        <w:t xml:space="preserve"> takes into consideration bulk water prices and latest water share demand. </w:t>
      </w:r>
      <w:r w:rsidR="00306D8F" w:rsidRPr="003C59F1">
        <w:rPr>
          <w:rFonts w:eastAsia="Times New Roman" w:cs="Arial"/>
          <w:color w:val="000000"/>
          <w:szCs w:val="24"/>
        </w:rPr>
        <w:t xml:space="preserve">These system prices are </w:t>
      </w:r>
      <w:r w:rsidR="00600A03" w:rsidRPr="003C59F1">
        <w:rPr>
          <w:rFonts w:eastAsia="Times New Roman" w:cs="Arial"/>
          <w:color w:val="000000"/>
          <w:szCs w:val="24"/>
        </w:rPr>
        <w:t xml:space="preserve">the </w:t>
      </w:r>
      <w:r w:rsidR="00306D8F" w:rsidRPr="003C59F1">
        <w:rPr>
          <w:rFonts w:eastAsia="Times New Roman" w:cs="Arial"/>
          <w:color w:val="000000"/>
          <w:szCs w:val="24"/>
        </w:rPr>
        <w:t>weighted average of their component basin prices.</w:t>
      </w:r>
    </w:p>
    <w:p w14:paraId="662757FC" w14:textId="77777777" w:rsidR="00612380" w:rsidRDefault="00612380" w:rsidP="00FE5A80">
      <w:pPr>
        <w:jc w:val="both"/>
        <w:rPr>
          <w:rFonts w:eastAsia="Times New Roman" w:cs="Arial"/>
          <w:color w:val="000000"/>
          <w:szCs w:val="24"/>
        </w:rPr>
      </w:pPr>
    </w:p>
    <w:p w14:paraId="0E674A72" w14:textId="77777777" w:rsidR="00612380" w:rsidRDefault="00612380" w:rsidP="00FE5A80">
      <w:pPr>
        <w:jc w:val="both"/>
        <w:rPr>
          <w:rFonts w:eastAsia="Times New Roman" w:cs="Arial"/>
          <w:color w:val="000000"/>
          <w:szCs w:val="24"/>
        </w:rPr>
      </w:pPr>
    </w:p>
    <w:tbl>
      <w:tblPr>
        <w:tblStyle w:val="TableGrid"/>
        <w:tblW w:w="8260" w:type="dxa"/>
        <w:tblInd w:w="-5" w:type="dxa"/>
        <w:tblLook w:val="04A0" w:firstRow="1" w:lastRow="0" w:firstColumn="1" w:lastColumn="0" w:noHBand="0" w:noVBand="1"/>
      </w:tblPr>
      <w:tblGrid>
        <w:gridCol w:w="3544"/>
        <w:gridCol w:w="1250"/>
        <w:gridCol w:w="1287"/>
        <w:gridCol w:w="1149"/>
        <w:gridCol w:w="1030"/>
      </w:tblGrid>
      <w:tr w:rsidR="00612380" w:rsidRPr="00612380" w14:paraId="1B68180A" w14:textId="77777777" w:rsidTr="00612380">
        <w:trPr>
          <w:trHeight w:val="324"/>
        </w:trPr>
        <w:tc>
          <w:tcPr>
            <w:tcW w:w="3544" w:type="dxa"/>
            <w:shd w:val="clear" w:color="auto" w:fill="BFBFBF" w:themeFill="background1" w:themeFillShade="BF"/>
            <w:vAlign w:val="center"/>
          </w:tcPr>
          <w:p w14:paraId="2B9FC079" w14:textId="77777777" w:rsidR="00612380" w:rsidRPr="00612380" w:rsidRDefault="00612380" w:rsidP="00612380">
            <w:pPr>
              <w:jc w:val="center"/>
              <w:rPr>
                <w:b/>
                <w:sz w:val="18"/>
              </w:rPr>
            </w:pPr>
            <w:r w:rsidRPr="00612380">
              <w:rPr>
                <w:b/>
                <w:sz w:val="18"/>
              </w:rPr>
              <w:t>Customer segment / tariff type</w:t>
            </w:r>
          </w:p>
        </w:tc>
        <w:tc>
          <w:tcPr>
            <w:tcW w:w="1250" w:type="dxa"/>
            <w:shd w:val="clear" w:color="auto" w:fill="BFBFBF" w:themeFill="background1" w:themeFillShade="BF"/>
            <w:vAlign w:val="center"/>
          </w:tcPr>
          <w:p w14:paraId="2AA79941" w14:textId="77777777" w:rsidR="00612380" w:rsidRPr="00612380" w:rsidRDefault="00612380" w:rsidP="00612380">
            <w:pPr>
              <w:jc w:val="center"/>
              <w:rPr>
                <w:b/>
                <w:sz w:val="18"/>
              </w:rPr>
            </w:pPr>
            <w:r w:rsidRPr="00612380">
              <w:rPr>
                <w:b/>
                <w:sz w:val="18"/>
              </w:rPr>
              <w:t>2022/23 Price</w:t>
            </w:r>
          </w:p>
          <w:p w14:paraId="7AAF2E66" w14:textId="77777777" w:rsidR="00612380" w:rsidRPr="00612380" w:rsidRDefault="00612380" w:rsidP="00612380">
            <w:pPr>
              <w:jc w:val="center"/>
              <w:rPr>
                <w:b/>
                <w:sz w:val="18"/>
              </w:rPr>
            </w:pPr>
            <w:r w:rsidRPr="00612380">
              <w:rPr>
                <w:b/>
                <w:sz w:val="18"/>
              </w:rPr>
              <w:t>(22/23 $s)</w:t>
            </w:r>
          </w:p>
        </w:tc>
        <w:tc>
          <w:tcPr>
            <w:tcW w:w="1287" w:type="dxa"/>
            <w:shd w:val="clear" w:color="auto" w:fill="BFBFBF" w:themeFill="background1" w:themeFillShade="BF"/>
            <w:vAlign w:val="center"/>
          </w:tcPr>
          <w:p w14:paraId="2D93EC74" w14:textId="77777777" w:rsidR="00612380" w:rsidRPr="00612380" w:rsidRDefault="00612380" w:rsidP="00612380">
            <w:pPr>
              <w:jc w:val="center"/>
              <w:rPr>
                <w:b/>
                <w:sz w:val="18"/>
              </w:rPr>
            </w:pPr>
            <w:r w:rsidRPr="00612380">
              <w:rPr>
                <w:b/>
                <w:sz w:val="18"/>
              </w:rPr>
              <w:t>2023/24 Price</w:t>
            </w:r>
          </w:p>
          <w:p w14:paraId="1EE2D91D" w14:textId="77777777" w:rsidR="00612380" w:rsidRPr="00612380" w:rsidRDefault="00612380" w:rsidP="00612380">
            <w:pPr>
              <w:jc w:val="center"/>
              <w:rPr>
                <w:b/>
                <w:sz w:val="18"/>
              </w:rPr>
            </w:pPr>
            <w:r w:rsidRPr="00612380">
              <w:rPr>
                <w:b/>
                <w:sz w:val="18"/>
              </w:rPr>
              <w:t>(23/24 $s)</w:t>
            </w:r>
          </w:p>
        </w:tc>
        <w:tc>
          <w:tcPr>
            <w:tcW w:w="1149" w:type="dxa"/>
            <w:shd w:val="clear" w:color="auto" w:fill="BFBFBF" w:themeFill="background1" w:themeFillShade="BF"/>
            <w:vAlign w:val="center"/>
          </w:tcPr>
          <w:p w14:paraId="7FAFDF22" w14:textId="77777777" w:rsidR="00612380" w:rsidRPr="00612380" w:rsidRDefault="00612380" w:rsidP="00612380">
            <w:pPr>
              <w:jc w:val="center"/>
              <w:rPr>
                <w:b/>
                <w:sz w:val="18"/>
              </w:rPr>
            </w:pPr>
            <w:r w:rsidRPr="00612380">
              <w:rPr>
                <w:b/>
                <w:sz w:val="18"/>
              </w:rPr>
              <w:t>$ change</w:t>
            </w:r>
          </w:p>
        </w:tc>
        <w:tc>
          <w:tcPr>
            <w:tcW w:w="1030" w:type="dxa"/>
            <w:shd w:val="clear" w:color="auto" w:fill="BFBFBF" w:themeFill="background1" w:themeFillShade="BF"/>
            <w:vAlign w:val="center"/>
          </w:tcPr>
          <w:p w14:paraId="191024FF" w14:textId="77777777" w:rsidR="00612380" w:rsidRPr="00612380" w:rsidRDefault="00612380" w:rsidP="00612380">
            <w:pPr>
              <w:jc w:val="center"/>
              <w:rPr>
                <w:b/>
                <w:sz w:val="18"/>
              </w:rPr>
            </w:pPr>
            <w:r w:rsidRPr="00612380">
              <w:rPr>
                <w:b/>
                <w:sz w:val="18"/>
              </w:rPr>
              <w:t>% change</w:t>
            </w:r>
          </w:p>
        </w:tc>
      </w:tr>
      <w:tr w:rsidR="00612380" w:rsidRPr="00612380" w14:paraId="16C3D44B" w14:textId="77777777" w:rsidTr="00612380">
        <w:trPr>
          <w:trHeight w:val="1004"/>
        </w:trPr>
        <w:tc>
          <w:tcPr>
            <w:tcW w:w="3544" w:type="dxa"/>
          </w:tcPr>
          <w:p w14:paraId="036F0377" w14:textId="77777777" w:rsidR="00612380" w:rsidRPr="00612380" w:rsidRDefault="00612380" w:rsidP="00612380">
            <w:pPr>
              <w:rPr>
                <w:b/>
                <w:sz w:val="18"/>
              </w:rPr>
            </w:pPr>
            <w:r w:rsidRPr="00612380">
              <w:rPr>
                <w:b/>
                <w:sz w:val="18"/>
              </w:rPr>
              <w:t>Entitlement Storage Fees $ / ML</w:t>
            </w:r>
          </w:p>
          <w:p w14:paraId="54E498D0" w14:textId="77777777" w:rsidR="00612380" w:rsidRPr="00612380" w:rsidRDefault="00612380" w:rsidP="00612380">
            <w:pPr>
              <w:rPr>
                <w:sz w:val="18"/>
              </w:rPr>
            </w:pPr>
            <w:r w:rsidRPr="00612380">
              <w:rPr>
                <w:sz w:val="18"/>
              </w:rPr>
              <w:t xml:space="preserve"> Murray High Reliability</w:t>
            </w:r>
          </w:p>
          <w:p w14:paraId="60C74052" w14:textId="77777777" w:rsidR="00612380" w:rsidRPr="00612380" w:rsidRDefault="00612380" w:rsidP="00612380">
            <w:pPr>
              <w:rPr>
                <w:sz w:val="18"/>
              </w:rPr>
            </w:pPr>
            <w:r w:rsidRPr="00612380">
              <w:rPr>
                <w:sz w:val="18"/>
              </w:rPr>
              <w:t xml:space="preserve"> Murray Low Reliability</w:t>
            </w:r>
          </w:p>
          <w:p w14:paraId="56FB850C" w14:textId="77777777" w:rsidR="00612380" w:rsidRPr="00612380" w:rsidRDefault="00612380" w:rsidP="00612380">
            <w:pPr>
              <w:rPr>
                <w:sz w:val="18"/>
              </w:rPr>
            </w:pPr>
            <w:r w:rsidRPr="00612380">
              <w:rPr>
                <w:sz w:val="18"/>
              </w:rPr>
              <w:t xml:space="preserve"> Goulburn High Reliability</w:t>
            </w:r>
          </w:p>
          <w:p w14:paraId="0A2BEF7C" w14:textId="77777777" w:rsidR="00612380" w:rsidRPr="00612380" w:rsidRDefault="00612380" w:rsidP="00612380">
            <w:pPr>
              <w:rPr>
                <w:sz w:val="18"/>
              </w:rPr>
            </w:pPr>
            <w:r w:rsidRPr="00612380">
              <w:rPr>
                <w:sz w:val="18"/>
              </w:rPr>
              <w:t xml:space="preserve"> Goulburn Low Reliability</w:t>
            </w:r>
          </w:p>
        </w:tc>
        <w:tc>
          <w:tcPr>
            <w:tcW w:w="1250" w:type="dxa"/>
          </w:tcPr>
          <w:p w14:paraId="528F1E85" w14:textId="77777777" w:rsidR="00612380" w:rsidRPr="00612380" w:rsidRDefault="00612380" w:rsidP="00612380">
            <w:pPr>
              <w:jc w:val="right"/>
              <w:rPr>
                <w:sz w:val="18"/>
              </w:rPr>
            </w:pPr>
          </w:p>
          <w:p w14:paraId="5792B02D" w14:textId="77777777" w:rsidR="00612380" w:rsidRPr="00612380" w:rsidRDefault="00612380" w:rsidP="00612380">
            <w:pPr>
              <w:jc w:val="right"/>
              <w:rPr>
                <w:sz w:val="18"/>
              </w:rPr>
            </w:pPr>
            <w:r w:rsidRPr="00612380">
              <w:rPr>
                <w:sz w:val="18"/>
              </w:rPr>
              <w:t>11.50</w:t>
            </w:r>
          </w:p>
          <w:p w14:paraId="317DA2B6" w14:textId="77777777" w:rsidR="00612380" w:rsidRPr="00612380" w:rsidRDefault="00612380" w:rsidP="00612380">
            <w:pPr>
              <w:jc w:val="right"/>
              <w:rPr>
                <w:sz w:val="18"/>
              </w:rPr>
            </w:pPr>
            <w:r w:rsidRPr="00612380">
              <w:rPr>
                <w:sz w:val="18"/>
              </w:rPr>
              <w:t>4.22</w:t>
            </w:r>
          </w:p>
          <w:p w14:paraId="3BD7FD54" w14:textId="77777777" w:rsidR="00612380" w:rsidRPr="00612380" w:rsidRDefault="00612380" w:rsidP="00612380">
            <w:pPr>
              <w:jc w:val="right"/>
              <w:rPr>
                <w:sz w:val="18"/>
              </w:rPr>
            </w:pPr>
            <w:r w:rsidRPr="00612380">
              <w:rPr>
                <w:sz w:val="18"/>
              </w:rPr>
              <w:t>10.03</w:t>
            </w:r>
          </w:p>
          <w:p w14:paraId="681E57DB" w14:textId="77777777" w:rsidR="00612380" w:rsidRPr="00612380" w:rsidRDefault="00612380" w:rsidP="00612380">
            <w:pPr>
              <w:jc w:val="right"/>
              <w:rPr>
                <w:sz w:val="18"/>
              </w:rPr>
            </w:pPr>
            <w:r w:rsidRPr="00612380">
              <w:rPr>
                <w:sz w:val="18"/>
              </w:rPr>
              <w:t>4.58</w:t>
            </w:r>
          </w:p>
        </w:tc>
        <w:tc>
          <w:tcPr>
            <w:tcW w:w="1287" w:type="dxa"/>
          </w:tcPr>
          <w:p w14:paraId="6F1D4C50" w14:textId="77777777" w:rsidR="00612380" w:rsidRPr="00612380" w:rsidRDefault="00612380" w:rsidP="00612380">
            <w:pPr>
              <w:jc w:val="right"/>
              <w:rPr>
                <w:sz w:val="18"/>
              </w:rPr>
            </w:pPr>
          </w:p>
          <w:p w14:paraId="52059E82" w14:textId="77777777" w:rsidR="00612380" w:rsidRPr="00612380" w:rsidRDefault="00612380" w:rsidP="00612380">
            <w:pPr>
              <w:jc w:val="right"/>
              <w:rPr>
                <w:sz w:val="18"/>
              </w:rPr>
            </w:pPr>
            <w:r w:rsidRPr="00612380">
              <w:rPr>
                <w:sz w:val="18"/>
              </w:rPr>
              <w:t>11.75</w:t>
            </w:r>
          </w:p>
          <w:p w14:paraId="3C9ECE66" w14:textId="77777777" w:rsidR="00612380" w:rsidRPr="00612380" w:rsidRDefault="00612380" w:rsidP="00612380">
            <w:pPr>
              <w:jc w:val="right"/>
              <w:rPr>
                <w:sz w:val="18"/>
              </w:rPr>
            </w:pPr>
            <w:r w:rsidRPr="00612380">
              <w:rPr>
                <w:sz w:val="18"/>
              </w:rPr>
              <w:t>4.31</w:t>
            </w:r>
          </w:p>
          <w:p w14:paraId="3360EB7C" w14:textId="77777777" w:rsidR="00612380" w:rsidRPr="00612380" w:rsidRDefault="00612380" w:rsidP="00612380">
            <w:pPr>
              <w:jc w:val="right"/>
              <w:rPr>
                <w:sz w:val="18"/>
              </w:rPr>
            </w:pPr>
            <w:r w:rsidRPr="00612380">
              <w:rPr>
                <w:sz w:val="18"/>
              </w:rPr>
              <w:t>10.59</w:t>
            </w:r>
          </w:p>
          <w:p w14:paraId="2836B204" w14:textId="77777777" w:rsidR="00612380" w:rsidRPr="00612380" w:rsidRDefault="00612380" w:rsidP="00612380">
            <w:pPr>
              <w:jc w:val="right"/>
              <w:rPr>
                <w:sz w:val="18"/>
              </w:rPr>
            </w:pPr>
            <w:r w:rsidRPr="00612380">
              <w:rPr>
                <w:sz w:val="18"/>
              </w:rPr>
              <w:t>4.84</w:t>
            </w:r>
          </w:p>
        </w:tc>
        <w:tc>
          <w:tcPr>
            <w:tcW w:w="1149" w:type="dxa"/>
          </w:tcPr>
          <w:p w14:paraId="5557FF3F" w14:textId="77777777" w:rsidR="00612380" w:rsidRPr="00612380" w:rsidRDefault="00612380" w:rsidP="00612380">
            <w:pPr>
              <w:jc w:val="right"/>
              <w:rPr>
                <w:sz w:val="18"/>
              </w:rPr>
            </w:pPr>
          </w:p>
          <w:p w14:paraId="2BE7EBC7" w14:textId="77777777" w:rsidR="00612380" w:rsidRPr="00612380" w:rsidRDefault="00612380" w:rsidP="00612380">
            <w:pPr>
              <w:jc w:val="right"/>
              <w:rPr>
                <w:sz w:val="18"/>
              </w:rPr>
            </w:pPr>
            <w:r w:rsidRPr="00612380">
              <w:rPr>
                <w:sz w:val="18"/>
              </w:rPr>
              <w:t>0.25</w:t>
            </w:r>
          </w:p>
          <w:p w14:paraId="7B4D0D9A" w14:textId="77777777" w:rsidR="00612380" w:rsidRPr="00612380" w:rsidRDefault="00612380" w:rsidP="00612380">
            <w:pPr>
              <w:jc w:val="right"/>
              <w:rPr>
                <w:sz w:val="18"/>
              </w:rPr>
            </w:pPr>
            <w:r w:rsidRPr="00612380">
              <w:rPr>
                <w:sz w:val="18"/>
              </w:rPr>
              <w:t>0.09</w:t>
            </w:r>
          </w:p>
          <w:p w14:paraId="560FC4C1" w14:textId="77777777" w:rsidR="00612380" w:rsidRPr="00612380" w:rsidRDefault="00612380" w:rsidP="00612380">
            <w:pPr>
              <w:jc w:val="right"/>
              <w:rPr>
                <w:sz w:val="18"/>
              </w:rPr>
            </w:pPr>
            <w:r w:rsidRPr="00612380">
              <w:rPr>
                <w:sz w:val="18"/>
              </w:rPr>
              <w:t>0.56</w:t>
            </w:r>
          </w:p>
          <w:p w14:paraId="35FC0B09" w14:textId="77777777" w:rsidR="00612380" w:rsidRPr="00612380" w:rsidRDefault="00612380" w:rsidP="00612380">
            <w:pPr>
              <w:jc w:val="right"/>
              <w:rPr>
                <w:sz w:val="18"/>
              </w:rPr>
            </w:pPr>
            <w:r w:rsidRPr="00612380">
              <w:rPr>
                <w:sz w:val="18"/>
              </w:rPr>
              <w:t>0.26</w:t>
            </w:r>
          </w:p>
        </w:tc>
        <w:tc>
          <w:tcPr>
            <w:tcW w:w="1030" w:type="dxa"/>
          </w:tcPr>
          <w:p w14:paraId="214039D4" w14:textId="77777777" w:rsidR="00612380" w:rsidRPr="00612380" w:rsidRDefault="00612380" w:rsidP="00612380">
            <w:pPr>
              <w:jc w:val="right"/>
              <w:rPr>
                <w:sz w:val="18"/>
              </w:rPr>
            </w:pPr>
          </w:p>
          <w:p w14:paraId="37F74086" w14:textId="77777777" w:rsidR="00612380" w:rsidRPr="00612380" w:rsidRDefault="00612380" w:rsidP="00612380">
            <w:pPr>
              <w:jc w:val="right"/>
              <w:rPr>
                <w:sz w:val="18"/>
              </w:rPr>
            </w:pPr>
            <w:r w:rsidRPr="00612380">
              <w:rPr>
                <w:sz w:val="18"/>
              </w:rPr>
              <w:t>2</w:t>
            </w:r>
            <w:r w:rsidR="00C33EB6">
              <w:rPr>
                <w:sz w:val="18"/>
              </w:rPr>
              <w:t>.2</w:t>
            </w:r>
            <w:r w:rsidRPr="00612380">
              <w:rPr>
                <w:sz w:val="18"/>
              </w:rPr>
              <w:t>%</w:t>
            </w:r>
          </w:p>
          <w:p w14:paraId="23732B99" w14:textId="77777777" w:rsidR="00612380" w:rsidRPr="00612380" w:rsidRDefault="00612380" w:rsidP="00612380">
            <w:pPr>
              <w:jc w:val="right"/>
              <w:rPr>
                <w:sz w:val="18"/>
              </w:rPr>
            </w:pPr>
            <w:r w:rsidRPr="00612380">
              <w:rPr>
                <w:sz w:val="18"/>
              </w:rPr>
              <w:t>2</w:t>
            </w:r>
            <w:r w:rsidR="00C33EB6">
              <w:rPr>
                <w:sz w:val="18"/>
              </w:rPr>
              <w:t>.2</w:t>
            </w:r>
            <w:r w:rsidRPr="00612380">
              <w:rPr>
                <w:sz w:val="18"/>
              </w:rPr>
              <w:t>%</w:t>
            </w:r>
          </w:p>
          <w:p w14:paraId="145C5B09" w14:textId="77777777" w:rsidR="00612380" w:rsidRPr="00612380" w:rsidRDefault="00C33EB6" w:rsidP="00612380">
            <w:pPr>
              <w:jc w:val="right"/>
              <w:rPr>
                <w:sz w:val="18"/>
              </w:rPr>
            </w:pPr>
            <w:r>
              <w:rPr>
                <w:sz w:val="18"/>
              </w:rPr>
              <w:t>5.</w:t>
            </w:r>
            <w:r w:rsidR="00612380" w:rsidRPr="00612380">
              <w:rPr>
                <w:sz w:val="18"/>
              </w:rPr>
              <w:t>6%</w:t>
            </w:r>
          </w:p>
          <w:p w14:paraId="361D2291" w14:textId="77777777" w:rsidR="00612380" w:rsidRPr="00612380" w:rsidRDefault="001C2883" w:rsidP="00612380">
            <w:pPr>
              <w:jc w:val="right"/>
              <w:rPr>
                <w:sz w:val="18"/>
              </w:rPr>
            </w:pPr>
            <w:r>
              <w:rPr>
                <w:sz w:val="18"/>
              </w:rPr>
              <w:t>5.6</w:t>
            </w:r>
            <w:r w:rsidR="00612380" w:rsidRPr="00612380">
              <w:rPr>
                <w:sz w:val="18"/>
              </w:rPr>
              <w:t>%</w:t>
            </w:r>
          </w:p>
        </w:tc>
      </w:tr>
    </w:tbl>
    <w:p w14:paraId="71B3FCE3" w14:textId="77777777" w:rsidR="00490384" w:rsidRPr="00612011" w:rsidRDefault="00490384" w:rsidP="00306D8F">
      <w:pPr>
        <w:keepNext/>
        <w:spacing w:line="240" w:lineRule="auto"/>
        <w:rPr>
          <w:rFonts w:eastAsia="Times New Roman" w:cs="Arial"/>
          <w:color w:val="000000"/>
          <w:szCs w:val="24"/>
          <w:highlight w:val="yellow"/>
        </w:rPr>
      </w:pPr>
    </w:p>
    <w:p w14:paraId="20F980C9" w14:textId="77777777" w:rsidR="00306D8F" w:rsidRPr="008D3ACD" w:rsidRDefault="00306D8F" w:rsidP="00306D8F">
      <w:pPr>
        <w:keepNext/>
        <w:spacing w:line="240" w:lineRule="auto"/>
        <w:rPr>
          <w:rFonts w:eastAsia="Times New Roman" w:cs="Arial"/>
          <w:szCs w:val="24"/>
          <w:u w:val="single"/>
        </w:rPr>
      </w:pPr>
      <w:r w:rsidRPr="00612011">
        <w:rPr>
          <w:rFonts w:eastAsia="Times New Roman" w:cs="Arial"/>
          <w:color w:val="000000"/>
          <w:szCs w:val="24"/>
          <w:highlight w:val="yellow"/>
        </w:rPr>
        <w:br/>
      </w:r>
      <w:r w:rsidR="004C025E" w:rsidRPr="008D3ACD">
        <w:rPr>
          <w:rFonts w:eastAsia="Times New Roman" w:cs="Arial"/>
          <w:szCs w:val="24"/>
          <w:u w:val="single"/>
        </w:rPr>
        <w:t>Service Point Fees as approved by the ESC in GMW’s 2020 Price Review</w:t>
      </w:r>
    </w:p>
    <w:p w14:paraId="1ECE5D4A" w14:textId="77777777" w:rsidR="00306D8F" w:rsidRPr="008D3ACD" w:rsidRDefault="00306D8F" w:rsidP="00306D8F">
      <w:pPr>
        <w:spacing w:line="240" w:lineRule="auto"/>
        <w:rPr>
          <w:rFonts w:eastAsia="Times New Roman" w:cs="Arial"/>
          <w:szCs w:val="24"/>
        </w:rPr>
      </w:pPr>
      <w:r w:rsidRPr="008D3ACD">
        <w:rPr>
          <w:rFonts w:eastAsia="Times New Roman" w:cs="Arial"/>
          <w:szCs w:val="24"/>
        </w:rPr>
        <w:t xml:space="preserve">GMW proposed cost reflective tariffs for </w:t>
      </w:r>
      <w:r w:rsidR="004C025E" w:rsidRPr="008D3ACD">
        <w:rPr>
          <w:rFonts w:eastAsia="Times New Roman" w:cs="Arial"/>
          <w:szCs w:val="24"/>
        </w:rPr>
        <w:t xml:space="preserve">all </w:t>
      </w:r>
      <w:r w:rsidRPr="008D3ACD">
        <w:rPr>
          <w:rFonts w:eastAsia="Times New Roman" w:cs="Arial"/>
          <w:szCs w:val="24"/>
        </w:rPr>
        <w:t>service points in its 20</w:t>
      </w:r>
      <w:r w:rsidR="00600A03" w:rsidRPr="008D3ACD">
        <w:rPr>
          <w:rFonts w:eastAsia="Times New Roman" w:cs="Arial"/>
          <w:szCs w:val="24"/>
        </w:rPr>
        <w:t>20</w:t>
      </w:r>
      <w:r w:rsidRPr="008D3ACD">
        <w:rPr>
          <w:rFonts w:eastAsia="Times New Roman" w:cs="Arial"/>
          <w:szCs w:val="24"/>
        </w:rPr>
        <w:t xml:space="preserve"> Price Submission. </w:t>
      </w:r>
    </w:p>
    <w:p w14:paraId="6DDD912F" w14:textId="77777777" w:rsidR="00306D8F" w:rsidRDefault="00306D8F" w:rsidP="00306D8F">
      <w:pPr>
        <w:spacing w:line="240" w:lineRule="auto"/>
        <w:rPr>
          <w:rFonts w:eastAsia="Times New Roman" w:cs="Arial"/>
          <w:szCs w:val="24"/>
        </w:rPr>
      </w:pPr>
      <w:r w:rsidRPr="008D3ACD">
        <w:rPr>
          <w:rFonts w:eastAsia="Times New Roman" w:cs="Arial"/>
          <w:szCs w:val="24"/>
        </w:rPr>
        <w:t xml:space="preserve">Price increases are designed so that there </w:t>
      </w:r>
      <w:r w:rsidR="00A14697">
        <w:rPr>
          <w:rFonts w:eastAsia="Times New Roman" w:cs="Arial"/>
          <w:szCs w:val="24"/>
        </w:rPr>
        <w:t xml:space="preserve">was </w:t>
      </w:r>
      <w:r w:rsidRPr="008D3ACD">
        <w:rPr>
          <w:rFonts w:eastAsia="Times New Roman" w:cs="Arial"/>
          <w:szCs w:val="24"/>
        </w:rPr>
        <w:t xml:space="preserve">a steady transition between </w:t>
      </w:r>
      <w:r w:rsidR="00A14697">
        <w:rPr>
          <w:rFonts w:eastAsia="Times New Roman" w:cs="Arial"/>
          <w:szCs w:val="24"/>
        </w:rPr>
        <w:t>2020/21 and 2</w:t>
      </w:r>
      <w:r w:rsidR="004C025E" w:rsidRPr="00A00214">
        <w:rPr>
          <w:rFonts w:eastAsia="Times New Roman" w:cs="Arial"/>
          <w:szCs w:val="24"/>
        </w:rPr>
        <w:t>023/</w:t>
      </w:r>
      <w:r w:rsidR="00C8130A" w:rsidRPr="00A00214">
        <w:rPr>
          <w:rFonts w:eastAsia="Times New Roman" w:cs="Arial"/>
          <w:szCs w:val="24"/>
        </w:rPr>
        <w:t>2</w:t>
      </w:r>
      <w:r w:rsidR="004C025E" w:rsidRPr="00A00214">
        <w:rPr>
          <w:rFonts w:eastAsia="Times New Roman" w:cs="Arial"/>
          <w:szCs w:val="24"/>
        </w:rPr>
        <w:t>4.</w:t>
      </w:r>
      <w:r w:rsidRPr="008D3ACD">
        <w:rPr>
          <w:rFonts w:eastAsia="Times New Roman" w:cs="Arial"/>
          <w:szCs w:val="24"/>
        </w:rPr>
        <w:t xml:space="preserve"> For some customers there are significant price changes, however, most charges are within the 10 per cent rebalancing constraint </w:t>
      </w:r>
      <w:r w:rsidR="00D52B48">
        <w:rPr>
          <w:rFonts w:eastAsia="Times New Roman" w:cs="Arial"/>
          <w:szCs w:val="24"/>
        </w:rPr>
        <w:t>or</w:t>
      </w:r>
      <w:r w:rsidRPr="008D3ACD">
        <w:rPr>
          <w:rFonts w:eastAsia="Times New Roman" w:cs="Arial"/>
          <w:szCs w:val="24"/>
        </w:rPr>
        <w:t xml:space="preserve"> approved by the ESC during our 20</w:t>
      </w:r>
      <w:r w:rsidR="00A905B1" w:rsidRPr="008D3ACD">
        <w:rPr>
          <w:rFonts w:eastAsia="Times New Roman" w:cs="Arial"/>
          <w:szCs w:val="24"/>
        </w:rPr>
        <w:t>20</w:t>
      </w:r>
      <w:r w:rsidRPr="008D3ACD">
        <w:rPr>
          <w:rFonts w:eastAsia="Times New Roman" w:cs="Arial"/>
          <w:szCs w:val="24"/>
        </w:rPr>
        <w:t xml:space="preserve"> Price Submission. Further details are provided below.</w:t>
      </w:r>
    </w:p>
    <w:p w14:paraId="6817A5D8" w14:textId="77777777" w:rsidR="00306D8F" w:rsidRPr="008D3ACD" w:rsidRDefault="004C025E" w:rsidP="00306D8F">
      <w:pPr>
        <w:pStyle w:val="ListParagraph"/>
        <w:numPr>
          <w:ilvl w:val="0"/>
          <w:numId w:val="13"/>
        </w:numPr>
        <w:spacing w:after="0" w:line="240" w:lineRule="auto"/>
        <w:rPr>
          <w:rFonts w:eastAsia="Times New Roman" w:cs="Arial"/>
          <w:i/>
          <w:szCs w:val="24"/>
        </w:rPr>
      </w:pPr>
      <w:r w:rsidRPr="008D3ACD">
        <w:rPr>
          <w:rFonts w:eastAsia="Times New Roman" w:cs="Arial"/>
          <w:i/>
          <w:szCs w:val="24"/>
        </w:rPr>
        <w:t>Gravity Irrigation</w:t>
      </w:r>
    </w:p>
    <w:p w14:paraId="6E422D5A" w14:textId="77777777" w:rsidR="00306D8F" w:rsidRPr="00612011" w:rsidRDefault="00306D8F" w:rsidP="00306D8F">
      <w:pPr>
        <w:spacing w:line="240" w:lineRule="auto"/>
        <w:contextualSpacing/>
        <w:rPr>
          <w:rFonts w:eastAsia="Times New Roman" w:cs="Arial"/>
          <w:szCs w:val="24"/>
          <w:highlight w:val="yellow"/>
        </w:rPr>
      </w:pPr>
    </w:p>
    <w:p w14:paraId="7BD2C662" w14:textId="77777777" w:rsidR="002F0773" w:rsidRPr="008D3ACD" w:rsidRDefault="00306D8F" w:rsidP="00306D8F">
      <w:pPr>
        <w:spacing w:line="240" w:lineRule="auto"/>
        <w:contextualSpacing/>
        <w:rPr>
          <w:rFonts w:eastAsia="Times New Roman" w:cs="Arial"/>
          <w:szCs w:val="24"/>
        </w:rPr>
      </w:pPr>
      <w:r w:rsidRPr="008200F8">
        <w:rPr>
          <w:rFonts w:eastAsia="Times New Roman" w:cs="Arial"/>
          <w:szCs w:val="24"/>
        </w:rPr>
        <w:t>Consistent with the 20</w:t>
      </w:r>
      <w:r w:rsidR="00A905B1" w:rsidRPr="008200F8">
        <w:rPr>
          <w:rFonts w:eastAsia="Times New Roman" w:cs="Arial"/>
          <w:szCs w:val="24"/>
        </w:rPr>
        <w:t>20</w:t>
      </w:r>
      <w:r w:rsidRPr="008200F8">
        <w:rPr>
          <w:rFonts w:eastAsia="Times New Roman" w:cs="Arial"/>
          <w:szCs w:val="24"/>
        </w:rPr>
        <w:t xml:space="preserve"> Price Submission, prices for </w:t>
      </w:r>
      <w:r w:rsidR="002F0773" w:rsidRPr="008200F8">
        <w:rPr>
          <w:rFonts w:eastAsia="Times New Roman" w:cs="Arial"/>
          <w:szCs w:val="24"/>
        </w:rPr>
        <w:t xml:space="preserve">Local Read and </w:t>
      </w:r>
      <w:r w:rsidRPr="008200F8">
        <w:rPr>
          <w:rFonts w:eastAsia="Times New Roman" w:cs="Arial"/>
          <w:szCs w:val="24"/>
        </w:rPr>
        <w:t xml:space="preserve">Remote Read service points </w:t>
      </w:r>
      <w:r w:rsidR="00A14697">
        <w:rPr>
          <w:rFonts w:eastAsia="Times New Roman" w:cs="Arial"/>
          <w:szCs w:val="24"/>
        </w:rPr>
        <w:t xml:space="preserve">finalise their </w:t>
      </w:r>
      <w:r w:rsidR="002F0773" w:rsidRPr="008200F8">
        <w:rPr>
          <w:rFonts w:eastAsia="Times New Roman" w:cs="Arial"/>
          <w:szCs w:val="24"/>
        </w:rPr>
        <w:t xml:space="preserve">transition to a single Local Operate fee of $455 </w:t>
      </w:r>
      <w:r w:rsidR="00A14697">
        <w:rPr>
          <w:rFonts w:eastAsia="Times New Roman" w:cs="Arial"/>
          <w:szCs w:val="24"/>
        </w:rPr>
        <w:t xml:space="preserve">in </w:t>
      </w:r>
      <w:r w:rsidR="002F0773" w:rsidRPr="008200F8">
        <w:rPr>
          <w:rFonts w:eastAsia="Times New Roman" w:cs="Arial"/>
          <w:szCs w:val="24"/>
        </w:rPr>
        <w:t>2023/24.</w:t>
      </w:r>
    </w:p>
    <w:p w14:paraId="6011A4FF" w14:textId="77777777" w:rsidR="00306D8F" w:rsidRPr="008D3ACD" w:rsidRDefault="002F0773" w:rsidP="00306D8F">
      <w:pPr>
        <w:spacing w:line="240" w:lineRule="auto"/>
        <w:contextualSpacing/>
        <w:rPr>
          <w:rFonts w:eastAsia="Times New Roman" w:cs="Arial"/>
          <w:szCs w:val="24"/>
        </w:rPr>
      </w:pPr>
      <w:r w:rsidRPr="008D3ACD">
        <w:rPr>
          <w:rFonts w:eastAsia="Times New Roman" w:cs="Arial"/>
          <w:szCs w:val="24"/>
        </w:rPr>
        <w:t>The local read transition</w:t>
      </w:r>
      <w:r w:rsidR="00A14697">
        <w:rPr>
          <w:rFonts w:eastAsia="Times New Roman" w:cs="Arial"/>
          <w:szCs w:val="24"/>
        </w:rPr>
        <w:t>ed</w:t>
      </w:r>
      <w:r w:rsidRPr="008D3ACD">
        <w:rPr>
          <w:rFonts w:eastAsia="Times New Roman" w:cs="Arial"/>
          <w:szCs w:val="24"/>
        </w:rPr>
        <w:t xml:space="preserve"> up as the Remote Read transition</w:t>
      </w:r>
      <w:r w:rsidR="00A14697">
        <w:rPr>
          <w:rFonts w:eastAsia="Times New Roman" w:cs="Arial"/>
          <w:szCs w:val="24"/>
        </w:rPr>
        <w:t>ed</w:t>
      </w:r>
      <w:r w:rsidRPr="008D3ACD">
        <w:rPr>
          <w:rFonts w:eastAsia="Times New Roman" w:cs="Arial"/>
          <w:szCs w:val="24"/>
        </w:rPr>
        <w:t xml:space="preserve"> down across the regulatory period.</w:t>
      </w:r>
    </w:p>
    <w:p w14:paraId="1FF3AD2B" w14:textId="77777777" w:rsidR="002F0773" w:rsidRPr="00612011" w:rsidRDefault="002F0773" w:rsidP="00306D8F">
      <w:pPr>
        <w:spacing w:line="240" w:lineRule="auto"/>
        <w:contextualSpacing/>
        <w:rPr>
          <w:rFonts w:eastAsia="Times New Roman" w:cs="Arial"/>
          <w:szCs w:val="24"/>
          <w:highlight w:val="yellow"/>
        </w:rPr>
      </w:pPr>
    </w:p>
    <w:p w14:paraId="62471EFD" w14:textId="77777777" w:rsidR="0074462C" w:rsidRDefault="00306D8F" w:rsidP="004C025E">
      <w:pPr>
        <w:spacing w:line="240" w:lineRule="auto"/>
        <w:contextualSpacing/>
        <w:rPr>
          <w:rFonts w:eastAsia="Times New Roman" w:cs="Arial"/>
          <w:szCs w:val="24"/>
        </w:rPr>
      </w:pPr>
      <w:r w:rsidRPr="008200F8">
        <w:rPr>
          <w:rFonts w:eastAsia="Times New Roman" w:cs="Arial"/>
          <w:szCs w:val="24"/>
        </w:rPr>
        <w:t>For 20</w:t>
      </w:r>
      <w:r w:rsidR="00D55631" w:rsidRPr="008200F8">
        <w:rPr>
          <w:rFonts w:eastAsia="Times New Roman" w:cs="Arial"/>
          <w:szCs w:val="24"/>
        </w:rPr>
        <w:t>23/24</w:t>
      </w:r>
      <w:r w:rsidRPr="008200F8">
        <w:rPr>
          <w:rFonts w:eastAsia="Times New Roman" w:cs="Arial"/>
          <w:szCs w:val="24"/>
        </w:rPr>
        <w:t xml:space="preserve"> the proposed service point fees are:</w:t>
      </w:r>
    </w:p>
    <w:p w14:paraId="5D7CBDFA" w14:textId="77777777" w:rsidR="00612380" w:rsidRDefault="00612380" w:rsidP="004C025E">
      <w:pPr>
        <w:spacing w:line="240" w:lineRule="auto"/>
        <w:contextualSpacing/>
        <w:rPr>
          <w:rFonts w:eastAsia="Times New Roman" w:cs="Arial"/>
          <w:szCs w:val="24"/>
        </w:rPr>
      </w:pPr>
    </w:p>
    <w:tbl>
      <w:tblPr>
        <w:tblStyle w:val="TableGrid"/>
        <w:tblW w:w="8045" w:type="dxa"/>
        <w:tblInd w:w="-5" w:type="dxa"/>
        <w:tblLook w:val="04A0" w:firstRow="1" w:lastRow="0" w:firstColumn="1" w:lastColumn="0" w:noHBand="0" w:noVBand="1"/>
      </w:tblPr>
      <w:tblGrid>
        <w:gridCol w:w="3944"/>
        <w:gridCol w:w="1391"/>
        <w:gridCol w:w="1432"/>
        <w:gridCol w:w="1278"/>
      </w:tblGrid>
      <w:tr w:rsidR="00612380" w:rsidRPr="00612380" w14:paraId="3CF3C5D7" w14:textId="77777777" w:rsidTr="00612380">
        <w:trPr>
          <w:trHeight w:val="367"/>
        </w:trPr>
        <w:tc>
          <w:tcPr>
            <w:tcW w:w="3944" w:type="dxa"/>
            <w:shd w:val="clear" w:color="auto" w:fill="BFBFBF" w:themeFill="background1" w:themeFillShade="BF"/>
            <w:vAlign w:val="center"/>
          </w:tcPr>
          <w:p w14:paraId="15911982" w14:textId="77777777" w:rsidR="00612380" w:rsidRPr="00612380" w:rsidRDefault="00612380" w:rsidP="00612380">
            <w:pPr>
              <w:jc w:val="center"/>
              <w:rPr>
                <w:b/>
                <w:sz w:val="18"/>
              </w:rPr>
            </w:pPr>
            <w:r w:rsidRPr="00612380">
              <w:rPr>
                <w:b/>
                <w:sz w:val="18"/>
              </w:rPr>
              <w:t>Customer segment / tariff type</w:t>
            </w:r>
          </w:p>
        </w:tc>
        <w:tc>
          <w:tcPr>
            <w:tcW w:w="1391" w:type="dxa"/>
            <w:shd w:val="clear" w:color="auto" w:fill="BFBFBF" w:themeFill="background1" w:themeFillShade="BF"/>
            <w:vAlign w:val="center"/>
          </w:tcPr>
          <w:p w14:paraId="7A8C431A" w14:textId="77777777" w:rsidR="00612380" w:rsidRPr="00612380" w:rsidRDefault="00612380" w:rsidP="00612380">
            <w:pPr>
              <w:jc w:val="center"/>
              <w:rPr>
                <w:b/>
                <w:sz w:val="18"/>
              </w:rPr>
            </w:pPr>
            <w:r w:rsidRPr="00612380">
              <w:rPr>
                <w:b/>
                <w:sz w:val="18"/>
              </w:rPr>
              <w:t>2022/23 Price</w:t>
            </w:r>
          </w:p>
          <w:p w14:paraId="71F72318" w14:textId="77777777" w:rsidR="00612380" w:rsidRPr="00612380" w:rsidRDefault="00612380" w:rsidP="00612380">
            <w:pPr>
              <w:jc w:val="center"/>
              <w:rPr>
                <w:b/>
                <w:sz w:val="18"/>
              </w:rPr>
            </w:pPr>
            <w:r w:rsidRPr="00612380">
              <w:rPr>
                <w:b/>
                <w:sz w:val="18"/>
              </w:rPr>
              <w:t>(22/23 $s)</w:t>
            </w:r>
          </w:p>
        </w:tc>
        <w:tc>
          <w:tcPr>
            <w:tcW w:w="1432" w:type="dxa"/>
            <w:shd w:val="clear" w:color="auto" w:fill="BFBFBF" w:themeFill="background1" w:themeFillShade="BF"/>
            <w:vAlign w:val="center"/>
          </w:tcPr>
          <w:p w14:paraId="310A4A3A" w14:textId="77777777" w:rsidR="00612380" w:rsidRPr="00612380" w:rsidRDefault="00612380" w:rsidP="00612380">
            <w:pPr>
              <w:jc w:val="center"/>
              <w:rPr>
                <w:b/>
                <w:sz w:val="18"/>
              </w:rPr>
            </w:pPr>
            <w:r w:rsidRPr="00612380">
              <w:rPr>
                <w:b/>
                <w:sz w:val="18"/>
              </w:rPr>
              <w:t>2023/24 Price</w:t>
            </w:r>
          </w:p>
          <w:p w14:paraId="72CE6C4F" w14:textId="77777777" w:rsidR="00612380" w:rsidRPr="00612380" w:rsidRDefault="00612380" w:rsidP="00612380">
            <w:pPr>
              <w:jc w:val="center"/>
              <w:rPr>
                <w:b/>
                <w:sz w:val="18"/>
              </w:rPr>
            </w:pPr>
            <w:r w:rsidRPr="00612380">
              <w:rPr>
                <w:b/>
                <w:sz w:val="18"/>
              </w:rPr>
              <w:t>(23/24 $s)</w:t>
            </w:r>
          </w:p>
        </w:tc>
        <w:tc>
          <w:tcPr>
            <w:tcW w:w="1278" w:type="dxa"/>
            <w:shd w:val="clear" w:color="auto" w:fill="BFBFBF" w:themeFill="background1" w:themeFillShade="BF"/>
            <w:vAlign w:val="center"/>
          </w:tcPr>
          <w:p w14:paraId="741DF959" w14:textId="77777777" w:rsidR="00612380" w:rsidRPr="00612380" w:rsidRDefault="00612380" w:rsidP="00612380">
            <w:pPr>
              <w:jc w:val="center"/>
              <w:rPr>
                <w:b/>
                <w:sz w:val="18"/>
              </w:rPr>
            </w:pPr>
            <w:r w:rsidRPr="00612380">
              <w:rPr>
                <w:b/>
                <w:sz w:val="18"/>
              </w:rPr>
              <w:t>$ change</w:t>
            </w:r>
          </w:p>
        </w:tc>
      </w:tr>
      <w:tr w:rsidR="00612380" w:rsidRPr="00612380" w14:paraId="34CD79F0" w14:textId="77777777" w:rsidTr="00612380">
        <w:trPr>
          <w:trHeight w:val="1139"/>
        </w:trPr>
        <w:tc>
          <w:tcPr>
            <w:tcW w:w="3944" w:type="dxa"/>
          </w:tcPr>
          <w:p w14:paraId="6EF9A258" w14:textId="77777777" w:rsidR="00612380" w:rsidRPr="00612380" w:rsidRDefault="00612380" w:rsidP="00612380">
            <w:pPr>
              <w:rPr>
                <w:b/>
                <w:sz w:val="18"/>
              </w:rPr>
            </w:pPr>
            <w:r>
              <w:rPr>
                <w:b/>
                <w:sz w:val="18"/>
              </w:rPr>
              <w:t>Gravity Irrigation</w:t>
            </w:r>
          </w:p>
          <w:p w14:paraId="79D5F09E" w14:textId="77777777" w:rsidR="00612380" w:rsidRDefault="00612380" w:rsidP="00612380">
            <w:pPr>
              <w:rPr>
                <w:sz w:val="18"/>
              </w:rPr>
            </w:pPr>
            <w:r w:rsidRPr="00612380">
              <w:rPr>
                <w:sz w:val="18"/>
              </w:rPr>
              <w:t xml:space="preserve"> </w:t>
            </w:r>
            <w:r>
              <w:rPr>
                <w:sz w:val="18"/>
              </w:rPr>
              <w:t>Domestic &amp; Stock</w:t>
            </w:r>
          </w:p>
          <w:p w14:paraId="1F7CD7E9" w14:textId="77777777" w:rsidR="00612380" w:rsidRDefault="00612380" w:rsidP="00612380">
            <w:pPr>
              <w:rPr>
                <w:sz w:val="18"/>
              </w:rPr>
            </w:pPr>
            <w:r>
              <w:rPr>
                <w:sz w:val="18"/>
              </w:rPr>
              <w:t xml:space="preserve"> Local Read</w:t>
            </w:r>
          </w:p>
          <w:p w14:paraId="1373B886" w14:textId="77777777" w:rsidR="00612380" w:rsidRDefault="00612380" w:rsidP="00612380">
            <w:pPr>
              <w:rPr>
                <w:sz w:val="18"/>
              </w:rPr>
            </w:pPr>
            <w:r>
              <w:rPr>
                <w:sz w:val="18"/>
              </w:rPr>
              <w:t xml:space="preserve"> Remote Read</w:t>
            </w:r>
          </w:p>
          <w:p w14:paraId="597AACF8" w14:textId="77777777" w:rsidR="00612380" w:rsidRPr="00612380" w:rsidRDefault="00612380" w:rsidP="00612380">
            <w:pPr>
              <w:rPr>
                <w:sz w:val="18"/>
              </w:rPr>
            </w:pPr>
            <w:r>
              <w:rPr>
                <w:sz w:val="18"/>
              </w:rPr>
              <w:t xml:space="preserve"> Remote Operate</w:t>
            </w:r>
          </w:p>
        </w:tc>
        <w:tc>
          <w:tcPr>
            <w:tcW w:w="1391" w:type="dxa"/>
          </w:tcPr>
          <w:p w14:paraId="524A7A16" w14:textId="77777777" w:rsidR="00612380" w:rsidRPr="00612380" w:rsidRDefault="00612380" w:rsidP="00612380">
            <w:pPr>
              <w:jc w:val="right"/>
              <w:rPr>
                <w:sz w:val="18"/>
              </w:rPr>
            </w:pPr>
          </w:p>
          <w:p w14:paraId="0E3A8F96" w14:textId="77777777" w:rsidR="00612380" w:rsidRPr="00612380" w:rsidRDefault="00612380" w:rsidP="00612380">
            <w:pPr>
              <w:jc w:val="right"/>
              <w:rPr>
                <w:sz w:val="18"/>
              </w:rPr>
            </w:pPr>
            <w:r>
              <w:rPr>
                <w:sz w:val="18"/>
              </w:rPr>
              <w:t>145</w:t>
            </w:r>
          </w:p>
          <w:p w14:paraId="77A32F0D" w14:textId="77777777" w:rsidR="00612380" w:rsidRPr="00612380" w:rsidRDefault="00612380" w:rsidP="00612380">
            <w:pPr>
              <w:jc w:val="right"/>
              <w:rPr>
                <w:sz w:val="18"/>
              </w:rPr>
            </w:pPr>
            <w:r>
              <w:rPr>
                <w:sz w:val="18"/>
              </w:rPr>
              <w:t>425</w:t>
            </w:r>
          </w:p>
          <w:p w14:paraId="4A510374" w14:textId="77777777" w:rsidR="00612380" w:rsidRPr="00612380" w:rsidRDefault="00612380" w:rsidP="00612380">
            <w:pPr>
              <w:jc w:val="right"/>
              <w:rPr>
                <w:sz w:val="18"/>
              </w:rPr>
            </w:pPr>
            <w:r>
              <w:rPr>
                <w:sz w:val="18"/>
              </w:rPr>
              <w:t>550</w:t>
            </w:r>
          </w:p>
          <w:p w14:paraId="20FE4B30" w14:textId="77777777" w:rsidR="00612380" w:rsidRPr="00612380" w:rsidRDefault="00612380" w:rsidP="00612380">
            <w:pPr>
              <w:jc w:val="right"/>
              <w:rPr>
                <w:sz w:val="18"/>
              </w:rPr>
            </w:pPr>
            <w:r>
              <w:rPr>
                <w:sz w:val="18"/>
              </w:rPr>
              <w:t>1,070</w:t>
            </w:r>
          </w:p>
        </w:tc>
        <w:tc>
          <w:tcPr>
            <w:tcW w:w="1432" w:type="dxa"/>
          </w:tcPr>
          <w:p w14:paraId="5697464E" w14:textId="77777777" w:rsidR="00612380" w:rsidRPr="00612380" w:rsidRDefault="00612380" w:rsidP="00612380">
            <w:pPr>
              <w:jc w:val="right"/>
              <w:rPr>
                <w:sz w:val="18"/>
              </w:rPr>
            </w:pPr>
          </w:p>
          <w:p w14:paraId="0470FE53" w14:textId="77777777" w:rsidR="00612380" w:rsidRPr="00612380" w:rsidRDefault="00612380" w:rsidP="00612380">
            <w:pPr>
              <w:jc w:val="right"/>
              <w:rPr>
                <w:sz w:val="18"/>
              </w:rPr>
            </w:pPr>
            <w:r>
              <w:rPr>
                <w:sz w:val="18"/>
              </w:rPr>
              <w:t>145</w:t>
            </w:r>
          </w:p>
          <w:p w14:paraId="7DD95D69" w14:textId="77777777" w:rsidR="00612380" w:rsidRPr="00612380" w:rsidRDefault="00612380" w:rsidP="00612380">
            <w:pPr>
              <w:jc w:val="right"/>
              <w:rPr>
                <w:sz w:val="18"/>
              </w:rPr>
            </w:pPr>
            <w:r>
              <w:rPr>
                <w:sz w:val="18"/>
              </w:rPr>
              <w:t>455</w:t>
            </w:r>
          </w:p>
          <w:p w14:paraId="16E18C3E" w14:textId="77777777" w:rsidR="00612380" w:rsidRPr="00612380" w:rsidRDefault="00612380" w:rsidP="00612380">
            <w:pPr>
              <w:jc w:val="right"/>
              <w:rPr>
                <w:sz w:val="18"/>
              </w:rPr>
            </w:pPr>
            <w:r>
              <w:rPr>
                <w:sz w:val="18"/>
              </w:rPr>
              <w:t>455</w:t>
            </w:r>
          </w:p>
          <w:p w14:paraId="65CDED2E" w14:textId="77777777" w:rsidR="00612380" w:rsidRPr="00612380" w:rsidRDefault="00612380" w:rsidP="00612380">
            <w:pPr>
              <w:jc w:val="right"/>
              <w:rPr>
                <w:sz w:val="18"/>
              </w:rPr>
            </w:pPr>
            <w:r>
              <w:rPr>
                <w:sz w:val="18"/>
              </w:rPr>
              <w:t>1,070</w:t>
            </w:r>
          </w:p>
        </w:tc>
        <w:tc>
          <w:tcPr>
            <w:tcW w:w="1278" w:type="dxa"/>
          </w:tcPr>
          <w:p w14:paraId="2810E291" w14:textId="77777777" w:rsidR="00612380" w:rsidRPr="00612380" w:rsidRDefault="00612380" w:rsidP="00612380">
            <w:pPr>
              <w:jc w:val="right"/>
              <w:rPr>
                <w:sz w:val="18"/>
              </w:rPr>
            </w:pPr>
          </w:p>
          <w:p w14:paraId="2AD09AE3" w14:textId="77777777" w:rsidR="00612380" w:rsidRPr="00612380" w:rsidRDefault="00612380" w:rsidP="00612380">
            <w:pPr>
              <w:jc w:val="right"/>
              <w:rPr>
                <w:sz w:val="18"/>
              </w:rPr>
            </w:pPr>
            <w:r>
              <w:rPr>
                <w:sz w:val="18"/>
              </w:rPr>
              <w:t>N/A</w:t>
            </w:r>
          </w:p>
          <w:p w14:paraId="1FD2B183" w14:textId="77777777" w:rsidR="00612380" w:rsidRPr="00612380" w:rsidRDefault="00612380" w:rsidP="00612380">
            <w:pPr>
              <w:jc w:val="right"/>
              <w:rPr>
                <w:sz w:val="18"/>
              </w:rPr>
            </w:pPr>
            <w:r>
              <w:rPr>
                <w:sz w:val="18"/>
              </w:rPr>
              <w:t>30</w:t>
            </w:r>
          </w:p>
          <w:p w14:paraId="70F0A728" w14:textId="77777777" w:rsidR="00612380" w:rsidRPr="00612380" w:rsidRDefault="00612380" w:rsidP="00612380">
            <w:pPr>
              <w:jc w:val="right"/>
              <w:rPr>
                <w:sz w:val="18"/>
              </w:rPr>
            </w:pPr>
            <w:r>
              <w:rPr>
                <w:sz w:val="18"/>
              </w:rPr>
              <w:t>(95)</w:t>
            </w:r>
          </w:p>
          <w:p w14:paraId="5B49AF0D" w14:textId="77777777" w:rsidR="00612380" w:rsidRPr="00612380" w:rsidRDefault="00612380" w:rsidP="00612380">
            <w:pPr>
              <w:jc w:val="right"/>
              <w:rPr>
                <w:sz w:val="18"/>
              </w:rPr>
            </w:pPr>
            <w:r>
              <w:rPr>
                <w:sz w:val="18"/>
              </w:rPr>
              <w:t>N/A</w:t>
            </w:r>
          </w:p>
        </w:tc>
      </w:tr>
    </w:tbl>
    <w:p w14:paraId="49CBBB76" w14:textId="77777777" w:rsidR="00612380" w:rsidRPr="00C9473C" w:rsidRDefault="00612380" w:rsidP="004C025E">
      <w:pPr>
        <w:spacing w:line="240" w:lineRule="auto"/>
        <w:contextualSpacing/>
        <w:rPr>
          <w:rFonts w:eastAsia="Times New Roman" w:cs="Arial"/>
          <w:szCs w:val="24"/>
        </w:rPr>
      </w:pPr>
    </w:p>
    <w:p w14:paraId="27E37E74" w14:textId="77777777" w:rsidR="00EE6C8B" w:rsidRPr="008D3ACD" w:rsidRDefault="00EE6C8B" w:rsidP="004C025E">
      <w:pPr>
        <w:pStyle w:val="ListParagraph"/>
        <w:numPr>
          <w:ilvl w:val="0"/>
          <w:numId w:val="13"/>
        </w:numPr>
        <w:spacing w:after="0" w:line="240" w:lineRule="auto"/>
        <w:rPr>
          <w:rFonts w:eastAsia="Times New Roman" w:cs="Arial"/>
          <w:i/>
          <w:szCs w:val="24"/>
        </w:rPr>
      </w:pPr>
      <w:r w:rsidRPr="008D3ACD">
        <w:rPr>
          <w:rFonts w:eastAsia="Times New Roman" w:cs="Arial"/>
          <w:i/>
          <w:szCs w:val="24"/>
        </w:rPr>
        <w:t>Diversions</w:t>
      </w:r>
    </w:p>
    <w:p w14:paraId="5D76E0C9" w14:textId="77777777" w:rsidR="00EE6C8B" w:rsidRPr="008D3ACD" w:rsidRDefault="00EE6C8B" w:rsidP="00EE6C8B">
      <w:pPr>
        <w:spacing w:after="0" w:line="240" w:lineRule="auto"/>
        <w:ind w:left="360"/>
        <w:rPr>
          <w:rFonts w:eastAsia="Times New Roman" w:cs="Arial"/>
          <w:i/>
          <w:szCs w:val="24"/>
        </w:rPr>
      </w:pPr>
    </w:p>
    <w:p w14:paraId="349A6526" w14:textId="77777777" w:rsidR="00EE6C8B" w:rsidRPr="008D3ACD" w:rsidRDefault="00EE6C8B" w:rsidP="00EE6C8B">
      <w:pPr>
        <w:spacing w:line="240" w:lineRule="auto"/>
        <w:rPr>
          <w:rFonts w:eastAsia="Times New Roman" w:cs="Arial"/>
          <w:szCs w:val="24"/>
        </w:rPr>
      </w:pPr>
      <w:r w:rsidRPr="008D3ACD">
        <w:rPr>
          <w:rFonts w:eastAsia="Times New Roman" w:cs="Arial"/>
          <w:szCs w:val="24"/>
        </w:rPr>
        <w:t>The existing Service Point Fee comprises two charges: Unmetered Service Point Fee and Metered Service Point Fee, reflecting the cost of operating the two different measurement types. The Unmetered Service Point Fee is aligned with the gravity district Stock and Domestic Service Point Fee. The Metered Service Point Fee will increase in line with the Local Read Meter Fee in gravity.</w:t>
      </w:r>
    </w:p>
    <w:p w14:paraId="22272C63" w14:textId="77777777" w:rsidR="00EE6C8B" w:rsidRDefault="00EE6C8B" w:rsidP="00EE6C8B">
      <w:pPr>
        <w:spacing w:after="0" w:line="240" w:lineRule="auto"/>
        <w:rPr>
          <w:rFonts w:eastAsia="Times New Roman" w:cs="Arial"/>
          <w:szCs w:val="24"/>
        </w:rPr>
      </w:pPr>
      <w:r w:rsidRPr="008200F8">
        <w:rPr>
          <w:rFonts w:eastAsia="Times New Roman" w:cs="Arial"/>
          <w:szCs w:val="24"/>
        </w:rPr>
        <w:t xml:space="preserve">For </w:t>
      </w:r>
      <w:r w:rsidR="00D55631" w:rsidRPr="008200F8">
        <w:rPr>
          <w:rFonts w:eastAsia="Times New Roman" w:cs="Arial"/>
          <w:szCs w:val="24"/>
        </w:rPr>
        <w:t>2023/24</w:t>
      </w:r>
      <w:r w:rsidRPr="008200F8">
        <w:rPr>
          <w:rFonts w:eastAsia="Times New Roman" w:cs="Arial"/>
          <w:szCs w:val="24"/>
        </w:rPr>
        <w:t xml:space="preserve"> the proposed service point fees are:</w:t>
      </w:r>
    </w:p>
    <w:p w14:paraId="53DE93AD" w14:textId="77777777" w:rsidR="00612380" w:rsidRPr="00C9473C" w:rsidRDefault="00612380" w:rsidP="00EE6C8B">
      <w:pPr>
        <w:spacing w:after="0" w:line="240" w:lineRule="auto"/>
        <w:rPr>
          <w:rFonts w:eastAsia="Times New Roman" w:cs="Arial"/>
          <w:szCs w:val="24"/>
        </w:rPr>
      </w:pPr>
    </w:p>
    <w:tbl>
      <w:tblPr>
        <w:tblStyle w:val="TableGrid"/>
        <w:tblW w:w="8052" w:type="dxa"/>
        <w:tblInd w:w="-5" w:type="dxa"/>
        <w:tblLook w:val="04A0" w:firstRow="1" w:lastRow="0" w:firstColumn="1" w:lastColumn="0" w:noHBand="0" w:noVBand="1"/>
      </w:tblPr>
      <w:tblGrid>
        <w:gridCol w:w="3948"/>
        <w:gridCol w:w="1392"/>
        <w:gridCol w:w="1433"/>
        <w:gridCol w:w="1279"/>
      </w:tblGrid>
      <w:tr w:rsidR="00612380" w:rsidRPr="00612380" w14:paraId="6D815610" w14:textId="77777777" w:rsidTr="00612380">
        <w:trPr>
          <w:trHeight w:val="266"/>
        </w:trPr>
        <w:tc>
          <w:tcPr>
            <w:tcW w:w="3948" w:type="dxa"/>
            <w:shd w:val="clear" w:color="auto" w:fill="BFBFBF" w:themeFill="background1" w:themeFillShade="BF"/>
            <w:vAlign w:val="center"/>
          </w:tcPr>
          <w:p w14:paraId="1CD43927" w14:textId="77777777" w:rsidR="00612380" w:rsidRPr="00612380" w:rsidRDefault="00612380" w:rsidP="00612380">
            <w:pPr>
              <w:jc w:val="center"/>
              <w:rPr>
                <w:b/>
                <w:sz w:val="18"/>
              </w:rPr>
            </w:pPr>
            <w:r w:rsidRPr="00612380">
              <w:rPr>
                <w:b/>
                <w:sz w:val="18"/>
              </w:rPr>
              <w:t>Customer segment / tariff type</w:t>
            </w:r>
          </w:p>
        </w:tc>
        <w:tc>
          <w:tcPr>
            <w:tcW w:w="1392" w:type="dxa"/>
            <w:shd w:val="clear" w:color="auto" w:fill="BFBFBF" w:themeFill="background1" w:themeFillShade="BF"/>
            <w:vAlign w:val="center"/>
          </w:tcPr>
          <w:p w14:paraId="14A156D3" w14:textId="77777777" w:rsidR="00612380" w:rsidRPr="00612380" w:rsidRDefault="00612380" w:rsidP="00612380">
            <w:pPr>
              <w:jc w:val="center"/>
              <w:rPr>
                <w:b/>
                <w:sz w:val="18"/>
              </w:rPr>
            </w:pPr>
            <w:r w:rsidRPr="00612380">
              <w:rPr>
                <w:b/>
                <w:sz w:val="18"/>
              </w:rPr>
              <w:t>2022/23 Price</w:t>
            </w:r>
          </w:p>
          <w:p w14:paraId="0C8CA556" w14:textId="77777777" w:rsidR="00612380" w:rsidRPr="00612380" w:rsidRDefault="00612380" w:rsidP="00612380">
            <w:pPr>
              <w:jc w:val="center"/>
              <w:rPr>
                <w:b/>
                <w:sz w:val="18"/>
              </w:rPr>
            </w:pPr>
            <w:r w:rsidRPr="00612380">
              <w:rPr>
                <w:b/>
                <w:sz w:val="18"/>
              </w:rPr>
              <w:t>(22/23 $s)</w:t>
            </w:r>
          </w:p>
        </w:tc>
        <w:tc>
          <w:tcPr>
            <w:tcW w:w="1433" w:type="dxa"/>
            <w:shd w:val="clear" w:color="auto" w:fill="BFBFBF" w:themeFill="background1" w:themeFillShade="BF"/>
            <w:vAlign w:val="center"/>
          </w:tcPr>
          <w:p w14:paraId="0AAF8F11" w14:textId="77777777" w:rsidR="00612380" w:rsidRPr="00612380" w:rsidRDefault="00612380" w:rsidP="00612380">
            <w:pPr>
              <w:jc w:val="center"/>
              <w:rPr>
                <w:b/>
                <w:sz w:val="18"/>
              </w:rPr>
            </w:pPr>
            <w:r w:rsidRPr="00612380">
              <w:rPr>
                <w:b/>
                <w:sz w:val="18"/>
              </w:rPr>
              <w:t>2023/24 Price</w:t>
            </w:r>
          </w:p>
          <w:p w14:paraId="0C1022D8" w14:textId="77777777" w:rsidR="00612380" w:rsidRPr="00612380" w:rsidRDefault="00612380" w:rsidP="00612380">
            <w:pPr>
              <w:jc w:val="center"/>
              <w:rPr>
                <w:b/>
                <w:sz w:val="18"/>
              </w:rPr>
            </w:pPr>
            <w:r w:rsidRPr="00612380">
              <w:rPr>
                <w:b/>
                <w:sz w:val="18"/>
              </w:rPr>
              <w:t>(23/24 $s)</w:t>
            </w:r>
          </w:p>
        </w:tc>
        <w:tc>
          <w:tcPr>
            <w:tcW w:w="1279" w:type="dxa"/>
            <w:shd w:val="clear" w:color="auto" w:fill="BFBFBF" w:themeFill="background1" w:themeFillShade="BF"/>
            <w:vAlign w:val="center"/>
          </w:tcPr>
          <w:p w14:paraId="62157DA0" w14:textId="77777777" w:rsidR="00612380" w:rsidRPr="00612380" w:rsidRDefault="00612380" w:rsidP="00612380">
            <w:pPr>
              <w:jc w:val="center"/>
              <w:rPr>
                <w:b/>
                <w:sz w:val="18"/>
              </w:rPr>
            </w:pPr>
            <w:r w:rsidRPr="00612380">
              <w:rPr>
                <w:b/>
                <w:sz w:val="18"/>
              </w:rPr>
              <w:t>$ change</w:t>
            </w:r>
          </w:p>
        </w:tc>
      </w:tr>
      <w:tr w:rsidR="00612380" w:rsidRPr="00612380" w14:paraId="3FBF7FC0" w14:textId="77777777" w:rsidTr="00612380">
        <w:trPr>
          <w:trHeight w:val="827"/>
        </w:trPr>
        <w:tc>
          <w:tcPr>
            <w:tcW w:w="3948" w:type="dxa"/>
          </w:tcPr>
          <w:p w14:paraId="15CF9615" w14:textId="77777777" w:rsidR="00612380" w:rsidRPr="00612380" w:rsidRDefault="00612380" w:rsidP="00612380">
            <w:pPr>
              <w:rPr>
                <w:b/>
                <w:sz w:val="18"/>
              </w:rPr>
            </w:pPr>
            <w:r>
              <w:rPr>
                <w:b/>
                <w:sz w:val="18"/>
              </w:rPr>
              <w:t>Diversions</w:t>
            </w:r>
          </w:p>
          <w:p w14:paraId="57BD5741" w14:textId="77777777" w:rsidR="00612380" w:rsidRDefault="00612380" w:rsidP="00612380">
            <w:pPr>
              <w:rPr>
                <w:sz w:val="18"/>
              </w:rPr>
            </w:pPr>
            <w:r w:rsidRPr="00612380">
              <w:rPr>
                <w:sz w:val="18"/>
              </w:rPr>
              <w:t xml:space="preserve"> </w:t>
            </w:r>
            <w:r>
              <w:rPr>
                <w:sz w:val="18"/>
              </w:rPr>
              <w:t>Service point fee - unmetered</w:t>
            </w:r>
          </w:p>
          <w:p w14:paraId="15C9383A" w14:textId="77777777" w:rsidR="00612380" w:rsidRPr="00612380" w:rsidRDefault="00612380" w:rsidP="00612380">
            <w:pPr>
              <w:rPr>
                <w:sz w:val="18"/>
              </w:rPr>
            </w:pPr>
            <w:r>
              <w:rPr>
                <w:sz w:val="18"/>
              </w:rPr>
              <w:t xml:space="preserve"> Service point fee - metered</w:t>
            </w:r>
          </w:p>
        </w:tc>
        <w:tc>
          <w:tcPr>
            <w:tcW w:w="1392" w:type="dxa"/>
          </w:tcPr>
          <w:p w14:paraId="637EB3DA" w14:textId="77777777" w:rsidR="00612380" w:rsidRPr="00612380" w:rsidRDefault="00612380" w:rsidP="00612380">
            <w:pPr>
              <w:jc w:val="right"/>
              <w:rPr>
                <w:sz w:val="18"/>
              </w:rPr>
            </w:pPr>
          </w:p>
          <w:p w14:paraId="0EC6A789" w14:textId="77777777" w:rsidR="00612380" w:rsidRPr="00612380" w:rsidRDefault="00612380" w:rsidP="00612380">
            <w:pPr>
              <w:jc w:val="right"/>
              <w:rPr>
                <w:sz w:val="18"/>
              </w:rPr>
            </w:pPr>
            <w:r>
              <w:rPr>
                <w:sz w:val="18"/>
              </w:rPr>
              <w:t>145</w:t>
            </w:r>
          </w:p>
          <w:p w14:paraId="7615F77A" w14:textId="77777777" w:rsidR="00612380" w:rsidRPr="00612380" w:rsidRDefault="00612380" w:rsidP="00612380">
            <w:pPr>
              <w:jc w:val="right"/>
              <w:rPr>
                <w:sz w:val="18"/>
              </w:rPr>
            </w:pPr>
            <w:r>
              <w:rPr>
                <w:sz w:val="18"/>
              </w:rPr>
              <w:t>425</w:t>
            </w:r>
          </w:p>
        </w:tc>
        <w:tc>
          <w:tcPr>
            <w:tcW w:w="1433" w:type="dxa"/>
          </w:tcPr>
          <w:p w14:paraId="43C3F2D0" w14:textId="77777777" w:rsidR="00612380" w:rsidRPr="00612380" w:rsidRDefault="00612380" w:rsidP="00612380">
            <w:pPr>
              <w:jc w:val="right"/>
              <w:rPr>
                <w:sz w:val="18"/>
              </w:rPr>
            </w:pPr>
          </w:p>
          <w:p w14:paraId="4F46FA31" w14:textId="77777777" w:rsidR="00612380" w:rsidRPr="00612380" w:rsidRDefault="00612380" w:rsidP="00612380">
            <w:pPr>
              <w:jc w:val="right"/>
              <w:rPr>
                <w:sz w:val="18"/>
              </w:rPr>
            </w:pPr>
            <w:r>
              <w:rPr>
                <w:sz w:val="18"/>
              </w:rPr>
              <w:t>145</w:t>
            </w:r>
          </w:p>
          <w:p w14:paraId="70F90177" w14:textId="77777777" w:rsidR="00612380" w:rsidRPr="00612380" w:rsidRDefault="00612380" w:rsidP="00612380">
            <w:pPr>
              <w:jc w:val="right"/>
              <w:rPr>
                <w:sz w:val="18"/>
              </w:rPr>
            </w:pPr>
            <w:r>
              <w:rPr>
                <w:sz w:val="18"/>
              </w:rPr>
              <w:t>455</w:t>
            </w:r>
          </w:p>
        </w:tc>
        <w:tc>
          <w:tcPr>
            <w:tcW w:w="1279" w:type="dxa"/>
          </w:tcPr>
          <w:p w14:paraId="1BBA2001" w14:textId="77777777" w:rsidR="00612380" w:rsidRPr="00612380" w:rsidRDefault="00612380" w:rsidP="00612380">
            <w:pPr>
              <w:jc w:val="right"/>
              <w:rPr>
                <w:sz w:val="18"/>
              </w:rPr>
            </w:pPr>
          </w:p>
          <w:p w14:paraId="4E6A7DE2" w14:textId="77777777" w:rsidR="00612380" w:rsidRPr="00612380" w:rsidRDefault="00612380" w:rsidP="00612380">
            <w:pPr>
              <w:jc w:val="right"/>
              <w:rPr>
                <w:sz w:val="18"/>
              </w:rPr>
            </w:pPr>
            <w:r>
              <w:rPr>
                <w:sz w:val="18"/>
              </w:rPr>
              <w:t>N/A</w:t>
            </w:r>
          </w:p>
          <w:p w14:paraId="666C37CB" w14:textId="77777777" w:rsidR="00612380" w:rsidRPr="00612380" w:rsidRDefault="00612380" w:rsidP="00612380">
            <w:pPr>
              <w:jc w:val="right"/>
              <w:rPr>
                <w:sz w:val="18"/>
              </w:rPr>
            </w:pPr>
            <w:r>
              <w:rPr>
                <w:sz w:val="18"/>
              </w:rPr>
              <w:t>30</w:t>
            </w:r>
          </w:p>
          <w:p w14:paraId="60A547C7" w14:textId="77777777" w:rsidR="00612380" w:rsidRPr="00612380" w:rsidRDefault="00612380" w:rsidP="00612380">
            <w:pPr>
              <w:jc w:val="right"/>
              <w:rPr>
                <w:sz w:val="18"/>
              </w:rPr>
            </w:pPr>
          </w:p>
        </w:tc>
      </w:tr>
    </w:tbl>
    <w:p w14:paraId="3094B627" w14:textId="77777777" w:rsidR="00A966D2" w:rsidRPr="00612011" w:rsidRDefault="00412970" w:rsidP="00EE6C8B">
      <w:pPr>
        <w:spacing w:after="0" w:line="240" w:lineRule="auto"/>
        <w:rPr>
          <w:rFonts w:eastAsia="Times New Roman" w:cs="Arial"/>
          <w:i/>
          <w:szCs w:val="24"/>
          <w:highlight w:val="yellow"/>
        </w:rPr>
      </w:pPr>
      <w:r w:rsidRPr="00612011">
        <w:rPr>
          <w:rFonts w:eastAsia="Times New Roman" w:cs="Arial"/>
          <w:i/>
          <w:szCs w:val="24"/>
          <w:highlight w:val="yellow"/>
        </w:rPr>
        <w:br/>
      </w:r>
    </w:p>
    <w:p w14:paraId="541CC1FF" w14:textId="77777777" w:rsidR="007644CF" w:rsidRPr="007644CF" w:rsidRDefault="007644CF" w:rsidP="007644CF">
      <w:pPr>
        <w:spacing w:after="0" w:line="240" w:lineRule="auto"/>
        <w:ind w:left="360"/>
        <w:rPr>
          <w:rFonts w:eastAsia="Times New Roman" w:cs="Arial"/>
          <w:i/>
          <w:szCs w:val="24"/>
        </w:rPr>
      </w:pPr>
    </w:p>
    <w:p w14:paraId="6E4B2694" w14:textId="77777777" w:rsidR="007644CF" w:rsidRPr="007644CF" w:rsidRDefault="007644CF" w:rsidP="007644CF">
      <w:pPr>
        <w:spacing w:after="0" w:line="240" w:lineRule="auto"/>
        <w:ind w:left="360"/>
        <w:rPr>
          <w:rFonts w:eastAsia="Times New Roman" w:cs="Arial"/>
          <w:i/>
          <w:szCs w:val="24"/>
        </w:rPr>
      </w:pPr>
    </w:p>
    <w:p w14:paraId="5413FEE4" w14:textId="77777777" w:rsidR="007644CF" w:rsidRPr="007644CF" w:rsidRDefault="007644CF" w:rsidP="007644CF">
      <w:pPr>
        <w:spacing w:after="0" w:line="240" w:lineRule="auto"/>
        <w:ind w:left="360"/>
        <w:rPr>
          <w:rFonts w:eastAsia="Times New Roman" w:cs="Arial"/>
          <w:i/>
          <w:szCs w:val="24"/>
        </w:rPr>
      </w:pPr>
    </w:p>
    <w:p w14:paraId="1E2645E0" w14:textId="77777777" w:rsidR="007644CF" w:rsidRPr="007644CF" w:rsidRDefault="007644CF" w:rsidP="007644CF">
      <w:pPr>
        <w:spacing w:after="0" w:line="240" w:lineRule="auto"/>
        <w:ind w:left="360"/>
        <w:rPr>
          <w:rFonts w:eastAsia="Times New Roman" w:cs="Arial"/>
          <w:i/>
          <w:szCs w:val="24"/>
        </w:rPr>
      </w:pPr>
    </w:p>
    <w:p w14:paraId="3D535C12" w14:textId="77777777" w:rsidR="004C025E" w:rsidRPr="008200F8" w:rsidRDefault="004C025E" w:rsidP="004C025E">
      <w:pPr>
        <w:pStyle w:val="ListParagraph"/>
        <w:numPr>
          <w:ilvl w:val="0"/>
          <w:numId w:val="13"/>
        </w:numPr>
        <w:spacing w:after="0" w:line="240" w:lineRule="auto"/>
        <w:rPr>
          <w:rFonts w:eastAsia="Times New Roman" w:cs="Arial"/>
          <w:i/>
          <w:szCs w:val="24"/>
        </w:rPr>
      </w:pPr>
      <w:r w:rsidRPr="008200F8">
        <w:rPr>
          <w:rFonts w:eastAsia="Times New Roman" w:cs="Arial"/>
          <w:i/>
          <w:szCs w:val="24"/>
        </w:rPr>
        <w:lastRenderedPageBreak/>
        <w:t xml:space="preserve">Pumped Districts and Water </w:t>
      </w:r>
      <w:r w:rsidR="005A6364">
        <w:rPr>
          <w:rFonts w:eastAsia="Times New Roman" w:cs="Arial"/>
          <w:i/>
          <w:szCs w:val="24"/>
        </w:rPr>
        <w:t xml:space="preserve">Supply </w:t>
      </w:r>
      <w:r w:rsidRPr="008200F8">
        <w:rPr>
          <w:rFonts w:eastAsia="Times New Roman" w:cs="Arial"/>
          <w:i/>
          <w:szCs w:val="24"/>
        </w:rPr>
        <w:t xml:space="preserve">Districts </w:t>
      </w:r>
    </w:p>
    <w:p w14:paraId="41FFF322" w14:textId="77777777" w:rsidR="00EE6C8B" w:rsidRPr="008200F8" w:rsidRDefault="00EE6C8B" w:rsidP="00EE6C8B">
      <w:pPr>
        <w:spacing w:after="0" w:line="240" w:lineRule="auto"/>
        <w:rPr>
          <w:rFonts w:eastAsia="Times New Roman" w:cs="Arial"/>
          <w:szCs w:val="24"/>
        </w:rPr>
      </w:pPr>
    </w:p>
    <w:p w14:paraId="131F3BF7" w14:textId="77777777" w:rsidR="00EE6C8B" w:rsidRDefault="00EE6C8B" w:rsidP="00EE6C8B">
      <w:pPr>
        <w:spacing w:after="0" w:line="240" w:lineRule="auto"/>
        <w:rPr>
          <w:rFonts w:eastAsia="Times New Roman" w:cs="Arial"/>
          <w:szCs w:val="24"/>
        </w:rPr>
      </w:pPr>
      <w:r w:rsidRPr="008200F8">
        <w:rPr>
          <w:rFonts w:eastAsia="Times New Roman" w:cs="Arial"/>
          <w:szCs w:val="24"/>
        </w:rPr>
        <w:t xml:space="preserve">For </w:t>
      </w:r>
      <w:r w:rsidR="001822D4" w:rsidRPr="008200F8">
        <w:rPr>
          <w:rFonts w:eastAsia="Times New Roman" w:cs="Arial"/>
          <w:szCs w:val="24"/>
        </w:rPr>
        <w:t>202</w:t>
      </w:r>
      <w:r w:rsidR="00703835" w:rsidRPr="008200F8">
        <w:rPr>
          <w:rFonts w:eastAsia="Times New Roman" w:cs="Arial"/>
          <w:szCs w:val="24"/>
        </w:rPr>
        <w:t>3/24</w:t>
      </w:r>
      <w:r w:rsidRPr="008200F8">
        <w:rPr>
          <w:rFonts w:eastAsia="Times New Roman" w:cs="Arial"/>
          <w:szCs w:val="24"/>
        </w:rPr>
        <w:t xml:space="preserve"> the proposed service point fees are</w:t>
      </w:r>
      <w:r w:rsidRPr="00C9473C">
        <w:rPr>
          <w:rFonts w:eastAsia="Times New Roman" w:cs="Arial"/>
          <w:szCs w:val="24"/>
        </w:rPr>
        <w:t>:</w:t>
      </w:r>
    </w:p>
    <w:p w14:paraId="304C39B0" w14:textId="77777777" w:rsidR="00612380" w:rsidRDefault="00612380" w:rsidP="00EE6C8B">
      <w:pPr>
        <w:spacing w:after="0" w:line="240" w:lineRule="auto"/>
        <w:rPr>
          <w:rFonts w:eastAsia="Times New Roman" w:cs="Arial"/>
          <w:szCs w:val="24"/>
        </w:rPr>
      </w:pPr>
    </w:p>
    <w:p w14:paraId="774DEF4C" w14:textId="77777777" w:rsidR="00612380" w:rsidRPr="00C9473C" w:rsidRDefault="00612380" w:rsidP="00EE6C8B">
      <w:pPr>
        <w:spacing w:after="0" w:line="240" w:lineRule="auto"/>
        <w:rPr>
          <w:rFonts w:eastAsia="Times New Roman" w:cs="Arial"/>
          <w:i/>
          <w:szCs w:val="24"/>
        </w:rPr>
      </w:pPr>
    </w:p>
    <w:p w14:paraId="03E23910" w14:textId="77777777" w:rsidR="00EE6C8B" w:rsidRDefault="00EE6C8B" w:rsidP="00EE6C8B">
      <w:pPr>
        <w:spacing w:after="0" w:line="240" w:lineRule="auto"/>
        <w:ind w:left="360"/>
        <w:rPr>
          <w:rFonts w:eastAsia="Times New Roman" w:cs="Arial"/>
          <w:i/>
          <w:szCs w:val="24"/>
          <w:highlight w:val="yellow"/>
        </w:rPr>
      </w:pPr>
    </w:p>
    <w:tbl>
      <w:tblPr>
        <w:tblStyle w:val="TableGrid"/>
        <w:tblW w:w="8040" w:type="dxa"/>
        <w:tblInd w:w="-5" w:type="dxa"/>
        <w:tblLook w:val="04A0" w:firstRow="1" w:lastRow="0" w:firstColumn="1" w:lastColumn="0" w:noHBand="0" w:noVBand="1"/>
      </w:tblPr>
      <w:tblGrid>
        <w:gridCol w:w="3942"/>
        <w:gridCol w:w="1390"/>
        <w:gridCol w:w="1431"/>
        <w:gridCol w:w="1277"/>
      </w:tblGrid>
      <w:tr w:rsidR="00612380" w:rsidRPr="00612380" w14:paraId="7953E050" w14:textId="77777777" w:rsidTr="00711D5F">
        <w:trPr>
          <w:trHeight w:val="248"/>
        </w:trPr>
        <w:tc>
          <w:tcPr>
            <w:tcW w:w="3942" w:type="dxa"/>
            <w:shd w:val="clear" w:color="auto" w:fill="BFBFBF" w:themeFill="background1" w:themeFillShade="BF"/>
            <w:vAlign w:val="center"/>
          </w:tcPr>
          <w:p w14:paraId="18B3D76F" w14:textId="77777777" w:rsidR="00612380" w:rsidRPr="00612380" w:rsidRDefault="00612380" w:rsidP="00612380">
            <w:pPr>
              <w:jc w:val="center"/>
              <w:rPr>
                <w:b/>
                <w:sz w:val="18"/>
              </w:rPr>
            </w:pPr>
            <w:r w:rsidRPr="00612380">
              <w:rPr>
                <w:b/>
                <w:sz w:val="18"/>
              </w:rPr>
              <w:t>Customer segment / tariff type</w:t>
            </w:r>
          </w:p>
        </w:tc>
        <w:tc>
          <w:tcPr>
            <w:tcW w:w="1390" w:type="dxa"/>
            <w:shd w:val="clear" w:color="auto" w:fill="BFBFBF" w:themeFill="background1" w:themeFillShade="BF"/>
            <w:vAlign w:val="center"/>
          </w:tcPr>
          <w:p w14:paraId="465C6EC7" w14:textId="77777777" w:rsidR="00612380" w:rsidRPr="00612380" w:rsidRDefault="00612380" w:rsidP="00612380">
            <w:pPr>
              <w:jc w:val="center"/>
              <w:rPr>
                <w:b/>
                <w:sz w:val="18"/>
              </w:rPr>
            </w:pPr>
            <w:r w:rsidRPr="00612380">
              <w:rPr>
                <w:b/>
                <w:sz w:val="18"/>
              </w:rPr>
              <w:t>2022/23 Price</w:t>
            </w:r>
          </w:p>
          <w:p w14:paraId="63129DA2" w14:textId="77777777" w:rsidR="00612380" w:rsidRPr="00612380" w:rsidRDefault="00612380" w:rsidP="00612380">
            <w:pPr>
              <w:jc w:val="center"/>
              <w:rPr>
                <w:b/>
                <w:sz w:val="18"/>
              </w:rPr>
            </w:pPr>
            <w:r w:rsidRPr="00612380">
              <w:rPr>
                <w:b/>
                <w:sz w:val="18"/>
              </w:rPr>
              <w:t>(22/23 $s)</w:t>
            </w:r>
          </w:p>
        </w:tc>
        <w:tc>
          <w:tcPr>
            <w:tcW w:w="1431" w:type="dxa"/>
            <w:shd w:val="clear" w:color="auto" w:fill="BFBFBF" w:themeFill="background1" w:themeFillShade="BF"/>
            <w:vAlign w:val="center"/>
          </w:tcPr>
          <w:p w14:paraId="5C364BC8" w14:textId="77777777" w:rsidR="00612380" w:rsidRPr="00612380" w:rsidRDefault="00612380" w:rsidP="00612380">
            <w:pPr>
              <w:jc w:val="center"/>
              <w:rPr>
                <w:b/>
                <w:sz w:val="18"/>
              </w:rPr>
            </w:pPr>
            <w:r w:rsidRPr="00612380">
              <w:rPr>
                <w:b/>
                <w:sz w:val="18"/>
              </w:rPr>
              <w:t>2023/24 Price</w:t>
            </w:r>
          </w:p>
          <w:p w14:paraId="2A062222" w14:textId="77777777" w:rsidR="00612380" w:rsidRPr="00612380" w:rsidRDefault="00612380" w:rsidP="00612380">
            <w:pPr>
              <w:jc w:val="center"/>
              <w:rPr>
                <w:b/>
                <w:sz w:val="18"/>
              </w:rPr>
            </w:pPr>
            <w:r w:rsidRPr="00612380">
              <w:rPr>
                <w:b/>
                <w:sz w:val="18"/>
              </w:rPr>
              <w:t>(23/24 $s)</w:t>
            </w:r>
          </w:p>
        </w:tc>
        <w:tc>
          <w:tcPr>
            <w:tcW w:w="1277" w:type="dxa"/>
            <w:shd w:val="clear" w:color="auto" w:fill="BFBFBF" w:themeFill="background1" w:themeFillShade="BF"/>
            <w:vAlign w:val="center"/>
          </w:tcPr>
          <w:p w14:paraId="48582A19" w14:textId="77777777" w:rsidR="00612380" w:rsidRPr="00612380" w:rsidRDefault="00612380" w:rsidP="00612380">
            <w:pPr>
              <w:jc w:val="center"/>
              <w:rPr>
                <w:b/>
                <w:sz w:val="18"/>
              </w:rPr>
            </w:pPr>
            <w:r w:rsidRPr="00612380">
              <w:rPr>
                <w:b/>
                <w:sz w:val="18"/>
              </w:rPr>
              <w:t>$ change</w:t>
            </w:r>
          </w:p>
        </w:tc>
      </w:tr>
      <w:tr w:rsidR="00612380" w:rsidRPr="00612380" w14:paraId="4A439877" w14:textId="77777777" w:rsidTr="00711D5F">
        <w:trPr>
          <w:trHeight w:val="1556"/>
        </w:trPr>
        <w:tc>
          <w:tcPr>
            <w:tcW w:w="3942" w:type="dxa"/>
          </w:tcPr>
          <w:p w14:paraId="21D15819" w14:textId="77777777" w:rsidR="00612380" w:rsidRPr="00612380" w:rsidRDefault="00612380" w:rsidP="00612380">
            <w:pPr>
              <w:rPr>
                <w:b/>
                <w:sz w:val="18"/>
              </w:rPr>
            </w:pPr>
            <w:r>
              <w:rPr>
                <w:b/>
                <w:sz w:val="18"/>
              </w:rPr>
              <w:t>Water Districts</w:t>
            </w:r>
          </w:p>
          <w:p w14:paraId="772D7472" w14:textId="77777777" w:rsidR="00612380" w:rsidRDefault="00612380" w:rsidP="00612380">
            <w:pPr>
              <w:rPr>
                <w:sz w:val="18"/>
              </w:rPr>
            </w:pPr>
            <w:r w:rsidRPr="00612380">
              <w:rPr>
                <w:sz w:val="18"/>
              </w:rPr>
              <w:t xml:space="preserve"> </w:t>
            </w:r>
            <w:r>
              <w:rPr>
                <w:sz w:val="18"/>
              </w:rPr>
              <w:t>Domestic &amp; Stock</w:t>
            </w:r>
          </w:p>
          <w:p w14:paraId="25D9308D" w14:textId="77777777" w:rsidR="00612380" w:rsidRDefault="00612380" w:rsidP="00612380">
            <w:pPr>
              <w:rPr>
                <w:sz w:val="18"/>
              </w:rPr>
            </w:pPr>
          </w:p>
          <w:p w14:paraId="182863DF" w14:textId="77777777" w:rsidR="00612380" w:rsidRPr="00711D5F" w:rsidRDefault="00612380" w:rsidP="00612380">
            <w:pPr>
              <w:rPr>
                <w:b/>
                <w:sz w:val="18"/>
              </w:rPr>
            </w:pPr>
            <w:r w:rsidRPr="00711D5F">
              <w:rPr>
                <w:b/>
                <w:sz w:val="18"/>
              </w:rPr>
              <w:t>Pumped Irrigation</w:t>
            </w:r>
          </w:p>
          <w:p w14:paraId="608C22E6" w14:textId="77777777" w:rsidR="00711D5F" w:rsidRDefault="00711D5F" w:rsidP="00612380">
            <w:pPr>
              <w:rPr>
                <w:sz w:val="18"/>
              </w:rPr>
            </w:pPr>
            <w:r>
              <w:rPr>
                <w:sz w:val="18"/>
              </w:rPr>
              <w:t xml:space="preserve"> Domestic &amp; Stock</w:t>
            </w:r>
          </w:p>
          <w:p w14:paraId="7B23B6EE" w14:textId="77777777" w:rsidR="00711D5F" w:rsidRDefault="00711D5F" w:rsidP="00612380">
            <w:pPr>
              <w:rPr>
                <w:sz w:val="18"/>
              </w:rPr>
            </w:pPr>
            <w:r>
              <w:rPr>
                <w:sz w:val="18"/>
              </w:rPr>
              <w:t xml:space="preserve"> Local Read</w:t>
            </w:r>
          </w:p>
          <w:p w14:paraId="242DBF73" w14:textId="77777777" w:rsidR="00711D5F" w:rsidRDefault="00711D5F" w:rsidP="00612380">
            <w:pPr>
              <w:rPr>
                <w:sz w:val="18"/>
              </w:rPr>
            </w:pPr>
            <w:r>
              <w:rPr>
                <w:sz w:val="18"/>
              </w:rPr>
              <w:t xml:space="preserve"> Remote Operate</w:t>
            </w:r>
          </w:p>
          <w:p w14:paraId="0A166357" w14:textId="77777777" w:rsidR="00612380" w:rsidRPr="00612380" w:rsidRDefault="00612380" w:rsidP="00612380">
            <w:pPr>
              <w:rPr>
                <w:sz w:val="18"/>
              </w:rPr>
            </w:pPr>
          </w:p>
        </w:tc>
        <w:tc>
          <w:tcPr>
            <w:tcW w:w="1390" w:type="dxa"/>
          </w:tcPr>
          <w:p w14:paraId="17EDBBCD" w14:textId="77777777" w:rsidR="00612380" w:rsidRPr="00612380" w:rsidRDefault="00612380" w:rsidP="00612380">
            <w:pPr>
              <w:jc w:val="right"/>
              <w:rPr>
                <w:sz w:val="18"/>
              </w:rPr>
            </w:pPr>
          </w:p>
          <w:p w14:paraId="164A6DFC" w14:textId="77777777" w:rsidR="00612380" w:rsidRPr="00612380" w:rsidRDefault="00612380" w:rsidP="00612380">
            <w:pPr>
              <w:jc w:val="right"/>
              <w:rPr>
                <w:sz w:val="18"/>
              </w:rPr>
            </w:pPr>
            <w:r>
              <w:rPr>
                <w:sz w:val="18"/>
              </w:rPr>
              <w:t>110</w:t>
            </w:r>
          </w:p>
          <w:p w14:paraId="406A0D1A" w14:textId="77777777" w:rsidR="00612380" w:rsidRDefault="00612380" w:rsidP="00612380">
            <w:pPr>
              <w:jc w:val="right"/>
              <w:rPr>
                <w:sz w:val="18"/>
              </w:rPr>
            </w:pPr>
          </w:p>
          <w:p w14:paraId="3F856CE5" w14:textId="77777777" w:rsidR="00711D5F" w:rsidRDefault="00711D5F" w:rsidP="00612380">
            <w:pPr>
              <w:jc w:val="right"/>
              <w:rPr>
                <w:sz w:val="18"/>
              </w:rPr>
            </w:pPr>
          </w:p>
          <w:p w14:paraId="7CAF6DD8" w14:textId="77777777" w:rsidR="00711D5F" w:rsidRDefault="00711D5F" w:rsidP="00612380">
            <w:pPr>
              <w:jc w:val="right"/>
              <w:rPr>
                <w:sz w:val="18"/>
              </w:rPr>
            </w:pPr>
            <w:r>
              <w:rPr>
                <w:sz w:val="18"/>
              </w:rPr>
              <w:t>110</w:t>
            </w:r>
          </w:p>
          <w:p w14:paraId="711603CF" w14:textId="77777777" w:rsidR="00711D5F" w:rsidRDefault="00711D5F" w:rsidP="00612380">
            <w:pPr>
              <w:jc w:val="right"/>
              <w:rPr>
                <w:sz w:val="18"/>
              </w:rPr>
            </w:pPr>
            <w:r>
              <w:rPr>
                <w:sz w:val="18"/>
              </w:rPr>
              <w:t>345</w:t>
            </w:r>
          </w:p>
          <w:p w14:paraId="749CFE47" w14:textId="77777777" w:rsidR="00711D5F" w:rsidRPr="00612380" w:rsidRDefault="00711D5F" w:rsidP="00612380">
            <w:pPr>
              <w:jc w:val="right"/>
              <w:rPr>
                <w:sz w:val="18"/>
              </w:rPr>
            </w:pPr>
            <w:r>
              <w:rPr>
                <w:sz w:val="18"/>
              </w:rPr>
              <w:t>810</w:t>
            </w:r>
          </w:p>
        </w:tc>
        <w:tc>
          <w:tcPr>
            <w:tcW w:w="1431" w:type="dxa"/>
          </w:tcPr>
          <w:p w14:paraId="45D3E127" w14:textId="77777777" w:rsidR="00612380" w:rsidRPr="00612380" w:rsidRDefault="00612380" w:rsidP="00612380">
            <w:pPr>
              <w:jc w:val="right"/>
              <w:rPr>
                <w:sz w:val="18"/>
              </w:rPr>
            </w:pPr>
          </w:p>
          <w:p w14:paraId="6C717CA4" w14:textId="77777777" w:rsidR="00612380" w:rsidRPr="00612380" w:rsidRDefault="00612380" w:rsidP="00612380">
            <w:pPr>
              <w:jc w:val="right"/>
              <w:rPr>
                <w:sz w:val="18"/>
              </w:rPr>
            </w:pPr>
            <w:r>
              <w:rPr>
                <w:sz w:val="18"/>
              </w:rPr>
              <w:t>145</w:t>
            </w:r>
          </w:p>
          <w:p w14:paraId="58C799DC" w14:textId="77777777" w:rsidR="00612380" w:rsidRDefault="00612380" w:rsidP="00612380">
            <w:pPr>
              <w:jc w:val="right"/>
              <w:rPr>
                <w:sz w:val="18"/>
              </w:rPr>
            </w:pPr>
          </w:p>
          <w:p w14:paraId="7C66778B" w14:textId="77777777" w:rsidR="00711D5F" w:rsidRDefault="00711D5F" w:rsidP="00612380">
            <w:pPr>
              <w:jc w:val="right"/>
              <w:rPr>
                <w:sz w:val="18"/>
              </w:rPr>
            </w:pPr>
          </w:p>
          <w:p w14:paraId="0204FB8C" w14:textId="77777777" w:rsidR="00711D5F" w:rsidRDefault="00711D5F" w:rsidP="00612380">
            <w:pPr>
              <w:jc w:val="right"/>
              <w:rPr>
                <w:sz w:val="18"/>
              </w:rPr>
            </w:pPr>
            <w:r>
              <w:rPr>
                <w:sz w:val="18"/>
              </w:rPr>
              <w:t>145</w:t>
            </w:r>
          </w:p>
          <w:p w14:paraId="1432DAA4" w14:textId="77777777" w:rsidR="00711D5F" w:rsidRDefault="00711D5F" w:rsidP="00612380">
            <w:pPr>
              <w:jc w:val="right"/>
              <w:rPr>
                <w:sz w:val="18"/>
              </w:rPr>
            </w:pPr>
            <w:r>
              <w:rPr>
                <w:sz w:val="18"/>
              </w:rPr>
              <w:t>455</w:t>
            </w:r>
          </w:p>
          <w:p w14:paraId="7DFA8292" w14:textId="77777777" w:rsidR="00711D5F" w:rsidRPr="00612380" w:rsidRDefault="00711D5F" w:rsidP="00612380">
            <w:pPr>
              <w:jc w:val="right"/>
              <w:rPr>
                <w:sz w:val="18"/>
              </w:rPr>
            </w:pPr>
            <w:r>
              <w:rPr>
                <w:sz w:val="18"/>
              </w:rPr>
              <w:t>1,070</w:t>
            </w:r>
          </w:p>
        </w:tc>
        <w:tc>
          <w:tcPr>
            <w:tcW w:w="1277" w:type="dxa"/>
          </w:tcPr>
          <w:p w14:paraId="0E700657" w14:textId="77777777" w:rsidR="00612380" w:rsidRPr="00612380" w:rsidRDefault="00612380" w:rsidP="00612380">
            <w:pPr>
              <w:jc w:val="right"/>
              <w:rPr>
                <w:sz w:val="18"/>
              </w:rPr>
            </w:pPr>
          </w:p>
          <w:p w14:paraId="7AAFEF46" w14:textId="77777777" w:rsidR="00612380" w:rsidRPr="00612380" w:rsidRDefault="00612380" w:rsidP="00612380">
            <w:pPr>
              <w:jc w:val="right"/>
              <w:rPr>
                <w:sz w:val="18"/>
              </w:rPr>
            </w:pPr>
            <w:r>
              <w:rPr>
                <w:sz w:val="18"/>
              </w:rPr>
              <w:t>35</w:t>
            </w:r>
          </w:p>
          <w:p w14:paraId="4A7B4F0F" w14:textId="77777777" w:rsidR="00612380" w:rsidRDefault="00612380" w:rsidP="00612380">
            <w:pPr>
              <w:jc w:val="right"/>
              <w:rPr>
                <w:sz w:val="18"/>
              </w:rPr>
            </w:pPr>
          </w:p>
          <w:p w14:paraId="7794CB63" w14:textId="77777777" w:rsidR="00711D5F" w:rsidRDefault="00711D5F" w:rsidP="00612380">
            <w:pPr>
              <w:jc w:val="right"/>
              <w:rPr>
                <w:sz w:val="18"/>
              </w:rPr>
            </w:pPr>
          </w:p>
          <w:p w14:paraId="224B861C" w14:textId="77777777" w:rsidR="00711D5F" w:rsidRDefault="00711D5F" w:rsidP="00612380">
            <w:pPr>
              <w:jc w:val="right"/>
              <w:rPr>
                <w:sz w:val="18"/>
              </w:rPr>
            </w:pPr>
            <w:r>
              <w:rPr>
                <w:sz w:val="18"/>
              </w:rPr>
              <w:t>35</w:t>
            </w:r>
          </w:p>
          <w:p w14:paraId="46649E70" w14:textId="77777777" w:rsidR="00711D5F" w:rsidRDefault="00711D5F" w:rsidP="00612380">
            <w:pPr>
              <w:jc w:val="right"/>
              <w:rPr>
                <w:sz w:val="18"/>
              </w:rPr>
            </w:pPr>
            <w:r>
              <w:rPr>
                <w:sz w:val="18"/>
              </w:rPr>
              <w:t>110</w:t>
            </w:r>
          </w:p>
          <w:p w14:paraId="1D1F065B" w14:textId="77777777" w:rsidR="00711D5F" w:rsidRPr="00612380" w:rsidRDefault="00711D5F" w:rsidP="00612380">
            <w:pPr>
              <w:jc w:val="right"/>
              <w:rPr>
                <w:sz w:val="18"/>
              </w:rPr>
            </w:pPr>
            <w:r>
              <w:rPr>
                <w:sz w:val="18"/>
              </w:rPr>
              <w:t>260</w:t>
            </w:r>
          </w:p>
        </w:tc>
      </w:tr>
    </w:tbl>
    <w:p w14:paraId="1E3CEB0B" w14:textId="77777777" w:rsidR="00612380" w:rsidRPr="00612011" w:rsidRDefault="00612380" w:rsidP="00EE6C8B">
      <w:pPr>
        <w:spacing w:after="0" w:line="240" w:lineRule="auto"/>
        <w:ind w:left="360"/>
        <w:rPr>
          <w:rFonts w:eastAsia="Times New Roman" w:cs="Arial"/>
          <w:i/>
          <w:szCs w:val="24"/>
          <w:highlight w:val="yellow"/>
        </w:rPr>
      </w:pPr>
    </w:p>
    <w:p w14:paraId="2211C85C" w14:textId="77777777" w:rsidR="00306D8F" w:rsidRPr="008D3ACD" w:rsidRDefault="00306D8F" w:rsidP="00306D8F">
      <w:pPr>
        <w:pStyle w:val="ListParagraph"/>
        <w:numPr>
          <w:ilvl w:val="0"/>
          <w:numId w:val="13"/>
        </w:numPr>
        <w:spacing w:after="0" w:line="240" w:lineRule="auto"/>
        <w:rPr>
          <w:rFonts w:eastAsia="Times New Roman" w:cs="Arial"/>
          <w:i/>
          <w:color w:val="000000"/>
          <w:szCs w:val="24"/>
        </w:rPr>
      </w:pPr>
      <w:r w:rsidRPr="008D3ACD">
        <w:rPr>
          <w:rFonts w:eastAsia="Times New Roman" w:cs="Arial"/>
          <w:i/>
          <w:color w:val="000000"/>
          <w:szCs w:val="24"/>
        </w:rPr>
        <w:t>Infrastructure Access and Use Fee</w:t>
      </w:r>
    </w:p>
    <w:p w14:paraId="1F403037" w14:textId="77777777" w:rsidR="00306D8F" w:rsidRPr="008D3ACD" w:rsidRDefault="00306D8F" w:rsidP="00306D8F">
      <w:pPr>
        <w:spacing w:line="240" w:lineRule="auto"/>
        <w:contextualSpacing/>
        <w:rPr>
          <w:rFonts w:eastAsia="Times New Roman" w:cs="Arial"/>
          <w:color w:val="000000"/>
          <w:szCs w:val="24"/>
        </w:rPr>
      </w:pPr>
    </w:p>
    <w:p w14:paraId="7C8669B2" w14:textId="77777777" w:rsidR="00306D8F" w:rsidRPr="00A21526" w:rsidRDefault="00306D8F" w:rsidP="00306D8F">
      <w:pPr>
        <w:spacing w:line="240" w:lineRule="auto"/>
        <w:contextualSpacing/>
        <w:rPr>
          <w:rFonts w:eastAsia="Times New Roman" w:cs="Arial"/>
          <w:color w:val="000000"/>
          <w:szCs w:val="24"/>
        </w:rPr>
      </w:pPr>
      <w:r w:rsidRPr="008D3ACD">
        <w:rPr>
          <w:rFonts w:eastAsia="Times New Roman" w:cs="Arial"/>
          <w:color w:val="000000"/>
          <w:szCs w:val="24"/>
        </w:rPr>
        <w:t xml:space="preserve">The ESC’s Final Decision approved GMW’s revised proposal for a common Infrastructure Access and Use Fees </w:t>
      </w:r>
      <w:r w:rsidR="00A905B1" w:rsidRPr="008D3ACD">
        <w:rPr>
          <w:rFonts w:eastAsia="Times New Roman" w:cs="Arial"/>
          <w:color w:val="000000"/>
          <w:szCs w:val="24"/>
        </w:rPr>
        <w:t xml:space="preserve">for </w:t>
      </w:r>
      <w:r w:rsidRPr="008D3ACD">
        <w:rPr>
          <w:rFonts w:eastAsia="Times New Roman" w:cs="Arial"/>
          <w:color w:val="000000"/>
          <w:szCs w:val="24"/>
        </w:rPr>
        <w:t>the six irrigation areas (</w:t>
      </w:r>
      <w:r w:rsidR="00A905B1" w:rsidRPr="008D3ACD">
        <w:rPr>
          <w:rFonts w:eastAsia="Times New Roman" w:cs="Arial"/>
          <w:color w:val="000000"/>
          <w:szCs w:val="24"/>
        </w:rPr>
        <w:t xml:space="preserve">Shepparton, </w:t>
      </w:r>
      <w:r w:rsidRPr="008D3ACD">
        <w:rPr>
          <w:rFonts w:eastAsia="Times New Roman" w:cs="Arial"/>
          <w:color w:val="000000"/>
          <w:szCs w:val="24"/>
        </w:rPr>
        <w:t xml:space="preserve">Central Goulburn, Rochester, Loddon Valley, Murray </w:t>
      </w:r>
      <w:proofErr w:type="gramStart"/>
      <w:r w:rsidRPr="008D3ACD">
        <w:rPr>
          <w:rFonts w:eastAsia="Times New Roman" w:cs="Arial"/>
          <w:color w:val="000000"/>
          <w:szCs w:val="24"/>
        </w:rPr>
        <w:t>Valley</w:t>
      </w:r>
      <w:proofErr w:type="gramEnd"/>
      <w:r w:rsidRPr="008D3ACD">
        <w:rPr>
          <w:rFonts w:eastAsia="Times New Roman" w:cs="Arial"/>
          <w:color w:val="000000"/>
          <w:szCs w:val="24"/>
        </w:rPr>
        <w:t xml:space="preserve"> and Torrumbarry)</w:t>
      </w:r>
      <w:r w:rsidR="00A905B1" w:rsidRPr="008D3ACD">
        <w:rPr>
          <w:rFonts w:eastAsia="Times New Roman" w:cs="Arial"/>
          <w:color w:val="000000"/>
          <w:szCs w:val="24"/>
        </w:rPr>
        <w:t>.</w:t>
      </w:r>
      <w:r w:rsidRPr="008D3ACD">
        <w:rPr>
          <w:rFonts w:eastAsia="Times New Roman" w:cs="Arial"/>
          <w:color w:val="000000"/>
          <w:szCs w:val="24"/>
        </w:rPr>
        <w:t xml:space="preserve"> </w:t>
      </w:r>
      <w:r w:rsidRPr="008200F8">
        <w:rPr>
          <w:rFonts w:eastAsia="Times New Roman" w:cs="Arial"/>
          <w:color w:val="000000"/>
          <w:szCs w:val="24"/>
        </w:rPr>
        <w:t xml:space="preserve">In </w:t>
      </w:r>
      <w:r w:rsidR="001822D4" w:rsidRPr="001D4A98">
        <w:rPr>
          <w:rFonts w:eastAsia="Times New Roman" w:cs="Arial"/>
          <w:szCs w:val="24"/>
        </w:rPr>
        <w:t>202</w:t>
      </w:r>
      <w:r w:rsidR="008200F8" w:rsidRPr="001D4A98">
        <w:rPr>
          <w:rFonts w:eastAsia="Times New Roman" w:cs="Arial"/>
          <w:szCs w:val="24"/>
        </w:rPr>
        <w:t>3</w:t>
      </w:r>
      <w:r w:rsidR="001822D4" w:rsidRPr="001D4A98">
        <w:rPr>
          <w:rFonts w:eastAsia="Times New Roman" w:cs="Arial"/>
          <w:szCs w:val="24"/>
        </w:rPr>
        <w:t>/2</w:t>
      </w:r>
      <w:r w:rsidR="008200F8" w:rsidRPr="001D4A98">
        <w:rPr>
          <w:rFonts w:eastAsia="Times New Roman" w:cs="Arial"/>
          <w:szCs w:val="24"/>
        </w:rPr>
        <w:t>4</w:t>
      </w:r>
      <w:r w:rsidR="009E236E" w:rsidRPr="001D4A98">
        <w:rPr>
          <w:rFonts w:eastAsia="Times New Roman" w:cs="Arial"/>
          <w:color w:val="000000"/>
          <w:szCs w:val="24"/>
        </w:rPr>
        <w:t xml:space="preserve"> all areas will see an</w:t>
      </w:r>
      <w:r w:rsidR="002F0773" w:rsidRPr="001D4A98">
        <w:rPr>
          <w:rFonts w:eastAsia="Times New Roman" w:cs="Arial"/>
          <w:color w:val="000000"/>
          <w:szCs w:val="24"/>
        </w:rPr>
        <w:t xml:space="preserve"> increase of </w:t>
      </w:r>
      <w:r w:rsidR="00E86B79" w:rsidRPr="007644CF">
        <w:rPr>
          <w:rFonts w:eastAsia="Times New Roman" w:cs="Arial"/>
          <w:color w:val="000000"/>
          <w:szCs w:val="24"/>
        </w:rPr>
        <w:t>5.6</w:t>
      </w:r>
      <w:r w:rsidR="001D4A98" w:rsidRPr="007644CF">
        <w:rPr>
          <w:rFonts w:eastAsia="Times New Roman" w:cs="Arial"/>
          <w:color w:val="000000"/>
          <w:szCs w:val="24"/>
        </w:rPr>
        <w:t xml:space="preserve"> per cent</w:t>
      </w:r>
      <w:r w:rsidR="002F0773" w:rsidRPr="007644CF">
        <w:rPr>
          <w:rFonts w:eastAsia="Times New Roman" w:cs="Arial"/>
          <w:color w:val="000000"/>
          <w:szCs w:val="24"/>
        </w:rPr>
        <w:t xml:space="preserve"> </w:t>
      </w:r>
      <w:r w:rsidR="00FA1B0A" w:rsidRPr="007644CF">
        <w:rPr>
          <w:rFonts w:eastAsia="Times New Roman" w:cs="Arial"/>
          <w:color w:val="000000"/>
          <w:szCs w:val="24"/>
        </w:rPr>
        <w:t>o</w:t>
      </w:r>
      <w:r w:rsidRPr="007644CF">
        <w:rPr>
          <w:rFonts w:eastAsia="Times New Roman" w:cs="Arial"/>
          <w:color w:val="000000"/>
          <w:szCs w:val="24"/>
        </w:rPr>
        <w:t>n the Infrastructure</w:t>
      </w:r>
      <w:r w:rsidRPr="001D4A98">
        <w:rPr>
          <w:rFonts w:eastAsia="Times New Roman" w:cs="Arial"/>
          <w:color w:val="000000"/>
          <w:szCs w:val="24"/>
        </w:rPr>
        <w:t xml:space="preserve"> Access and Use Fees</w:t>
      </w:r>
      <w:r w:rsidR="002F0773" w:rsidRPr="001D4A98">
        <w:rPr>
          <w:rFonts w:eastAsia="Times New Roman" w:cs="Arial"/>
          <w:color w:val="000000"/>
          <w:szCs w:val="24"/>
        </w:rPr>
        <w:t>.</w:t>
      </w:r>
    </w:p>
    <w:p w14:paraId="4B91C8F3" w14:textId="77777777" w:rsidR="00306D8F" w:rsidRPr="00A21526" w:rsidRDefault="00306D8F" w:rsidP="00306D8F">
      <w:pPr>
        <w:spacing w:line="240" w:lineRule="auto"/>
        <w:contextualSpacing/>
        <w:rPr>
          <w:rFonts w:eastAsia="Times New Roman" w:cs="Arial"/>
          <w:color w:val="000000"/>
          <w:szCs w:val="24"/>
        </w:rPr>
      </w:pPr>
    </w:p>
    <w:p w14:paraId="32D6F2B6" w14:textId="77777777" w:rsidR="00306D8F" w:rsidRPr="008D3ACD" w:rsidRDefault="00306D8F" w:rsidP="00306D8F">
      <w:pPr>
        <w:pStyle w:val="ListParagraph"/>
        <w:numPr>
          <w:ilvl w:val="0"/>
          <w:numId w:val="13"/>
        </w:numPr>
        <w:spacing w:after="0" w:line="240" w:lineRule="auto"/>
        <w:rPr>
          <w:rFonts w:eastAsia="Times New Roman" w:cs="Arial"/>
          <w:i/>
          <w:color w:val="000000"/>
          <w:szCs w:val="24"/>
        </w:rPr>
      </w:pPr>
      <w:r w:rsidRPr="008D3ACD">
        <w:rPr>
          <w:rFonts w:eastAsia="Times New Roman" w:cs="Arial"/>
          <w:i/>
          <w:color w:val="000000"/>
          <w:szCs w:val="24"/>
        </w:rPr>
        <w:t>Drainage Tariff Charges</w:t>
      </w:r>
    </w:p>
    <w:p w14:paraId="7B2A0130" w14:textId="77777777" w:rsidR="00306D8F" w:rsidRPr="008D3ACD" w:rsidRDefault="00306D8F" w:rsidP="00306D8F">
      <w:pPr>
        <w:pStyle w:val="ListParagraph"/>
        <w:spacing w:after="0" w:line="240" w:lineRule="auto"/>
        <w:rPr>
          <w:rFonts w:eastAsia="Times New Roman" w:cs="Arial"/>
          <w:i/>
          <w:color w:val="000000"/>
          <w:szCs w:val="24"/>
        </w:rPr>
      </w:pPr>
    </w:p>
    <w:p w14:paraId="157C7CCF" w14:textId="77777777" w:rsidR="007C3985" w:rsidRPr="008D3ACD" w:rsidRDefault="007C3985" w:rsidP="00306D8F">
      <w:pPr>
        <w:pStyle w:val="ListParagraph"/>
        <w:spacing w:after="0" w:line="240" w:lineRule="auto"/>
        <w:rPr>
          <w:rFonts w:eastAsia="Times New Roman" w:cs="Arial"/>
          <w:i/>
          <w:color w:val="000000"/>
          <w:szCs w:val="24"/>
        </w:rPr>
      </w:pPr>
    </w:p>
    <w:p w14:paraId="63CCDA1A" w14:textId="77777777" w:rsidR="00306D8F" w:rsidRPr="003C59F1" w:rsidRDefault="00306D8F" w:rsidP="00306D8F">
      <w:pPr>
        <w:spacing w:line="240" w:lineRule="auto"/>
        <w:contextualSpacing/>
        <w:rPr>
          <w:rFonts w:eastAsia="Times New Roman" w:cs="Arial"/>
          <w:color w:val="000000"/>
          <w:szCs w:val="24"/>
        </w:rPr>
      </w:pPr>
      <w:r w:rsidRPr="003C59F1">
        <w:rPr>
          <w:rFonts w:eastAsia="Times New Roman" w:cs="Arial"/>
          <w:color w:val="000000"/>
          <w:szCs w:val="24"/>
        </w:rPr>
        <w:t>GMW’s drainage prices retain the current tariff structure for the regulatory period. Review and customer consultation of the drainage tariffs is continuing prior to the next price review in 202</w:t>
      </w:r>
      <w:r w:rsidR="00A905B1" w:rsidRPr="003C59F1">
        <w:rPr>
          <w:rFonts w:eastAsia="Times New Roman" w:cs="Arial"/>
          <w:color w:val="000000"/>
          <w:szCs w:val="24"/>
        </w:rPr>
        <w:t>4</w:t>
      </w:r>
      <w:r w:rsidRPr="003C59F1">
        <w:rPr>
          <w:rFonts w:eastAsia="Times New Roman" w:cs="Arial"/>
          <w:color w:val="000000"/>
          <w:szCs w:val="24"/>
        </w:rPr>
        <w:t>.</w:t>
      </w:r>
    </w:p>
    <w:p w14:paraId="44D80D88" w14:textId="77777777" w:rsidR="00306D8F" w:rsidRPr="00A00214" w:rsidRDefault="00306D8F" w:rsidP="00306D8F">
      <w:pPr>
        <w:spacing w:line="240" w:lineRule="auto"/>
        <w:contextualSpacing/>
        <w:rPr>
          <w:rFonts w:eastAsia="Times New Roman" w:cs="Arial"/>
          <w:color w:val="000000"/>
          <w:szCs w:val="24"/>
          <w:highlight w:val="yellow"/>
        </w:rPr>
      </w:pPr>
    </w:p>
    <w:p w14:paraId="2F8BFE70" w14:textId="77777777" w:rsidR="00306D8F" w:rsidRPr="00A21526" w:rsidRDefault="002F0231" w:rsidP="00306D8F">
      <w:pPr>
        <w:spacing w:line="240" w:lineRule="auto"/>
        <w:contextualSpacing/>
        <w:rPr>
          <w:rFonts w:eastAsia="Times New Roman" w:cs="Arial"/>
          <w:color w:val="000000"/>
          <w:szCs w:val="24"/>
        </w:rPr>
      </w:pPr>
      <w:r w:rsidRPr="003732E4">
        <w:rPr>
          <w:rFonts w:eastAsia="Times New Roman" w:cs="Arial"/>
          <w:color w:val="000000"/>
          <w:szCs w:val="24"/>
        </w:rPr>
        <w:t xml:space="preserve">All drainage </w:t>
      </w:r>
      <w:r w:rsidR="00FE5A80" w:rsidRPr="003732E4">
        <w:rPr>
          <w:rFonts w:eastAsia="Times New Roman" w:cs="Arial"/>
          <w:color w:val="000000"/>
          <w:szCs w:val="24"/>
        </w:rPr>
        <w:t xml:space="preserve">area </w:t>
      </w:r>
      <w:r w:rsidR="00A33822" w:rsidRPr="003732E4">
        <w:rPr>
          <w:rFonts w:eastAsia="Times New Roman" w:cs="Arial"/>
          <w:color w:val="000000"/>
          <w:szCs w:val="24"/>
        </w:rPr>
        <w:t xml:space="preserve">fees </w:t>
      </w:r>
      <w:r w:rsidR="00FE5A80" w:rsidRPr="003732E4">
        <w:rPr>
          <w:rFonts w:eastAsia="Times New Roman" w:cs="Arial"/>
          <w:color w:val="000000"/>
          <w:szCs w:val="24"/>
        </w:rPr>
        <w:t xml:space="preserve">will </w:t>
      </w:r>
      <w:r w:rsidR="00FE5A80" w:rsidRPr="007644CF">
        <w:rPr>
          <w:rFonts w:eastAsia="Times New Roman" w:cs="Arial"/>
          <w:color w:val="000000"/>
          <w:szCs w:val="24"/>
        </w:rPr>
        <w:t>see a</w:t>
      </w:r>
      <w:r w:rsidR="00490384" w:rsidRPr="007644CF">
        <w:rPr>
          <w:rFonts w:eastAsia="Times New Roman" w:cs="Arial"/>
          <w:color w:val="000000"/>
          <w:szCs w:val="24"/>
        </w:rPr>
        <w:t>n</w:t>
      </w:r>
      <w:r w:rsidR="00FE5A80" w:rsidRPr="007644CF">
        <w:rPr>
          <w:rFonts w:eastAsia="Times New Roman" w:cs="Arial"/>
          <w:color w:val="000000"/>
          <w:szCs w:val="24"/>
        </w:rPr>
        <w:t xml:space="preserve"> </w:t>
      </w:r>
      <w:r w:rsidR="00490384" w:rsidRPr="007644CF">
        <w:rPr>
          <w:rFonts w:eastAsia="Times New Roman" w:cs="Arial"/>
          <w:color w:val="000000"/>
          <w:szCs w:val="24"/>
        </w:rPr>
        <w:t>8</w:t>
      </w:r>
      <w:r w:rsidR="004C7A87" w:rsidRPr="007644CF">
        <w:rPr>
          <w:rFonts w:eastAsia="Times New Roman" w:cs="Arial"/>
          <w:color w:val="000000"/>
          <w:szCs w:val="24"/>
        </w:rPr>
        <w:t xml:space="preserve"> per cent</w:t>
      </w:r>
      <w:r w:rsidR="009E236E" w:rsidRPr="007644CF">
        <w:rPr>
          <w:rFonts w:eastAsia="Times New Roman" w:cs="Arial"/>
          <w:color w:val="000000"/>
          <w:szCs w:val="24"/>
        </w:rPr>
        <w:t xml:space="preserve"> </w:t>
      </w:r>
      <w:r w:rsidRPr="007644CF">
        <w:rPr>
          <w:rFonts w:eastAsia="Times New Roman" w:cs="Arial"/>
          <w:color w:val="000000"/>
          <w:szCs w:val="24"/>
        </w:rPr>
        <w:t>increase</w:t>
      </w:r>
      <w:r w:rsidRPr="003732E4">
        <w:rPr>
          <w:rFonts w:eastAsia="Times New Roman" w:cs="Arial"/>
          <w:color w:val="000000"/>
          <w:szCs w:val="24"/>
        </w:rPr>
        <w:t xml:space="preserve"> in 202</w:t>
      </w:r>
      <w:r w:rsidR="00D55631" w:rsidRPr="003732E4">
        <w:rPr>
          <w:rFonts w:eastAsia="Times New Roman" w:cs="Arial"/>
          <w:color w:val="000000"/>
          <w:szCs w:val="24"/>
        </w:rPr>
        <w:t>3</w:t>
      </w:r>
      <w:r w:rsidR="00850200" w:rsidRPr="003732E4">
        <w:rPr>
          <w:rFonts w:eastAsia="Times New Roman" w:cs="Arial"/>
          <w:color w:val="000000"/>
          <w:szCs w:val="24"/>
        </w:rPr>
        <w:t>/</w:t>
      </w:r>
      <w:r w:rsidRPr="003732E4">
        <w:rPr>
          <w:rFonts w:eastAsia="Times New Roman" w:cs="Arial"/>
          <w:color w:val="000000"/>
          <w:szCs w:val="24"/>
        </w:rPr>
        <w:t>2</w:t>
      </w:r>
      <w:r w:rsidR="00D55631" w:rsidRPr="003732E4">
        <w:rPr>
          <w:rFonts w:eastAsia="Times New Roman" w:cs="Arial"/>
          <w:color w:val="000000"/>
          <w:szCs w:val="24"/>
        </w:rPr>
        <w:t>4</w:t>
      </w:r>
      <w:r w:rsidR="00FE5A80" w:rsidRPr="003732E4">
        <w:rPr>
          <w:rFonts w:eastAsia="Times New Roman" w:cs="Arial"/>
          <w:color w:val="000000"/>
          <w:szCs w:val="24"/>
        </w:rPr>
        <w:t xml:space="preserve"> while the water use fees will be held a</w:t>
      </w:r>
      <w:r w:rsidR="005A6364" w:rsidRPr="003732E4">
        <w:rPr>
          <w:rFonts w:eastAsia="Times New Roman" w:cs="Arial"/>
          <w:color w:val="000000"/>
          <w:szCs w:val="24"/>
        </w:rPr>
        <w:t xml:space="preserve">t </w:t>
      </w:r>
      <w:r w:rsidR="00FE5A80" w:rsidRPr="003732E4">
        <w:rPr>
          <w:rFonts w:eastAsia="Times New Roman" w:cs="Arial"/>
          <w:color w:val="000000"/>
          <w:szCs w:val="24"/>
        </w:rPr>
        <w:t>the</w:t>
      </w:r>
      <w:r w:rsidR="009E46B0" w:rsidRPr="003732E4">
        <w:rPr>
          <w:rFonts w:eastAsia="Times New Roman" w:cs="Arial"/>
          <w:color w:val="000000"/>
          <w:szCs w:val="24"/>
        </w:rPr>
        <w:t>ir</w:t>
      </w:r>
      <w:r w:rsidR="00FE5A80" w:rsidRPr="003732E4">
        <w:rPr>
          <w:rFonts w:eastAsia="Times New Roman" w:cs="Arial"/>
          <w:color w:val="000000"/>
          <w:szCs w:val="24"/>
        </w:rPr>
        <w:t xml:space="preserve"> 2022/</w:t>
      </w:r>
      <w:r w:rsidR="009E46B0" w:rsidRPr="003732E4">
        <w:rPr>
          <w:rFonts w:eastAsia="Times New Roman" w:cs="Arial"/>
          <w:color w:val="000000"/>
          <w:szCs w:val="24"/>
        </w:rPr>
        <w:t>2</w:t>
      </w:r>
      <w:r w:rsidR="00FE5A80" w:rsidRPr="003732E4">
        <w:rPr>
          <w:rFonts w:eastAsia="Times New Roman" w:cs="Arial"/>
          <w:color w:val="000000"/>
          <w:szCs w:val="24"/>
        </w:rPr>
        <w:t>3</w:t>
      </w:r>
      <w:r w:rsidR="009E46B0" w:rsidRPr="003732E4">
        <w:rPr>
          <w:rFonts w:eastAsia="Times New Roman" w:cs="Arial"/>
          <w:color w:val="000000"/>
          <w:szCs w:val="24"/>
        </w:rPr>
        <w:t xml:space="preserve"> price</w:t>
      </w:r>
      <w:r w:rsidR="009E236E" w:rsidRPr="003732E4">
        <w:rPr>
          <w:rFonts w:eastAsia="Times New Roman" w:cs="Arial"/>
          <w:color w:val="000000"/>
          <w:szCs w:val="24"/>
        </w:rPr>
        <w:t>.</w:t>
      </w:r>
    </w:p>
    <w:p w14:paraId="28ACD4F9" w14:textId="77777777" w:rsidR="00306D8F" w:rsidRPr="00612011" w:rsidRDefault="00306D8F" w:rsidP="00306D8F">
      <w:pPr>
        <w:spacing w:line="240" w:lineRule="auto"/>
        <w:rPr>
          <w:rFonts w:eastAsia="Times New Roman" w:cs="Arial"/>
          <w:szCs w:val="24"/>
          <w:highlight w:val="yellow"/>
          <w:u w:val="single"/>
        </w:rPr>
      </w:pPr>
    </w:p>
    <w:p w14:paraId="09731679" w14:textId="77777777" w:rsidR="00412970" w:rsidRPr="008D3ACD" w:rsidRDefault="00306D8F" w:rsidP="00412970">
      <w:pPr>
        <w:pStyle w:val="ListParagraph"/>
        <w:keepNext/>
        <w:numPr>
          <w:ilvl w:val="0"/>
          <w:numId w:val="13"/>
        </w:numPr>
        <w:spacing w:after="0" w:line="240" w:lineRule="auto"/>
        <w:rPr>
          <w:rFonts w:eastAsia="Times New Roman" w:cs="Arial"/>
          <w:szCs w:val="24"/>
        </w:rPr>
      </w:pPr>
      <w:r w:rsidRPr="008D3ACD">
        <w:rPr>
          <w:rFonts w:eastAsia="Times New Roman" w:cs="Arial"/>
          <w:i/>
          <w:szCs w:val="24"/>
        </w:rPr>
        <w:t xml:space="preserve">Diversion </w:t>
      </w:r>
      <w:r w:rsidR="00412970" w:rsidRPr="008D3ACD">
        <w:rPr>
          <w:rFonts w:eastAsia="Times New Roman" w:cs="Arial"/>
          <w:i/>
          <w:szCs w:val="24"/>
        </w:rPr>
        <w:t xml:space="preserve">Access Fees </w:t>
      </w:r>
    </w:p>
    <w:p w14:paraId="1F31D469" w14:textId="77777777" w:rsidR="00412970" w:rsidRPr="00612011" w:rsidRDefault="00412970" w:rsidP="00412970">
      <w:pPr>
        <w:keepNext/>
        <w:spacing w:after="0" w:line="240" w:lineRule="auto"/>
        <w:rPr>
          <w:rFonts w:eastAsia="Times New Roman" w:cs="Arial"/>
          <w:szCs w:val="24"/>
          <w:highlight w:val="yellow"/>
        </w:rPr>
      </w:pPr>
    </w:p>
    <w:p w14:paraId="55AE7950" w14:textId="77777777" w:rsidR="002F0773" w:rsidRPr="00A21526" w:rsidRDefault="002F0773" w:rsidP="00412970">
      <w:pPr>
        <w:keepNext/>
        <w:spacing w:after="0" w:line="240" w:lineRule="auto"/>
        <w:rPr>
          <w:rFonts w:eastAsia="Times New Roman" w:cs="Arial"/>
          <w:szCs w:val="24"/>
        </w:rPr>
      </w:pPr>
      <w:r w:rsidRPr="00A00214">
        <w:rPr>
          <w:rFonts w:eastAsia="Times New Roman" w:cs="Arial"/>
          <w:szCs w:val="24"/>
        </w:rPr>
        <w:t xml:space="preserve">All </w:t>
      </w:r>
      <w:r w:rsidR="009E236E" w:rsidRPr="00A00214">
        <w:rPr>
          <w:rFonts w:eastAsia="Times New Roman" w:cs="Arial"/>
          <w:szCs w:val="24"/>
        </w:rPr>
        <w:t xml:space="preserve">Diversion </w:t>
      </w:r>
      <w:r w:rsidRPr="00A00214">
        <w:rPr>
          <w:rFonts w:eastAsia="Times New Roman" w:cs="Arial"/>
          <w:szCs w:val="24"/>
        </w:rPr>
        <w:t xml:space="preserve">access fees will </w:t>
      </w:r>
      <w:r w:rsidR="00A00214" w:rsidRPr="007644CF">
        <w:rPr>
          <w:rFonts w:eastAsia="Times New Roman" w:cs="Arial"/>
          <w:szCs w:val="24"/>
        </w:rPr>
        <w:t>increase b</w:t>
      </w:r>
      <w:r w:rsidR="000D5D69">
        <w:rPr>
          <w:rFonts w:eastAsia="Times New Roman" w:cs="Arial"/>
          <w:szCs w:val="24"/>
        </w:rPr>
        <w:t>etween</w:t>
      </w:r>
      <w:r w:rsidR="00A00214" w:rsidRPr="007644CF">
        <w:rPr>
          <w:rFonts w:eastAsia="Times New Roman" w:cs="Arial"/>
          <w:szCs w:val="24"/>
        </w:rPr>
        <w:t xml:space="preserve"> </w:t>
      </w:r>
      <w:r w:rsidR="000D5D69">
        <w:rPr>
          <w:rFonts w:eastAsia="Times New Roman" w:cs="Arial"/>
          <w:szCs w:val="24"/>
        </w:rPr>
        <w:t>4.8 to 5.8</w:t>
      </w:r>
      <w:r w:rsidR="00A00214" w:rsidRPr="007644CF">
        <w:rPr>
          <w:rFonts w:eastAsia="Times New Roman" w:cs="Arial"/>
          <w:szCs w:val="24"/>
        </w:rPr>
        <w:t xml:space="preserve"> per cent </w:t>
      </w:r>
      <w:r w:rsidR="00D55631" w:rsidRPr="007644CF">
        <w:rPr>
          <w:rFonts w:eastAsia="Times New Roman" w:cs="Arial"/>
          <w:szCs w:val="24"/>
        </w:rPr>
        <w:t>for</w:t>
      </w:r>
      <w:r w:rsidR="00D55631" w:rsidRPr="00A00214">
        <w:rPr>
          <w:rFonts w:eastAsia="Times New Roman" w:cs="Arial"/>
          <w:szCs w:val="24"/>
        </w:rPr>
        <w:t xml:space="preserve"> 2023</w:t>
      </w:r>
      <w:r w:rsidR="00850200" w:rsidRPr="00A00214">
        <w:rPr>
          <w:rFonts w:eastAsia="Times New Roman" w:cs="Arial"/>
          <w:szCs w:val="24"/>
        </w:rPr>
        <w:t>/</w:t>
      </w:r>
      <w:r w:rsidR="00D55631" w:rsidRPr="00A00214">
        <w:rPr>
          <w:rFonts w:eastAsia="Times New Roman" w:cs="Arial"/>
          <w:szCs w:val="24"/>
        </w:rPr>
        <w:t>24</w:t>
      </w:r>
      <w:r w:rsidRPr="00A00214">
        <w:rPr>
          <w:rFonts w:eastAsia="Times New Roman" w:cs="Arial"/>
          <w:szCs w:val="24"/>
        </w:rPr>
        <w:t>.</w:t>
      </w:r>
    </w:p>
    <w:p w14:paraId="2170E29B" w14:textId="77777777" w:rsidR="002F0773" w:rsidRPr="00612011" w:rsidRDefault="002F0773" w:rsidP="002F0773">
      <w:pPr>
        <w:keepNext/>
        <w:spacing w:after="0" w:line="240" w:lineRule="auto"/>
        <w:ind w:left="360"/>
        <w:rPr>
          <w:rFonts w:eastAsia="Times New Roman" w:cs="Arial"/>
          <w:szCs w:val="24"/>
          <w:highlight w:val="yellow"/>
        </w:rPr>
      </w:pPr>
    </w:p>
    <w:p w14:paraId="02B22768" w14:textId="77777777" w:rsidR="00306D8F" w:rsidRPr="008D3ACD" w:rsidRDefault="00A317C1" w:rsidP="00306D8F">
      <w:pPr>
        <w:spacing w:line="240" w:lineRule="auto"/>
        <w:rPr>
          <w:rFonts w:eastAsia="Times New Roman" w:cs="Arial"/>
          <w:szCs w:val="24"/>
          <w:u w:val="single"/>
        </w:rPr>
      </w:pPr>
      <w:r w:rsidRPr="008D3ACD">
        <w:rPr>
          <w:rFonts w:eastAsia="Times New Roman" w:cs="Arial"/>
          <w:szCs w:val="24"/>
          <w:u w:val="single"/>
        </w:rPr>
        <w:t xml:space="preserve">Pumped Irrigation and Water Districts </w:t>
      </w:r>
      <w:r w:rsidR="00306D8F" w:rsidRPr="008D3ACD">
        <w:rPr>
          <w:rFonts w:eastAsia="Times New Roman" w:cs="Arial"/>
          <w:szCs w:val="24"/>
          <w:u w:val="single"/>
        </w:rPr>
        <w:t xml:space="preserve"> </w:t>
      </w:r>
    </w:p>
    <w:p w14:paraId="079E851F" w14:textId="77777777" w:rsidR="00BE2001" w:rsidRDefault="00BE2001" w:rsidP="00BF39B8">
      <w:pPr>
        <w:spacing w:line="240" w:lineRule="auto"/>
        <w:rPr>
          <w:rFonts w:cs="Arial"/>
        </w:rPr>
      </w:pPr>
      <w:r w:rsidRPr="00BF39B8">
        <w:rPr>
          <w:rFonts w:eastAsia="Times New Roman" w:cs="Arial"/>
          <w:szCs w:val="24"/>
        </w:rPr>
        <w:t xml:space="preserve">Infrastructure Access Fees in </w:t>
      </w:r>
      <w:r w:rsidR="00BF39B8">
        <w:rPr>
          <w:rFonts w:eastAsia="Times New Roman" w:cs="Arial"/>
          <w:szCs w:val="24"/>
        </w:rPr>
        <w:t xml:space="preserve">the Pumped irrigation services and Water Districts </w:t>
      </w:r>
      <w:r w:rsidRPr="00BF39B8">
        <w:rPr>
          <w:rFonts w:eastAsia="Times New Roman" w:cs="Arial"/>
          <w:szCs w:val="24"/>
        </w:rPr>
        <w:t xml:space="preserve">are being held </w:t>
      </w:r>
      <w:r w:rsidR="00BF39B8">
        <w:rPr>
          <w:rFonts w:eastAsia="Times New Roman" w:cs="Arial"/>
          <w:szCs w:val="24"/>
        </w:rPr>
        <w:t xml:space="preserve">at their </w:t>
      </w:r>
      <w:r w:rsidR="009E46B0">
        <w:rPr>
          <w:rFonts w:eastAsia="Times New Roman" w:cs="Arial"/>
          <w:szCs w:val="24"/>
        </w:rPr>
        <w:t>20</w:t>
      </w:r>
      <w:r w:rsidR="00BF39B8">
        <w:rPr>
          <w:rFonts w:eastAsia="Times New Roman" w:cs="Arial"/>
          <w:szCs w:val="24"/>
        </w:rPr>
        <w:t xml:space="preserve">22/23 price </w:t>
      </w:r>
      <w:r w:rsidRPr="00BF39B8">
        <w:rPr>
          <w:rFonts w:eastAsia="Times New Roman" w:cs="Arial"/>
          <w:szCs w:val="24"/>
        </w:rPr>
        <w:t xml:space="preserve">in 2023/24 and not decreasing as planned in the 2020 Pricing Submission, this is due to higher costs than originally forecasted. This is however within the rebalancing constraints </w:t>
      </w:r>
      <w:r w:rsidRPr="00BF39B8">
        <w:rPr>
          <w:rFonts w:cs="Arial"/>
        </w:rPr>
        <w:t>set by the ESC Determination.</w:t>
      </w:r>
    </w:p>
    <w:p w14:paraId="67659C8D" w14:textId="77777777" w:rsidR="00BE2001" w:rsidRPr="00A966D2" w:rsidRDefault="00BF39B8" w:rsidP="00BE2001">
      <w:pPr>
        <w:spacing w:line="240" w:lineRule="auto"/>
        <w:rPr>
          <w:rFonts w:eastAsia="Times New Roman" w:cs="Arial"/>
          <w:szCs w:val="24"/>
        </w:rPr>
      </w:pPr>
      <w:r w:rsidRPr="00BF39B8">
        <w:rPr>
          <w:rFonts w:cs="Arial"/>
        </w:rPr>
        <w:t xml:space="preserve">The Infrastructure Access </w:t>
      </w:r>
      <w:r w:rsidR="004C7A87" w:rsidRPr="00BF39B8">
        <w:rPr>
          <w:rFonts w:cs="Arial"/>
        </w:rPr>
        <w:t xml:space="preserve">Fees are increasing in West Loddon and East Loddon North </w:t>
      </w:r>
      <w:r w:rsidR="004C7A87" w:rsidRPr="00F354EA">
        <w:rPr>
          <w:rFonts w:cs="Arial"/>
        </w:rPr>
        <w:t xml:space="preserve">by </w:t>
      </w:r>
      <w:r w:rsidR="00E86B79" w:rsidRPr="00F354EA">
        <w:rPr>
          <w:rFonts w:cs="Arial"/>
        </w:rPr>
        <w:t>5.6</w:t>
      </w:r>
      <w:r w:rsidR="004C7A87" w:rsidRPr="00F354EA">
        <w:rPr>
          <w:rFonts w:cs="Arial"/>
        </w:rPr>
        <w:t xml:space="preserve"> per cent for 2023/24. </w:t>
      </w:r>
      <w:r w:rsidR="00F354EA" w:rsidRPr="00F354EA">
        <w:rPr>
          <w:rFonts w:cs="Arial"/>
        </w:rPr>
        <w:t>Mitiamo will see an increase of 8.2</w:t>
      </w:r>
      <w:r w:rsidR="00F354EA">
        <w:rPr>
          <w:rFonts w:cs="Arial"/>
        </w:rPr>
        <w:t xml:space="preserve"> per cent due to a drop in capacity shares from the original business case of the pipeline. This is however within the rebalancing constraints.</w:t>
      </w:r>
    </w:p>
    <w:p w14:paraId="4033B716" w14:textId="77777777" w:rsidR="00D05C9A" w:rsidRPr="00A00214" w:rsidRDefault="00BE2001" w:rsidP="00306D8F">
      <w:pPr>
        <w:spacing w:line="240" w:lineRule="auto"/>
        <w:rPr>
          <w:rFonts w:eastAsia="Times New Roman" w:cs="Arial"/>
          <w:szCs w:val="24"/>
        </w:rPr>
      </w:pPr>
      <w:r w:rsidRPr="003C59F1">
        <w:rPr>
          <w:rFonts w:eastAsia="Times New Roman" w:cs="Arial"/>
          <w:szCs w:val="24"/>
        </w:rPr>
        <w:t xml:space="preserve">Adjustments to </w:t>
      </w:r>
      <w:r w:rsidR="00306D8F" w:rsidRPr="003C59F1">
        <w:rPr>
          <w:rFonts w:eastAsia="Times New Roman" w:cs="Arial"/>
          <w:szCs w:val="24"/>
        </w:rPr>
        <w:t xml:space="preserve">prices for </w:t>
      </w:r>
      <w:r w:rsidR="00A317C1" w:rsidRPr="003C59F1">
        <w:rPr>
          <w:rFonts w:eastAsia="Times New Roman" w:cs="Arial"/>
          <w:szCs w:val="24"/>
        </w:rPr>
        <w:t>P</w:t>
      </w:r>
      <w:r w:rsidR="00306D8F" w:rsidRPr="003C59F1">
        <w:rPr>
          <w:rFonts w:eastAsia="Times New Roman" w:cs="Arial"/>
          <w:szCs w:val="24"/>
        </w:rPr>
        <w:t xml:space="preserve">umped </w:t>
      </w:r>
      <w:r w:rsidR="00A317C1" w:rsidRPr="003C59F1">
        <w:rPr>
          <w:rFonts w:eastAsia="Times New Roman" w:cs="Arial"/>
          <w:szCs w:val="24"/>
        </w:rPr>
        <w:t>I</w:t>
      </w:r>
      <w:r w:rsidR="00306D8F" w:rsidRPr="003C59F1">
        <w:rPr>
          <w:rFonts w:eastAsia="Times New Roman" w:cs="Arial"/>
          <w:szCs w:val="24"/>
        </w:rPr>
        <w:t>rrigation</w:t>
      </w:r>
      <w:r w:rsidR="00A317C1" w:rsidRPr="003C59F1">
        <w:rPr>
          <w:rFonts w:eastAsia="Times New Roman" w:cs="Arial"/>
          <w:szCs w:val="24"/>
        </w:rPr>
        <w:t xml:space="preserve"> and Water Districts</w:t>
      </w:r>
      <w:r w:rsidR="00306D8F" w:rsidRPr="003C59F1">
        <w:rPr>
          <w:rFonts w:eastAsia="Times New Roman" w:cs="Arial"/>
          <w:szCs w:val="24"/>
        </w:rPr>
        <w:t xml:space="preserve">, as with other customer groups, are made </w:t>
      </w:r>
      <w:proofErr w:type="gramStart"/>
      <w:r w:rsidR="00306D8F" w:rsidRPr="003C59F1">
        <w:rPr>
          <w:rFonts w:eastAsia="Times New Roman" w:cs="Arial"/>
          <w:szCs w:val="24"/>
        </w:rPr>
        <w:t>with regard to</w:t>
      </w:r>
      <w:proofErr w:type="gramEnd"/>
      <w:r w:rsidR="00306D8F" w:rsidRPr="003C59F1">
        <w:rPr>
          <w:rFonts w:eastAsia="Times New Roman" w:cs="Arial"/>
          <w:szCs w:val="24"/>
        </w:rPr>
        <w:t xml:space="preserve"> the ACCC pricing principles including that fixed costs should be recovered from fixed charges and variable costs from variable charges.</w:t>
      </w:r>
    </w:p>
    <w:p w14:paraId="1B03AACD" w14:textId="77777777" w:rsidR="00306D8F" w:rsidRPr="00A966D2" w:rsidRDefault="002528A8" w:rsidP="00306D8F">
      <w:pPr>
        <w:spacing w:line="240" w:lineRule="auto"/>
        <w:rPr>
          <w:rFonts w:eastAsia="Times New Roman" w:cs="Arial"/>
          <w:szCs w:val="24"/>
        </w:rPr>
      </w:pPr>
      <w:r w:rsidRPr="003C59F1">
        <w:rPr>
          <w:rFonts w:eastAsia="Times New Roman" w:cs="Arial"/>
          <w:szCs w:val="24"/>
        </w:rPr>
        <w:t xml:space="preserve">In the </w:t>
      </w:r>
      <w:r w:rsidR="00F44059" w:rsidRPr="003C59F1">
        <w:rPr>
          <w:rFonts w:eastAsia="Times New Roman" w:cs="Arial"/>
          <w:szCs w:val="24"/>
        </w:rPr>
        <w:t>2020,</w:t>
      </w:r>
      <w:r w:rsidRPr="003C59F1">
        <w:rPr>
          <w:rFonts w:eastAsia="Times New Roman" w:cs="Arial"/>
          <w:szCs w:val="24"/>
        </w:rPr>
        <w:t xml:space="preserve"> Pricing Submission there was </w:t>
      </w:r>
      <w:r w:rsidR="00D569F5" w:rsidRPr="003C59F1">
        <w:rPr>
          <w:rFonts w:eastAsia="Times New Roman" w:cs="Arial"/>
          <w:szCs w:val="24"/>
        </w:rPr>
        <w:t xml:space="preserve">inadequate resources </w:t>
      </w:r>
      <w:r w:rsidRPr="003C59F1">
        <w:rPr>
          <w:rFonts w:eastAsia="Times New Roman" w:cs="Arial"/>
          <w:szCs w:val="24"/>
        </w:rPr>
        <w:t xml:space="preserve">allocated to adequately service and maintain the Water Districts. By allocating the extra resources, GMW will prevent major issues that are more expensive and time consuming to fix in the long </w:t>
      </w:r>
      <w:r w:rsidR="00A14E00" w:rsidRPr="003C59F1">
        <w:rPr>
          <w:rFonts w:eastAsia="Times New Roman" w:cs="Arial"/>
          <w:szCs w:val="24"/>
        </w:rPr>
        <w:t>term,</w:t>
      </w:r>
      <w:r w:rsidR="0079141D" w:rsidRPr="003C59F1">
        <w:rPr>
          <w:rFonts w:eastAsia="Times New Roman" w:cs="Arial"/>
          <w:szCs w:val="24"/>
        </w:rPr>
        <w:t xml:space="preserve"> ensuring prices remain stable into the next </w:t>
      </w:r>
      <w:r w:rsidR="00D569F5" w:rsidRPr="003C59F1">
        <w:rPr>
          <w:rFonts w:eastAsia="Times New Roman" w:cs="Arial"/>
          <w:szCs w:val="24"/>
        </w:rPr>
        <w:t>P</w:t>
      </w:r>
      <w:r w:rsidR="0079141D" w:rsidRPr="003C59F1">
        <w:rPr>
          <w:rFonts w:eastAsia="Times New Roman" w:cs="Arial"/>
          <w:szCs w:val="24"/>
        </w:rPr>
        <w:t xml:space="preserve">ricing </w:t>
      </w:r>
      <w:r w:rsidR="00D569F5" w:rsidRPr="003C59F1">
        <w:rPr>
          <w:rFonts w:eastAsia="Times New Roman" w:cs="Arial"/>
          <w:szCs w:val="24"/>
        </w:rPr>
        <w:t>S</w:t>
      </w:r>
      <w:r w:rsidR="0079141D" w:rsidRPr="003C59F1">
        <w:rPr>
          <w:rFonts w:eastAsia="Times New Roman" w:cs="Arial"/>
          <w:szCs w:val="24"/>
        </w:rPr>
        <w:t>ubmission</w:t>
      </w:r>
      <w:r w:rsidRPr="003C59F1">
        <w:rPr>
          <w:rFonts w:eastAsia="Times New Roman" w:cs="Arial"/>
          <w:szCs w:val="24"/>
        </w:rPr>
        <w:t>.</w:t>
      </w:r>
      <w:r w:rsidR="00A966D2" w:rsidRPr="003C59F1">
        <w:rPr>
          <w:rFonts w:eastAsia="Times New Roman" w:cs="Arial"/>
          <w:szCs w:val="24"/>
        </w:rPr>
        <w:t xml:space="preserve"> This in turn allows for preventive works such as flushing lines and scouring valves to ensure Pipelines are running smoothly.</w:t>
      </w:r>
      <w:r w:rsidR="00A966D2" w:rsidRPr="00A966D2">
        <w:rPr>
          <w:rFonts w:eastAsia="Times New Roman" w:cs="Arial"/>
          <w:szCs w:val="24"/>
        </w:rPr>
        <w:t xml:space="preserve"> </w:t>
      </w:r>
    </w:p>
    <w:p w14:paraId="76BC2BD9" w14:textId="77777777" w:rsidR="00306D8F" w:rsidRPr="008D3ACD" w:rsidRDefault="00306D8F" w:rsidP="00306D8F">
      <w:pPr>
        <w:spacing w:after="0" w:line="240" w:lineRule="auto"/>
        <w:rPr>
          <w:rFonts w:cs="Arial"/>
          <w:color w:val="000000"/>
          <w:u w:val="single"/>
        </w:rPr>
      </w:pPr>
      <w:r w:rsidRPr="008D3ACD">
        <w:rPr>
          <w:rFonts w:cs="Arial"/>
          <w:color w:val="000000"/>
          <w:u w:val="single"/>
        </w:rPr>
        <w:lastRenderedPageBreak/>
        <w:t>Miscellaneous Charges</w:t>
      </w:r>
    </w:p>
    <w:p w14:paraId="2BEB1892" w14:textId="77777777" w:rsidR="00306D8F" w:rsidRPr="00612011" w:rsidRDefault="00306D8F" w:rsidP="00306D8F">
      <w:pPr>
        <w:spacing w:after="0" w:line="240" w:lineRule="auto"/>
        <w:rPr>
          <w:rFonts w:cs="Arial"/>
          <w:color w:val="000000"/>
          <w:highlight w:val="yellow"/>
          <w:u w:val="single"/>
        </w:rPr>
      </w:pPr>
    </w:p>
    <w:p w14:paraId="751A72E0" w14:textId="77777777" w:rsidR="00FA1B0A" w:rsidRPr="008D3ACD" w:rsidRDefault="00FA1B0A" w:rsidP="00FA1B0A">
      <w:pPr>
        <w:jc w:val="both"/>
        <w:rPr>
          <w:rFonts w:cs="Arial"/>
        </w:rPr>
      </w:pPr>
      <w:r w:rsidRPr="008D3ACD">
        <w:rPr>
          <w:rFonts w:cs="Arial"/>
        </w:rPr>
        <w:t>A complete review of the miscellaneous charges was undertaken for the 2020 Pricing Submission to ensure all fees were at cost recovery</w:t>
      </w:r>
      <w:r w:rsidR="00644A11" w:rsidRPr="008D3ACD">
        <w:rPr>
          <w:rFonts w:cs="Arial"/>
        </w:rPr>
        <w:t xml:space="preserve">, as well to make sure </w:t>
      </w:r>
      <w:r w:rsidRPr="008D3ACD">
        <w:rPr>
          <w:rFonts w:cs="Arial"/>
        </w:rPr>
        <w:t>GMW is in line with the pricing principle</w:t>
      </w:r>
      <w:r w:rsidR="007B1451">
        <w:rPr>
          <w:rFonts w:cs="Arial"/>
        </w:rPr>
        <w:t>s of user pays. Every year the t</w:t>
      </w:r>
      <w:r w:rsidRPr="008D3ACD">
        <w:rPr>
          <w:rFonts w:cs="Arial"/>
        </w:rPr>
        <w:t>ime and motion of the costs relating to each application fee is reviewed and updated for changing processes and improvements and fees are adjusted accordingly.</w:t>
      </w:r>
    </w:p>
    <w:p w14:paraId="12B5F36A" w14:textId="77777777" w:rsidR="00071E67" w:rsidRPr="00A21526" w:rsidRDefault="00D55631" w:rsidP="00071E67">
      <w:pPr>
        <w:rPr>
          <w:rFonts w:cs="Arial"/>
        </w:rPr>
      </w:pPr>
      <w:r w:rsidRPr="004006CE">
        <w:rPr>
          <w:rFonts w:cs="Arial"/>
        </w:rPr>
        <w:t>In 2023/24</w:t>
      </w:r>
      <w:r w:rsidR="00850200" w:rsidRPr="004006CE">
        <w:rPr>
          <w:rFonts w:cs="Arial"/>
        </w:rPr>
        <w:t xml:space="preserve"> </w:t>
      </w:r>
      <w:r w:rsidR="00CA3B1E" w:rsidRPr="004006CE">
        <w:rPr>
          <w:rFonts w:cs="Arial"/>
        </w:rPr>
        <w:t xml:space="preserve">most </w:t>
      </w:r>
      <w:r w:rsidR="00C55204" w:rsidRPr="004006CE">
        <w:rPr>
          <w:rFonts w:cs="Arial"/>
        </w:rPr>
        <w:t xml:space="preserve">miscellaneous charges </w:t>
      </w:r>
      <w:r w:rsidR="00CA3B1E" w:rsidRPr="004006CE">
        <w:rPr>
          <w:rFonts w:cs="Arial"/>
        </w:rPr>
        <w:t xml:space="preserve">will receive an increase </w:t>
      </w:r>
      <w:r w:rsidR="00CA3B1E" w:rsidRPr="00F354EA">
        <w:rPr>
          <w:rFonts w:cs="Arial"/>
        </w:rPr>
        <w:t xml:space="preserve">of </w:t>
      </w:r>
      <w:r w:rsidR="00E86B79" w:rsidRPr="00F354EA">
        <w:rPr>
          <w:rFonts w:cs="Arial"/>
        </w:rPr>
        <w:t>5.6</w:t>
      </w:r>
      <w:r w:rsidR="001D4A98" w:rsidRPr="00F354EA">
        <w:rPr>
          <w:rFonts w:cs="Arial"/>
        </w:rPr>
        <w:t xml:space="preserve"> per cent</w:t>
      </w:r>
      <w:r w:rsidR="00CA3B1E" w:rsidRPr="00F354EA">
        <w:rPr>
          <w:rFonts w:cs="Arial"/>
        </w:rPr>
        <w:t xml:space="preserve"> on</w:t>
      </w:r>
      <w:r w:rsidR="00CA3B1E" w:rsidRPr="004006CE">
        <w:rPr>
          <w:rFonts w:cs="Arial"/>
        </w:rPr>
        <w:t xml:space="preserve"> the </w:t>
      </w:r>
      <w:r w:rsidR="00FA1B0A" w:rsidRPr="004006CE">
        <w:rPr>
          <w:rFonts w:cs="Arial"/>
        </w:rPr>
        <w:t>202</w:t>
      </w:r>
      <w:r w:rsidR="004006CE" w:rsidRPr="004006CE">
        <w:rPr>
          <w:rFonts w:cs="Arial"/>
        </w:rPr>
        <w:t>2</w:t>
      </w:r>
      <w:r w:rsidR="00FC2E5B" w:rsidRPr="004006CE">
        <w:rPr>
          <w:rFonts w:cs="Arial"/>
        </w:rPr>
        <w:t>/2</w:t>
      </w:r>
      <w:r w:rsidR="004006CE" w:rsidRPr="004006CE">
        <w:rPr>
          <w:rFonts w:cs="Arial"/>
        </w:rPr>
        <w:t>3</w:t>
      </w:r>
      <w:r w:rsidR="00FA1B0A" w:rsidRPr="004006CE">
        <w:rPr>
          <w:rFonts w:cs="Arial"/>
        </w:rPr>
        <w:t xml:space="preserve"> fee</w:t>
      </w:r>
      <w:r w:rsidR="00CA3B1E" w:rsidRPr="004006CE">
        <w:rPr>
          <w:rFonts w:cs="Arial"/>
        </w:rPr>
        <w:t xml:space="preserve">. </w:t>
      </w:r>
      <w:r w:rsidR="003C59F1">
        <w:rPr>
          <w:rFonts w:cs="Arial"/>
        </w:rPr>
        <w:t xml:space="preserve">Some of the fees </w:t>
      </w:r>
      <w:r w:rsidR="00CA3B1E" w:rsidRPr="004006CE">
        <w:rPr>
          <w:rFonts w:cs="Arial"/>
        </w:rPr>
        <w:t xml:space="preserve">will receive higher than </w:t>
      </w:r>
      <w:r w:rsidR="00CA3B1E" w:rsidRPr="00F354EA">
        <w:rPr>
          <w:rFonts w:cs="Arial"/>
        </w:rPr>
        <w:t xml:space="preserve">the </w:t>
      </w:r>
      <w:r w:rsidR="00E86B79" w:rsidRPr="00F354EA">
        <w:rPr>
          <w:rFonts w:cs="Arial"/>
        </w:rPr>
        <w:t>5.6</w:t>
      </w:r>
      <w:r w:rsidR="001D4A98" w:rsidRPr="00F354EA">
        <w:rPr>
          <w:rFonts w:cs="Arial"/>
        </w:rPr>
        <w:t xml:space="preserve"> per cent</w:t>
      </w:r>
      <w:r w:rsidR="00CA3B1E" w:rsidRPr="00F354EA">
        <w:rPr>
          <w:rFonts w:cs="Arial"/>
        </w:rPr>
        <w:t xml:space="preserve"> increase</w:t>
      </w:r>
      <w:r w:rsidR="00CA3B1E" w:rsidRPr="004006CE">
        <w:rPr>
          <w:rFonts w:cs="Arial"/>
        </w:rPr>
        <w:t xml:space="preserve"> due to changes since the 2020 Pricing Submission but these are all within the </w:t>
      </w:r>
      <w:r w:rsidR="00644A11" w:rsidRPr="004006CE">
        <w:rPr>
          <w:rFonts w:cs="Arial"/>
        </w:rPr>
        <w:t>rebalanc</w:t>
      </w:r>
      <w:r w:rsidR="00CA3B1E" w:rsidRPr="004006CE">
        <w:rPr>
          <w:rFonts w:cs="Arial"/>
        </w:rPr>
        <w:t xml:space="preserve">ing </w:t>
      </w:r>
      <w:r w:rsidR="00644A11" w:rsidRPr="004006CE">
        <w:rPr>
          <w:rFonts w:cs="Arial"/>
        </w:rPr>
        <w:t>constraints set by the ESC</w:t>
      </w:r>
      <w:r w:rsidR="00CA3B1E" w:rsidRPr="004006CE">
        <w:rPr>
          <w:rFonts w:cs="Arial"/>
        </w:rPr>
        <w:t xml:space="preserve"> Determination.</w:t>
      </w:r>
      <w:r w:rsidR="00C55204" w:rsidRPr="00A21526">
        <w:rPr>
          <w:rFonts w:cs="Arial"/>
        </w:rPr>
        <w:t xml:space="preserve"> </w:t>
      </w:r>
    </w:p>
    <w:p w14:paraId="6947DCAF" w14:textId="77777777" w:rsidR="00306D8F" w:rsidRPr="008D3ACD" w:rsidRDefault="00306D8F" w:rsidP="007C3985">
      <w:pPr>
        <w:pStyle w:val="Heading2"/>
        <w:keepLines w:val="0"/>
        <w:numPr>
          <w:ilvl w:val="1"/>
          <w:numId w:val="3"/>
        </w:numPr>
        <w:spacing w:before="240" w:after="60"/>
        <w:rPr>
          <w:rFonts w:cs="Arial"/>
        </w:rPr>
      </w:pPr>
      <w:bookmarkStart w:id="38" w:name="_Toc134012432"/>
      <w:r w:rsidRPr="008D3ACD">
        <w:rPr>
          <w:rFonts w:cs="Arial"/>
        </w:rPr>
        <w:t>Demand</w:t>
      </w:r>
      <w:bookmarkEnd w:id="38"/>
    </w:p>
    <w:p w14:paraId="04EA01BD" w14:textId="77777777" w:rsidR="00306D8F" w:rsidRPr="008D3ACD" w:rsidRDefault="00306D8F" w:rsidP="00306D8F">
      <w:pPr>
        <w:jc w:val="both"/>
        <w:rPr>
          <w:rFonts w:cs="Arial"/>
          <w:color w:val="000000"/>
        </w:rPr>
      </w:pPr>
      <w:r w:rsidRPr="008D3ACD">
        <w:rPr>
          <w:rFonts w:cs="Arial"/>
          <w:color w:val="000000"/>
        </w:rPr>
        <w:t xml:space="preserve">This </w:t>
      </w:r>
      <w:r w:rsidRPr="008200F8">
        <w:rPr>
          <w:rFonts w:cs="Arial"/>
          <w:color w:val="000000"/>
        </w:rPr>
        <w:t>section provides information regarding GMW’s actual fixed and forecast variable quantities for 202</w:t>
      </w:r>
      <w:r w:rsidR="008200F8" w:rsidRPr="008200F8">
        <w:rPr>
          <w:rFonts w:cs="Arial"/>
          <w:color w:val="000000"/>
        </w:rPr>
        <w:t>2</w:t>
      </w:r>
      <w:r w:rsidR="008D3ACD" w:rsidRPr="008200F8">
        <w:rPr>
          <w:rFonts w:cs="Arial"/>
          <w:color w:val="000000"/>
        </w:rPr>
        <w:t>/2</w:t>
      </w:r>
      <w:r w:rsidR="008200F8" w:rsidRPr="008200F8">
        <w:rPr>
          <w:rFonts w:cs="Arial"/>
          <w:color w:val="000000"/>
        </w:rPr>
        <w:t>3</w:t>
      </w:r>
      <w:r w:rsidRPr="008200F8">
        <w:rPr>
          <w:rFonts w:cs="Arial"/>
          <w:color w:val="000000"/>
        </w:rPr>
        <w:t xml:space="preserve"> and its forecast quantities for 202</w:t>
      </w:r>
      <w:r w:rsidR="00D55631" w:rsidRPr="008200F8">
        <w:rPr>
          <w:rFonts w:cs="Arial"/>
          <w:color w:val="000000"/>
        </w:rPr>
        <w:t>3/24</w:t>
      </w:r>
      <w:r w:rsidR="00FC2E5B" w:rsidRPr="008200F8">
        <w:rPr>
          <w:rFonts w:cs="Arial"/>
          <w:color w:val="000000"/>
        </w:rPr>
        <w:t>.</w:t>
      </w:r>
      <w:r w:rsidRPr="008200F8">
        <w:rPr>
          <w:rFonts w:cs="Arial"/>
          <w:color w:val="000000"/>
        </w:rPr>
        <w:t xml:space="preserve"> Actual and forecast quantities have been provided for both fixed and variable tariffs.</w:t>
      </w:r>
    </w:p>
    <w:p w14:paraId="2051732C" w14:textId="77777777" w:rsidR="00306D8F" w:rsidRPr="008D3ACD" w:rsidRDefault="00306D8F" w:rsidP="00306D8F">
      <w:pPr>
        <w:keepNext/>
        <w:jc w:val="both"/>
        <w:rPr>
          <w:rFonts w:cs="Arial"/>
          <w:b/>
        </w:rPr>
      </w:pPr>
      <w:r w:rsidRPr="008D3ACD">
        <w:rPr>
          <w:rFonts w:cs="Arial"/>
          <w:b/>
        </w:rPr>
        <w:t>Tariff structure</w:t>
      </w:r>
    </w:p>
    <w:p w14:paraId="6FBC2BB5" w14:textId="77777777" w:rsidR="00306D8F" w:rsidRPr="008D3ACD" w:rsidRDefault="00306D8F" w:rsidP="00306D8F">
      <w:pPr>
        <w:jc w:val="both"/>
        <w:rPr>
          <w:rFonts w:cs="Arial"/>
          <w:color w:val="000000"/>
        </w:rPr>
      </w:pPr>
      <w:r w:rsidRPr="008D3ACD">
        <w:rPr>
          <w:rFonts w:cs="Arial"/>
          <w:color w:val="000000"/>
        </w:rPr>
        <w:t>Approximately 90 per cent of GMW’s prescribed revenue derives from its fixed tariffs. These fixed tariffs principally include:</w:t>
      </w:r>
    </w:p>
    <w:p w14:paraId="20E5BEF5" w14:textId="77777777" w:rsidR="00306D8F" w:rsidRPr="008D3ACD" w:rsidRDefault="00306D8F" w:rsidP="00306D8F">
      <w:pPr>
        <w:pStyle w:val="ListParagraph"/>
        <w:numPr>
          <w:ilvl w:val="0"/>
          <w:numId w:val="6"/>
        </w:numPr>
        <w:spacing w:after="240"/>
        <w:jc w:val="both"/>
        <w:rPr>
          <w:rFonts w:cs="Arial"/>
          <w:color w:val="000000"/>
        </w:rPr>
      </w:pPr>
      <w:r w:rsidRPr="008D3ACD">
        <w:rPr>
          <w:rFonts w:cs="Arial"/>
          <w:color w:val="000000"/>
        </w:rPr>
        <w:t xml:space="preserve">Storage charges that are charged to customers based on the volume and reliability of entitlements </w:t>
      </w:r>
      <w:proofErr w:type="gramStart"/>
      <w:r w:rsidRPr="008D3ACD">
        <w:rPr>
          <w:rFonts w:cs="Arial"/>
          <w:color w:val="000000"/>
        </w:rPr>
        <w:t>held</w:t>
      </w:r>
      <w:proofErr w:type="gramEnd"/>
    </w:p>
    <w:p w14:paraId="28DB8EC1" w14:textId="77777777" w:rsidR="00306D8F" w:rsidRPr="008D3ACD" w:rsidRDefault="00306D8F" w:rsidP="00306D8F">
      <w:pPr>
        <w:pStyle w:val="ListParagraph"/>
        <w:numPr>
          <w:ilvl w:val="0"/>
          <w:numId w:val="6"/>
        </w:numPr>
        <w:spacing w:after="240"/>
        <w:jc w:val="both"/>
        <w:rPr>
          <w:rFonts w:cs="Arial"/>
          <w:color w:val="000000"/>
        </w:rPr>
      </w:pPr>
      <w:r w:rsidRPr="008D3ACD">
        <w:rPr>
          <w:rFonts w:cs="Arial"/>
          <w:color w:val="000000"/>
        </w:rPr>
        <w:t>Gravity and Pumped Irrigation District charges, including:</w:t>
      </w:r>
    </w:p>
    <w:p w14:paraId="0A003C1D" w14:textId="77777777" w:rsidR="00306D8F" w:rsidRPr="008D3ACD" w:rsidRDefault="00306D8F" w:rsidP="00306D8F">
      <w:pPr>
        <w:pStyle w:val="ListParagraph"/>
        <w:numPr>
          <w:ilvl w:val="1"/>
          <w:numId w:val="6"/>
        </w:numPr>
        <w:spacing w:after="240"/>
        <w:jc w:val="both"/>
        <w:rPr>
          <w:rFonts w:cs="Arial"/>
          <w:color w:val="000000"/>
        </w:rPr>
      </w:pPr>
      <w:r w:rsidRPr="008D3ACD">
        <w:rPr>
          <w:rFonts w:cs="Arial"/>
          <w:color w:val="000000"/>
        </w:rPr>
        <w:t xml:space="preserve">a </w:t>
      </w:r>
      <w:r w:rsidR="00214794" w:rsidRPr="008D3ACD">
        <w:rPr>
          <w:rFonts w:cs="Arial"/>
          <w:color w:val="000000"/>
        </w:rPr>
        <w:t xml:space="preserve">Customer </w:t>
      </w:r>
      <w:r w:rsidRPr="008D3ACD">
        <w:rPr>
          <w:rFonts w:cs="Arial"/>
          <w:color w:val="000000"/>
        </w:rPr>
        <w:t xml:space="preserve">Fee, which is charged to each </w:t>
      </w:r>
      <w:proofErr w:type="gramStart"/>
      <w:r w:rsidRPr="008D3ACD">
        <w:rPr>
          <w:rFonts w:cs="Arial"/>
          <w:color w:val="000000"/>
        </w:rPr>
        <w:t>customer</w:t>
      </w:r>
      <w:proofErr w:type="gramEnd"/>
    </w:p>
    <w:p w14:paraId="460EC847" w14:textId="77777777" w:rsidR="00214794" w:rsidRPr="008D3ACD" w:rsidRDefault="00214794" w:rsidP="00306D8F">
      <w:pPr>
        <w:pStyle w:val="ListParagraph"/>
        <w:numPr>
          <w:ilvl w:val="1"/>
          <w:numId w:val="6"/>
        </w:numPr>
        <w:spacing w:after="240"/>
        <w:jc w:val="both"/>
        <w:rPr>
          <w:rFonts w:cs="Arial"/>
          <w:color w:val="000000"/>
        </w:rPr>
      </w:pPr>
      <w:r w:rsidRPr="008D3ACD">
        <w:rPr>
          <w:rFonts w:cs="Arial"/>
          <w:color w:val="000000"/>
        </w:rPr>
        <w:t xml:space="preserve">a Water Register Fee, which is charged based on the number of </w:t>
      </w:r>
      <w:proofErr w:type="gramStart"/>
      <w:r w:rsidRPr="008D3ACD">
        <w:rPr>
          <w:rFonts w:cs="Arial"/>
          <w:color w:val="000000"/>
        </w:rPr>
        <w:t>water</w:t>
      </w:r>
      <w:proofErr w:type="gramEnd"/>
      <w:r w:rsidRPr="008D3ACD">
        <w:rPr>
          <w:rFonts w:cs="Arial"/>
          <w:color w:val="000000"/>
        </w:rPr>
        <w:t xml:space="preserve"> entitlement</w:t>
      </w:r>
      <w:r w:rsidR="0014552D" w:rsidRPr="008D3ACD">
        <w:rPr>
          <w:rFonts w:cs="Arial"/>
          <w:color w:val="000000"/>
        </w:rPr>
        <w:t>s</w:t>
      </w:r>
    </w:p>
    <w:p w14:paraId="402617EC" w14:textId="77777777" w:rsidR="00306D8F" w:rsidRPr="008D3ACD" w:rsidRDefault="00306D8F" w:rsidP="00306D8F">
      <w:pPr>
        <w:pStyle w:val="ListParagraph"/>
        <w:numPr>
          <w:ilvl w:val="1"/>
          <w:numId w:val="6"/>
        </w:numPr>
        <w:spacing w:after="240"/>
        <w:jc w:val="both"/>
        <w:rPr>
          <w:rFonts w:cs="Arial"/>
          <w:color w:val="000000"/>
        </w:rPr>
      </w:pPr>
      <w:r w:rsidRPr="008D3ACD">
        <w:rPr>
          <w:rFonts w:cs="Arial"/>
          <w:color w:val="000000"/>
        </w:rPr>
        <w:t xml:space="preserve">an Infrastructure Access Fee, which is charged based on the number of delivery shares held, regardless of the volume </w:t>
      </w:r>
      <w:proofErr w:type="gramStart"/>
      <w:r w:rsidRPr="008D3ACD">
        <w:rPr>
          <w:rFonts w:cs="Arial"/>
          <w:color w:val="000000"/>
        </w:rPr>
        <w:t>used</w:t>
      </w:r>
      <w:proofErr w:type="gramEnd"/>
    </w:p>
    <w:p w14:paraId="10708131" w14:textId="77777777" w:rsidR="00306D8F" w:rsidRPr="008D3ACD" w:rsidRDefault="00306D8F" w:rsidP="00306D8F">
      <w:pPr>
        <w:pStyle w:val="ListParagraph"/>
        <w:numPr>
          <w:ilvl w:val="1"/>
          <w:numId w:val="6"/>
        </w:numPr>
        <w:spacing w:after="240"/>
        <w:jc w:val="both"/>
        <w:rPr>
          <w:rFonts w:cs="Arial"/>
          <w:color w:val="000000"/>
        </w:rPr>
      </w:pPr>
      <w:r w:rsidRPr="008D3ACD">
        <w:rPr>
          <w:rFonts w:cs="Arial"/>
          <w:color w:val="000000"/>
        </w:rPr>
        <w:t xml:space="preserve">a Service Point Fee, which is charged based on the number and type of service </w:t>
      </w:r>
      <w:proofErr w:type="gramStart"/>
      <w:r w:rsidRPr="008D3ACD">
        <w:rPr>
          <w:rFonts w:cs="Arial"/>
          <w:color w:val="000000"/>
        </w:rPr>
        <w:t>points</w:t>
      </w:r>
      <w:proofErr w:type="gramEnd"/>
      <w:r w:rsidRPr="008D3ACD">
        <w:rPr>
          <w:rFonts w:cs="Arial"/>
          <w:color w:val="000000"/>
        </w:rPr>
        <w:t xml:space="preserve"> </w:t>
      </w:r>
    </w:p>
    <w:p w14:paraId="47190114" w14:textId="77777777" w:rsidR="00306D8F" w:rsidRPr="008D3ACD" w:rsidRDefault="00306D8F" w:rsidP="00306D8F">
      <w:pPr>
        <w:pStyle w:val="ListParagraph"/>
        <w:numPr>
          <w:ilvl w:val="0"/>
          <w:numId w:val="6"/>
        </w:numPr>
        <w:spacing w:after="240"/>
        <w:jc w:val="both"/>
        <w:rPr>
          <w:rFonts w:cs="Arial"/>
          <w:color w:val="000000"/>
        </w:rPr>
      </w:pPr>
      <w:r w:rsidRPr="008D3ACD">
        <w:rPr>
          <w:rFonts w:cs="Arial"/>
          <w:color w:val="000000"/>
        </w:rPr>
        <w:t xml:space="preserve">The Surface Drainage Area Fee, charged based on the number of hectares </w:t>
      </w:r>
      <w:proofErr w:type="gramStart"/>
      <w:r w:rsidRPr="008D3ACD">
        <w:rPr>
          <w:rFonts w:cs="Arial"/>
          <w:color w:val="000000"/>
        </w:rPr>
        <w:t>drained</w:t>
      </w:r>
      <w:proofErr w:type="gramEnd"/>
    </w:p>
    <w:p w14:paraId="254B32A9" w14:textId="77777777" w:rsidR="00306D8F" w:rsidRPr="008D3ACD" w:rsidRDefault="00306D8F" w:rsidP="00306D8F">
      <w:pPr>
        <w:pStyle w:val="ListParagraph"/>
        <w:numPr>
          <w:ilvl w:val="0"/>
          <w:numId w:val="6"/>
        </w:numPr>
        <w:spacing w:after="240"/>
        <w:jc w:val="both"/>
        <w:rPr>
          <w:rFonts w:cs="Arial"/>
          <w:color w:val="000000"/>
        </w:rPr>
      </w:pPr>
      <w:r w:rsidRPr="008D3ACD">
        <w:rPr>
          <w:rFonts w:cs="Arial"/>
          <w:color w:val="000000"/>
        </w:rPr>
        <w:t>Diverter charges, including:</w:t>
      </w:r>
    </w:p>
    <w:p w14:paraId="50E3416E" w14:textId="77777777" w:rsidR="00306D8F" w:rsidRPr="008D3ACD" w:rsidRDefault="00306D8F" w:rsidP="00306D8F">
      <w:pPr>
        <w:pStyle w:val="ListParagraph"/>
        <w:numPr>
          <w:ilvl w:val="1"/>
          <w:numId w:val="6"/>
        </w:numPr>
        <w:spacing w:after="240"/>
        <w:jc w:val="both"/>
        <w:rPr>
          <w:rFonts w:cs="Arial"/>
          <w:color w:val="000000"/>
        </w:rPr>
      </w:pPr>
      <w:r w:rsidRPr="008D3ACD">
        <w:rPr>
          <w:rFonts w:cs="Arial"/>
          <w:color w:val="000000"/>
        </w:rPr>
        <w:t xml:space="preserve">a </w:t>
      </w:r>
      <w:r w:rsidR="00214794" w:rsidRPr="008D3ACD">
        <w:rPr>
          <w:rFonts w:cs="Arial"/>
          <w:color w:val="000000"/>
        </w:rPr>
        <w:t>Customer</w:t>
      </w:r>
      <w:r w:rsidRPr="008D3ACD">
        <w:rPr>
          <w:rFonts w:cs="Arial"/>
          <w:color w:val="000000"/>
        </w:rPr>
        <w:t xml:space="preserve"> Fee, which is charged to each </w:t>
      </w:r>
      <w:proofErr w:type="gramStart"/>
      <w:r w:rsidRPr="008D3ACD">
        <w:rPr>
          <w:rFonts w:cs="Arial"/>
          <w:color w:val="000000"/>
        </w:rPr>
        <w:t>customer</w:t>
      </w:r>
      <w:proofErr w:type="gramEnd"/>
    </w:p>
    <w:p w14:paraId="3951F01A" w14:textId="77777777" w:rsidR="00214794" w:rsidRPr="008D3ACD" w:rsidRDefault="00214794" w:rsidP="00214794">
      <w:pPr>
        <w:pStyle w:val="ListParagraph"/>
        <w:numPr>
          <w:ilvl w:val="1"/>
          <w:numId w:val="6"/>
        </w:numPr>
        <w:spacing w:after="240"/>
        <w:jc w:val="both"/>
        <w:rPr>
          <w:rFonts w:cs="Arial"/>
          <w:color w:val="000000"/>
        </w:rPr>
      </w:pPr>
      <w:r w:rsidRPr="008D3ACD">
        <w:rPr>
          <w:rFonts w:cs="Arial"/>
          <w:color w:val="000000"/>
        </w:rPr>
        <w:t xml:space="preserve">a Water Register Fee, which is charged based on the number of </w:t>
      </w:r>
      <w:proofErr w:type="gramStart"/>
      <w:r w:rsidRPr="008D3ACD">
        <w:rPr>
          <w:rFonts w:cs="Arial"/>
          <w:color w:val="000000"/>
        </w:rPr>
        <w:t>water</w:t>
      </w:r>
      <w:proofErr w:type="gramEnd"/>
      <w:r w:rsidRPr="008D3ACD">
        <w:rPr>
          <w:rFonts w:cs="Arial"/>
          <w:color w:val="000000"/>
        </w:rPr>
        <w:t xml:space="preserve"> entitlement</w:t>
      </w:r>
      <w:r w:rsidR="0014552D" w:rsidRPr="008D3ACD">
        <w:rPr>
          <w:rFonts w:cs="Arial"/>
          <w:color w:val="000000"/>
        </w:rPr>
        <w:t>s</w:t>
      </w:r>
    </w:p>
    <w:p w14:paraId="1774F8CE" w14:textId="77777777" w:rsidR="00306D8F" w:rsidRPr="008D3ACD" w:rsidRDefault="00306D8F" w:rsidP="00306D8F">
      <w:pPr>
        <w:pStyle w:val="ListParagraph"/>
        <w:numPr>
          <w:ilvl w:val="1"/>
          <w:numId w:val="6"/>
        </w:numPr>
        <w:spacing w:after="240"/>
        <w:jc w:val="both"/>
        <w:rPr>
          <w:rFonts w:cs="Arial"/>
          <w:color w:val="000000"/>
        </w:rPr>
      </w:pPr>
      <w:r w:rsidRPr="008D3ACD">
        <w:rPr>
          <w:rFonts w:cs="Arial"/>
          <w:color w:val="000000"/>
        </w:rPr>
        <w:t>a Service Point Fee</w:t>
      </w:r>
    </w:p>
    <w:p w14:paraId="7D79A4C3" w14:textId="77777777" w:rsidR="00306D8F" w:rsidRPr="008D3ACD" w:rsidRDefault="00306D8F" w:rsidP="00306D8F">
      <w:pPr>
        <w:pStyle w:val="ListParagraph"/>
        <w:numPr>
          <w:ilvl w:val="1"/>
          <w:numId w:val="6"/>
        </w:numPr>
        <w:spacing w:after="240"/>
        <w:jc w:val="both"/>
        <w:rPr>
          <w:rFonts w:cs="Arial"/>
          <w:color w:val="000000"/>
        </w:rPr>
      </w:pPr>
      <w:r w:rsidRPr="008D3ACD">
        <w:rPr>
          <w:rFonts w:cs="Arial"/>
          <w:color w:val="000000"/>
        </w:rPr>
        <w:t xml:space="preserve">an Access Fee based on the number of </w:t>
      </w:r>
      <w:proofErr w:type="gramStart"/>
      <w:r w:rsidRPr="008D3ACD">
        <w:rPr>
          <w:rFonts w:cs="Arial"/>
          <w:color w:val="000000"/>
        </w:rPr>
        <w:t>service</w:t>
      </w:r>
      <w:proofErr w:type="gramEnd"/>
      <w:r w:rsidRPr="008D3ACD">
        <w:rPr>
          <w:rFonts w:cs="Arial"/>
          <w:color w:val="000000"/>
        </w:rPr>
        <w:t xml:space="preserve"> points</w:t>
      </w:r>
    </w:p>
    <w:p w14:paraId="3EB2DA4E" w14:textId="77777777" w:rsidR="00306D8F" w:rsidRPr="008D3ACD" w:rsidRDefault="00306D8F" w:rsidP="00306D8F">
      <w:pPr>
        <w:pStyle w:val="ListParagraph"/>
        <w:numPr>
          <w:ilvl w:val="1"/>
          <w:numId w:val="6"/>
        </w:numPr>
        <w:spacing w:after="240"/>
        <w:jc w:val="both"/>
        <w:rPr>
          <w:rFonts w:cs="Arial"/>
          <w:color w:val="000000"/>
        </w:rPr>
      </w:pPr>
      <w:r w:rsidRPr="008D3ACD">
        <w:rPr>
          <w:rFonts w:cs="Arial"/>
          <w:color w:val="000000"/>
        </w:rPr>
        <w:t>a Resource Management Fee, based on entitlement volume.</w:t>
      </w:r>
    </w:p>
    <w:p w14:paraId="6E6DB9C6" w14:textId="77777777" w:rsidR="00306D8F" w:rsidRPr="008D3ACD" w:rsidRDefault="00306D8F" w:rsidP="00306D8F">
      <w:pPr>
        <w:jc w:val="both"/>
        <w:rPr>
          <w:rFonts w:cs="Arial"/>
          <w:color w:val="000000"/>
        </w:rPr>
      </w:pPr>
      <w:r w:rsidRPr="008D3ACD">
        <w:rPr>
          <w:rFonts w:cs="Arial"/>
          <w:color w:val="000000"/>
        </w:rPr>
        <w:t>The remaining 10 per cent of prescribed revenue derived from variable charges is collected largely from Gravity Irrigation through the:</w:t>
      </w:r>
    </w:p>
    <w:p w14:paraId="027CE029" w14:textId="77777777" w:rsidR="00306D8F" w:rsidRPr="008D3ACD" w:rsidRDefault="00306D8F" w:rsidP="00306D8F">
      <w:pPr>
        <w:pStyle w:val="ListParagraph"/>
        <w:numPr>
          <w:ilvl w:val="0"/>
          <w:numId w:val="7"/>
        </w:numPr>
        <w:spacing w:after="240"/>
        <w:jc w:val="both"/>
        <w:rPr>
          <w:rFonts w:cs="Arial"/>
          <w:color w:val="000000"/>
        </w:rPr>
      </w:pPr>
      <w:r w:rsidRPr="008D3ACD">
        <w:rPr>
          <w:rFonts w:cs="Arial"/>
          <w:color w:val="000000"/>
        </w:rPr>
        <w:t xml:space="preserve">Infrastructure Use Fee that is charged based on the volume of water </w:t>
      </w:r>
      <w:proofErr w:type="gramStart"/>
      <w:r w:rsidRPr="008D3ACD">
        <w:rPr>
          <w:rFonts w:cs="Arial"/>
          <w:color w:val="000000"/>
        </w:rPr>
        <w:t>delivered</w:t>
      </w:r>
      <w:proofErr w:type="gramEnd"/>
    </w:p>
    <w:p w14:paraId="0BB048DC" w14:textId="77777777" w:rsidR="00306D8F" w:rsidRPr="008D3ACD" w:rsidRDefault="00306D8F" w:rsidP="00306D8F">
      <w:pPr>
        <w:pStyle w:val="ListParagraph"/>
        <w:numPr>
          <w:ilvl w:val="0"/>
          <w:numId w:val="7"/>
        </w:numPr>
        <w:spacing w:after="240"/>
        <w:jc w:val="both"/>
        <w:rPr>
          <w:rFonts w:cs="Arial"/>
          <w:color w:val="000000"/>
        </w:rPr>
      </w:pPr>
      <w:r w:rsidRPr="008D3ACD">
        <w:rPr>
          <w:rFonts w:cs="Arial"/>
          <w:color w:val="000000"/>
        </w:rPr>
        <w:t xml:space="preserve">Casual Infrastructure Use Fee that is charged based on the volume of water delivered </w:t>
      </w:r>
      <w:proofErr w:type="gramStart"/>
      <w:r w:rsidRPr="008D3ACD">
        <w:rPr>
          <w:rFonts w:cs="Arial"/>
          <w:color w:val="000000"/>
        </w:rPr>
        <w:t>in excess of</w:t>
      </w:r>
      <w:proofErr w:type="gramEnd"/>
      <w:r w:rsidRPr="008D3ACD">
        <w:rPr>
          <w:rFonts w:cs="Arial"/>
          <w:color w:val="000000"/>
        </w:rPr>
        <w:t xml:space="preserve"> customers’ Annual Delivery Allowance</w:t>
      </w:r>
    </w:p>
    <w:p w14:paraId="04E7C9BD" w14:textId="77777777" w:rsidR="00306D8F" w:rsidRPr="008D3ACD" w:rsidRDefault="00306D8F" w:rsidP="00306D8F">
      <w:pPr>
        <w:pStyle w:val="ListParagraph"/>
        <w:numPr>
          <w:ilvl w:val="0"/>
          <w:numId w:val="7"/>
        </w:numPr>
        <w:spacing w:after="240"/>
        <w:jc w:val="both"/>
        <w:rPr>
          <w:rFonts w:cs="Arial"/>
          <w:color w:val="000000"/>
        </w:rPr>
      </w:pPr>
      <w:r w:rsidRPr="008D3ACD">
        <w:rPr>
          <w:rFonts w:cs="Arial"/>
          <w:color w:val="000000"/>
        </w:rPr>
        <w:t>Surface Drainage Water Use Fee that is charged based on water use on drained properties.</w:t>
      </w:r>
    </w:p>
    <w:p w14:paraId="4B330967" w14:textId="77777777" w:rsidR="00306D8F" w:rsidRPr="008D3ACD" w:rsidRDefault="00306D8F" w:rsidP="00306D8F">
      <w:pPr>
        <w:spacing w:after="240"/>
        <w:jc w:val="both"/>
        <w:rPr>
          <w:rFonts w:cs="Arial"/>
          <w:b/>
          <w:color w:val="000000"/>
        </w:rPr>
      </w:pPr>
      <w:r w:rsidRPr="008D3ACD">
        <w:rPr>
          <w:rFonts w:cs="Arial"/>
          <w:b/>
          <w:color w:val="000000"/>
        </w:rPr>
        <w:t xml:space="preserve"> Fixed quantities</w:t>
      </w:r>
    </w:p>
    <w:p w14:paraId="7FFC9660" w14:textId="77777777" w:rsidR="00306D8F" w:rsidRPr="008D3ACD" w:rsidRDefault="00306D8F" w:rsidP="00306D8F">
      <w:pPr>
        <w:spacing w:after="240"/>
        <w:jc w:val="both"/>
        <w:rPr>
          <w:rFonts w:cs="Arial"/>
          <w:color w:val="000000"/>
        </w:rPr>
      </w:pPr>
      <w:r w:rsidRPr="00A21526">
        <w:rPr>
          <w:rFonts w:cs="Arial"/>
          <w:color w:val="000000"/>
        </w:rPr>
        <w:t xml:space="preserve">Invoices for most fixed </w:t>
      </w:r>
      <w:r w:rsidRPr="008200F8">
        <w:rPr>
          <w:rFonts w:cs="Arial"/>
          <w:color w:val="000000"/>
        </w:rPr>
        <w:t>charges for 202</w:t>
      </w:r>
      <w:r w:rsidR="008200F8" w:rsidRPr="008200F8">
        <w:rPr>
          <w:rFonts w:cs="Arial"/>
          <w:color w:val="000000"/>
        </w:rPr>
        <w:t>2</w:t>
      </w:r>
      <w:r w:rsidR="008D3ACD" w:rsidRPr="008200F8">
        <w:rPr>
          <w:rFonts w:cs="Arial"/>
          <w:color w:val="000000"/>
        </w:rPr>
        <w:t>/2</w:t>
      </w:r>
      <w:r w:rsidR="008200F8" w:rsidRPr="008200F8">
        <w:rPr>
          <w:rFonts w:cs="Arial"/>
          <w:color w:val="000000"/>
        </w:rPr>
        <w:t>3</w:t>
      </w:r>
      <w:r w:rsidRPr="008200F8">
        <w:rPr>
          <w:rFonts w:cs="Arial"/>
          <w:color w:val="000000"/>
        </w:rPr>
        <w:t xml:space="preserve"> were</w:t>
      </w:r>
      <w:r w:rsidRPr="00A21526">
        <w:rPr>
          <w:rFonts w:cs="Arial"/>
          <w:color w:val="000000"/>
        </w:rPr>
        <w:t xml:space="preserve"> raised with customers in July 202</w:t>
      </w:r>
      <w:r w:rsidR="00FD4663">
        <w:rPr>
          <w:rFonts w:cs="Arial"/>
          <w:color w:val="000000"/>
        </w:rPr>
        <w:t>2</w:t>
      </w:r>
      <w:r w:rsidRPr="00A21526">
        <w:rPr>
          <w:rFonts w:cs="Arial"/>
          <w:color w:val="000000"/>
        </w:rPr>
        <w:t xml:space="preserve">, </w:t>
      </w:r>
      <w:proofErr w:type="gramStart"/>
      <w:r w:rsidRPr="00A21526">
        <w:rPr>
          <w:rFonts w:cs="Arial"/>
          <w:color w:val="000000"/>
        </w:rPr>
        <w:t>with the exception of</w:t>
      </w:r>
      <w:proofErr w:type="gramEnd"/>
      <w:r w:rsidRPr="00A21526">
        <w:rPr>
          <w:rFonts w:cs="Arial"/>
          <w:color w:val="000000"/>
        </w:rPr>
        <w:t xml:space="preserve"> bulk charges which were raised </w:t>
      </w:r>
      <w:r w:rsidR="00753343">
        <w:rPr>
          <w:rFonts w:cs="Arial"/>
          <w:color w:val="000000"/>
        </w:rPr>
        <w:t>November/December 2022</w:t>
      </w:r>
      <w:r w:rsidRPr="00A21526">
        <w:rPr>
          <w:rFonts w:cs="Arial"/>
          <w:color w:val="000000"/>
        </w:rPr>
        <w:t>.</w:t>
      </w:r>
      <w:r w:rsidRPr="008D3ACD">
        <w:rPr>
          <w:rFonts w:cs="Arial"/>
          <w:color w:val="000000"/>
        </w:rPr>
        <w:t xml:space="preserve"> This allowed </w:t>
      </w:r>
      <w:r w:rsidR="00F44059" w:rsidRPr="008D3ACD">
        <w:rPr>
          <w:rFonts w:cs="Arial"/>
          <w:color w:val="000000"/>
        </w:rPr>
        <w:t>actual</w:t>
      </w:r>
      <w:r w:rsidRPr="008D3ACD">
        <w:rPr>
          <w:rFonts w:cs="Arial"/>
          <w:color w:val="000000"/>
        </w:rPr>
        <w:t xml:space="preserve"> </w:t>
      </w:r>
      <w:r w:rsidRPr="008D3ACD">
        <w:rPr>
          <w:rFonts w:cs="Arial"/>
          <w:color w:val="000000"/>
        </w:rPr>
        <w:lastRenderedPageBreak/>
        <w:t xml:space="preserve">fixed charge quantities to be extracted from GMW’s billing system, such as entitlement volumes, number of </w:t>
      </w:r>
      <w:r w:rsidR="0079141D">
        <w:rPr>
          <w:rFonts w:cs="Arial"/>
          <w:color w:val="000000"/>
        </w:rPr>
        <w:t>customers</w:t>
      </w:r>
      <w:r w:rsidRPr="008D3ACD">
        <w:rPr>
          <w:rFonts w:cs="Arial"/>
          <w:color w:val="000000"/>
        </w:rPr>
        <w:t>, service points and delivery shares.</w:t>
      </w:r>
    </w:p>
    <w:p w14:paraId="1821D1A5" w14:textId="77777777" w:rsidR="00FC2E5B" w:rsidRPr="008D3ACD" w:rsidRDefault="00306D8F" w:rsidP="00455094">
      <w:pPr>
        <w:spacing w:after="0"/>
        <w:jc w:val="both"/>
        <w:rPr>
          <w:rFonts w:cs="Arial"/>
          <w:color w:val="000000"/>
        </w:rPr>
      </w:pPr>
      <w:r w:rsidRPr="008D3ACD">
        <w:rPr>
          <w:rFonts w:cs="Arial"/>
          <w:color w:val="000000"/>
        </w:rPr>
        <w:t xml:space="preserve">A forecast of </w:t>
      </w:r>
      <w:r w:rsidRPr="008200F8">
        <w:rPr>
          <w:rFonts w:cs="Arial"/>
          <w:color w:val="000000"/>
        </w:rPr>
        <w:t>fixed charge quantities for 202</w:t>
      </w:r>
      <w:r w:rsidR="008200F8" w:rsidRPr="008200F8">
        <w:rPr>
          <w:rFonts w:cs="Arial"/>
          <w:color w:val="000000"/>
        </w:rPr>
        <w:t>3</w:t>
      </w:r>
      <w:r w:rsidR="00FC2E5B" w:rsidRPr="008200F8">
        <w:rPr>
          <w:rFonts w:cs="Arial"/>
          <w:color w:val="000000"/>
        </w:rPr>
        <w:t>/2</w:t>
      </w:r>
      <w:r w:rsidR="008200F8" w:rsidRPr="008200F8">
        <w:rPr>
          <w:rFonts w:cs="Arial"/>
          <w:color w:val="000000"/>
        </w:rPr>
        <w:t>4</w:t>
      </w:r>
      <w:r w:rsidRPr="008200F8">
        <w:rPr>
          <w:rFonts w:cs="Arial"/>
          <w:color w:val="000000"/>
        </w:rPr>
        <w:t xml:space="preserve"> was developed based on the 202</w:t>
      </w:r>
      <w:r w:rsidR="008200F8" w:rsidRPr="008200F8">
        <w:rPr>
          <w:rFonts w:cs="Arial"/>
          <w:color w:val="000000"/>
        </w:rPr>
        <w:t>2</w:t>
      </w:r>
      <w:r w:rsidR="00FC2E5B" w:rsidRPr="008200F8">
        <w:rPr>
          <w:rFonts w:cs="Arial"/>
          <w:color w:val="000000"/>
        </w:rPr>
        <w:t>/2</w:t>
      </w:r>
      <w:r w:rsidR="008200F8" w:rsidRPr="008200F8">
        <w:rPr>
          <w:rFonts w:cs="Arial"/>
          <w:color w:val="000000"/>
        </w:rPr>
        <w:t>3</w:t>
      </w:r>
      <w:r w:rsidRPr="008200F8">
        <w:rPr>
          <w:rFonts w:cs="Arial"/>
          <w:color w:val="000000"/>
        </w:rPr>
        <w:t xml:space="preserve"> actual billed quantities and taking account of any changes since accounts</w:t>
      </w:r>
      <w:r w:rsidRPr="008D3ACD">
        <w:rPr>
          <w:rFonts w:cs="Arial"/>
          <w:color w:val="000000"/>
        </w:rPr>
        <w:t xml:space="preserve"> were billed in July</w:t>
      </w:r>
      <w:r w:rsidR="0091299F">
        <w:rPr>
          <w:rFonts w:cs="Arial"/>
          <w:color w:val="000000"/>
        </w:rPr>
        <w:t>.</w:t>
      </w:r>
    </w:p>
    <w:p w14:paraId="647468A7" w14:textId="77777777" w:rsidR="00306D8F" w:rsidRPr="008D3ACD" w:rsidRDefault="00306D8F" w:rsidP="00455094">
      <w:pPr>
        <w:spacing w:after="0"/>
        <w:jc w:val="both"/>
        <w:rPr>
          <w:rFonts w:cs="Arial"/>
          <w:b/>
          <w:color w:val="000000"/>
        </w:rPr>
      </w:pPr>
      <w:r w:rsidRPr="008D3ACD">
        <w:rPr>
          <w:rFonts w:cs="Arial"/>
          <w:b/>
          <w:color w:val="000000"/>
        </w:rPr>
        <w:t>Variable quantities</w:t>
      </w:r>
    </w:p>
    <w:p w14:paraId="60DFB3F8" w14:textId="77777777" w:rsidR="00306D8F" w:rsidRPr="004006CE" w:rsidRDefault="00306D8F" w:rsidP="00455094">
      <w:pPr>
        <w:spacing w:after="0"/>
        <w:jc w:val="both"/>
        <w:rPr>
          <w:rFonts w:cs="Arial"/>
          <w:color w:val="000000"/>
        </w:rPr>
      </w:pPr>
      <w:r w:rsidRPr="004006CE">
        <w:rPr>
          <w:rFonts w:cs="Arial"/>
          <w:color w:val="000000"/>
        </w:rPr>
        <w:t>The irrigation season is generally from mid-August to mid-May. Invoices for water deliveries and other variable charges for 202</w:t>
      </w:r>
      <w:r w:rsidR="004006CE" w:rsidRPr="004006CE">
        <w:rPr>
          <w:rFonts w:cs="Arial"/>
          <w:color w:val="000000"/>
        </w:rPr>
        <w:t>2</w:t>
      </w:r>
      <w:r w:rsidR="00FC2E5B" w:rsidRPr="004006CE">
        <w:rPr>
          <w:rFonts w:cs="Arial"/>
          <w:color w:val="000000"/>
        </w:rPr>
        <w:t>/2</w:t>
      </w:r>
      <w:r w:rsidR="004006CE" w:rsidRPr="004006CE">
        <w:rPr>
          <w:rFonts w:cs="Arial"/>
          <w:color w:val="000000"/>
        </w:rPr>
        <w:t>3</w:t>
      </w:r>
      <w:r w:rsidR="00FC2E5B" w:rsidRPr="004006CE">
        <w:rPr>
          <w:rFonts w:cs="Arial"/>
          <w:color w:val="000000"/>
        </w:rPr>
        <w:t xml:space="preserve"> </w:t>
      </w:r>
      <w:r w:rsidRPr="004006CE">
        <w:rPr>
          <w:rFonts w:cs="Arial"/>
          <w:color w:val="000000"/>
        </w:rPr>
        <w:t xml:space="preserve">are raised with customers and </w:t>
      </w:r>
      <w:r w:rsidR="00BA23E0" w:rsidRPr="004006CE">
        <w:rPr>
          <w:rFonts w:cs="Arial"/>
          <w:color w:val="000000"/>
        </w:rPr>
        <w:t xml:space="preserve">sent out </w:t>
      </w:r>
      <w:r w:rsidR="00092604">
        <w:rPr>
          <w:rFonts w:cs="Arial"/>
          <w:color w:val="000000"/>
        </w:rPr>
        <w:t>March and J</w:t>
      </w:r>
      <w:r w:rsidRPr="004006CE">
        <w:rPr>
          <w:rFonts w:cs="Arial"/>
          <w:color w:val="000000"/>
        </w:rPr>
        <w:t>une 202</w:t>
      </w:r>
      <w:r w:rsidR="004006CE" w:rsidRPr="004006CE">
        <w:rPr>
          <w:rFonts w:cs="Arial"/>
          <w:color w:val="000000"/>
        </w:rPr>
        <w:t>3</w:t>
      </w:r>
      <w:r w:rsidRPr="004006CE">
        <w:rPr>
          <w:rFonts w:cs="Arial"/>
          <w:color w:val="000000"/>
        </w:rPr>
        <w:t>. Accordingly, final information on 202</w:t>
      </w:r>
      <w:r w:rsidR="004006CE" w:rsidRPr="004006CE">
        <w:rPr>
          <w:rFonts w:cs="Arial"/>
          <w:color w:val="000000"/>
        </w:rPr>
        <w:t>2</w:t>
      </w:r>
      <w:r w:rsidR="008D3ACD" w:rsidRPr="004006CE">
        <w:rPr>
          <w:rFonts w:cs="Arial"/>
          <w:color w:val="000000"/>
        </w:rPr>
        <w:t>/2</w:t>
      </w:r>
      <w:r w:rsidR="004006CE" w:rsidRPr="004006CE">
        <w:rPr>
          <w:rFonts w:cs="Arial"/>
          <w:color w:val="000000"/>
        </w:rPr>
        <w:t>3</w:t>
      </w:r>
      <w:r w:rsidRPr="004006CE">
        <w:rPr>
          <w:rFonts w:cs="Arial"/>
          <w:color w:val="000000"/>
        </w:rPr>
        <w:t xml:space="preserve"> usage is not available at the time of this submission. </w:t>
      </w:r>
    </w:p>
    <w:p w14:paraId="0108211E" w14:textId="77777777" w:rsidR="00306D8F" w:rsidRPr="004006CE" w:rsidRDefault="00306D8F" w:rsidP="00455094">
      <w:pPr>
        <w:spacing w:after="0"/>
        <w:jc w:val="both"/>
        <w:rPr>
          <w:rFonts w:cs="Arial"/>
          <w:color w:val="000000"/>
        </w:rPr>
      </w:pPr>
      <w:r w:rsidRPr="004006CE">
        <w:rPr>
          <w:rFonts w:cs="Arial"/>
          <w:color w:val="000000"/>
        </w:rPr>
        <w:t>The forecast provided for 202</w:t>
      </w:r>
      <w:r w:rsidR="004006CE" w:rsidRPr="004006CE">
        <w:rPr>
          <w:rFonts w:cs="Arial"/>
          <w:color w:val="000000"/>
        </w:rPr>
        <w:t>2</w:t>
      </w:r>
      <w:r w:rsidR="004A0AF4" w:rsidRPr="004006CE">
        <w:rPr>
          <w:rFonts w:cs="Arial"/>
          <w:color w:val="000000"/>
        </w:rPr>
        <w:t>/2</w:t>
      </w:r>
      <w:r w:rsidR="004006CE" w:rsidRPr="004006CE">
        <w:rPr>
          <w:rFonts w:cs="Arial"/>
          <w:color w:val="000000"/>
        </w:rPr>
        <w:t>3</w:t>
      </w:r>
      <w:r w:rsidRPr="004006CE">
        <w:rPr>
          <w:rFonts w:cs="Arial"/>
          <w:color w:val="000000"/>
        </w:rPr>
        <w:t xml:space="preserve"> of </w:t>
      </w:r>
      <w:r w:rsidR="00403AD6">
        <w:rPr>
          <w:rFonts w:cs="Arial"/>
          <w:color w:val="000000"/>
        </w:rPr>
        <w:t>75</w:t>
      </w:r>
      <w:r w:rsidR="00951451">
        <w:rPr>
          <w:rFonts w:cs="Arial"/>
          <w:color w:val="000000"/>
        </w:rPr>
        <w:t>0</w:t>
      </w:r>
      <w:r w:rsidRPr="004006CE">
        <w:rPr>
          <w:rFonts w:cs="Arial"/>
          <w:color w:val="000000"/>
        </w:rPr>
        <w:t xml:space="preserve"> GL is instead based on the best available information regarding year-to-date usage (as </w:t>
      </w:r>
      <w:proofErr w:type="gramStart"/>
      <w:r w:rsidRPr="004006CE">
        <w:rPr>
          <w:rFonts w:cs="Arial"/>
          <w:color w:val="000000"/>
        </w:rPr>
        <w:t>at</w:t>
      </w:r>
      <w:proofErr w:type="gramEnd"/>
      <w:r w:rsidRPr="004006CE">
        <w:rPr>
          <w:rFonts w:cs="Arial"/>
          <w:color w:val="000000"/>
        </w:rPr>
        <w:t xml:space="preserve"> 1 May 202</w:t>
      </w:r>
      <w:r w:rsidR="004006CE" w:rsidRPr="004006CE">
        <w:rPr>
          <w:rFonts w:cs="Arial"/>
          <w:color w:val="000000"/>
        </w:rPr>
        <w:t>3</w:t>
      </w:r>
      <w:r w:rsidRPr="004006CE">
        <w:rPr>
          <w:rFonts w:cs="Arial"/>
          <w:color w:val="000000"/>
        </w:rPr>
        <w:t xml:space="preserve">) and water availability (equal to allocations to water shares plus carryover from the previous year) and estimates for the final weeks of the irrigation season. </w:t>
      </w:r>
    </w:p>
    <w:p w14:paraId="2FEB1E38" w14:textId="77777777" w:rsidR="00306D8F" w:rsidRDefault="00D83E48" w:rsidP="00455094">
      <w:pPr>
        <w:spacing w:after="0"/>
        <w:jc w:val="both"/>
        <w:rPr>
          <w:rFonts w:cs="Arial"/>
          <w:color w:val="000000"/>
        </w:rPr>
      </w:pPr>
      <w:r w:rsidRPr="004006CE">
        <w:rPr>
          <w:rFonts w:cs="Arial"/>
          <w:color w:val="000000"/>
        </w:rPr>
        <w:t>At this point in time the f</w:t>
      </w:r>
      <w:r w:rsidR="00306D8F" w:rsidRPr="004006CE">
        <w:rPr>
          <w:rFonts w:cs="Arial"/>
          <w:color w:val="000000"/>
        </w:rPr>
        <w:t>orecast GMID usage for 202</w:t>
      </w:r>
      <w:r w:rsidR="004006CE" w:rsidRPr="004006CE">
        <w:rPr>
          <w:rFonts w:cs="Arial"/>
          <w:color w:val="000000"/>
        </w:rPr>
        <w:t>3</w:t>
      </w:r>
      <w:r w:rsidR="004A0AF4" w:rsidRPr="004006CE">
        <w:rPr>
          <w:rFonts w:cs="Arial"/>
          <w:color w:val="000000"/>
        </w:rPr>
        <w:t>/2</w:t>
      </w:r>
      <w:r w:rsidR="004006CE" w:rsidRPr="004006CE">
        <w:rPr>
          <w:rFonts w:cs="Arial"/>
          <w:color w:val="000000"/>
        </w:rPr>
        <w:t>4</w:t>
      </w:r>
      <w:r w:rsidR="00306D8F" w:rsidRPr="004006CE">
        <w:rPr>
          <w:rFonts w:cs="Arial"/>
          <w:color w:val="000000"/>
        </w:rPr>
        <w:t xml:space="preserve"> is </w:t>
      </w:r>
      <w:r w:rsidR="00C158F8" w:rsidRPr="004006CE">
        <w:rPr>
          <w:rFonts w:cs="Arial"/>
          <w:color w:val="000000"/>
        </w:rPr>
        <w:t>9</w:t>
      </w:r>
      <w:r w:rsidR="004006CE" w:rsidRPr="004006CE">
        <w:rPr>
          <w:rFonts w:cs="Arial"/>
          <w:color w:val="000000"/>
        </w:rPr>
        <w:t>0</w:t>
      </w:r>
      <w:r w:rsidR="00C158F8" w:rsidRPr="004006CE">
        <w:rPr>
          <w:rFonts w:cs="Arial"/>
          <w:color w:val="000000"/>
        </w:rPr>
        <w:t>0</w:t>
      </w:r>
      <w:r w:rsidR="00306D8F" w:rsidRPr="004006CE">
        <w:rPr>
          <w:rFonts w:cs="Arial"/>
          <w:color w:val="000000"/>
        </w:rPr>
        <w:t xml:space="preserve"> GL. </w:t>
      </w:r>
      <w:r w:rsidR="00DD0A8F" w:rsidRPr="004006CE">
        <w:rPr>
          <w:rFonts w:cs="Arial"/>
          <w:color w:val="000000"/>
        </w:rPr>
        <w:t xml:space="preserve">The </w:t>
      </w:r>
      <w:r w:rsidR="009629F6" w:rsidRPr="004006CE">
        <w:rPr>
          <w:rFonts w:cs="Arial"/>
          <w:color w:val="000000"/>
        </w:rPr>
        <w:t xml:space="preserve">estimates </w:t>
      </w:r>
      <w:r w:rsidR="00DD0A8F" w:rsidRPr="004006CE">
        <w:rPr>
          <w:rFonts w:cs="Arial"/>
          <w:color w:val="000000"/>
        </w:rPr>
        <w:t>take account of anticipated carryover, available volumes in the storages and average weather conditions for next year.</w:t>
      </w:r>
    </w:p>
    <w:p w14:paraId="69F30529" w14:textId="77777777" w:rsidR="00455094" w:rsidRPr="00A21526" w:rsidRDefault="00455094" w:rsidP="00455094">
      <w:pPr>
        <w:spacing w:after="0"/>
        <w:jc w:val="both"/>
        <w:rPr>
          <w:rFonts w:cs="Arial"/>
          <w:color w:val="000000"/>
        </w:rPr>
      </w:pPr>
    </w:p>
    <w:p w14:paraId="2B19F1CA" w14:textId="77777777" w:rsidR="001303A0" w:rsidRDefault="002F0773" w:rsidP="00455094">
      <w:pPr>
        <w:spacing w:after="0"/>
        <w:jc w:val="both"/>
        <w:rPr>
          <w:rFonts w:cs="Arial"/>
          <w:b/>
        </w:rPr>
      </w:pPr>
      <w:r w:rsidRPr="004A0AF4">
        <w:rPr>
          <w:rFonts w:cs="Arial"/>
          <w:b/>
        </w:rPr>
        <w:t xml:space="preserve">Explanation of Demand </w:t>
      </w:r>
      <w:r w:rsidR="00F74776" w:rsidRPr="004A0AF4">
        <w:rPr>
          <w:rFonts w:cs="Arial"/>
          <w:b/>
        </w:rPr>
        <w:t xml:space="preserve">Variances </w:t>
      </w:r>
      <w:r w:rsidRPr="004A0AF4">
        <w:rPr>
          <w:rFonts w:cs="Arial"/>
          <w:b/>
        </w:rPr>
        <w:t>greater than 10</w:t>
      </w:r>
      <w:r w:rsidR="001D4A98">
        <w:rPr>
          <w:rFonts w:cs="Arial"/>
          <w:b/>
        </w:rPr>
        <w:t xml:space="preserve"> per cent</w:t>
      </w:r>
      <w:r w:rsidRPr="004A0AF4">
        <w:rPr>
          <w:rFonts w:cs="Arial"/>
          <w:b/>
        </w:rPr>
        <w:t xml:space="preserve"> </w:t>
      </w:r>
      <w:r w:rsidR="00F74776" w:rsidRPr="004A0AF4">
        <w:rPr>
          <w:rFonts w:cs="Arial"/>
          <w:b/>
        </w:rPr>
        <w:t xml:space="preserve">from the 2020 </w:t>
      </w:r>
      <w:r w:rsidR="001C3D42" w:rsidRPr="004A0AF4">
        <w:rPr>
          <w:rFonts w:cs="Arial"/>
          <w:b/>
        </w:rPr>
        <w:t>P</w:t>
      </w:r>
      <w:r w:rsidR="00F9112E" w:rsidRPr="004A0AF4">
        <w:rPr>
          <w:rFonts w:cs="Arial"/>
          <w:b/>
        </w:rPr>
        <w:t>ricing</w:t>
      </w:r>
      <w:r w:rsidR="00F74776" w:rsidRPr="004A0AF4">
        <w:rPr>
          <w:rFonts w:cs="Arial"/>
          <w:b/>
        </w:rPr>
        <w:t xml:space="preserve"> </w:t>
      </w:r>
      <w:r w:rsidR="001C3D42" w:rsidRPr="004A0AF4">
        <w:rPr>
          <w:rFonts w:cs="Arial"/>
          <w:b/>
        </w:rPr>
        <w:t>S</w:t>
      </w:r>
      <w:r w:rsidR="00F74776" w:rsidRPr="004A0AF4">
        <w:rPr>
          <w:rFonts w:cs="Arial"/>
          <w:b/>
        </w:rPr>
        <w:t>ubmission</w:t>
      </w:r>
    </w:p>
    <w:p w14:paraId="1D5DA628" w14:textId="77777777" w:rsidR="00455094" w:rsidRPr="004A0AF4" w:rsidRDefault="00455094" w:rsidP="00455094">
      <w:pPr>
        <w:spacing w:after="0"/>
        <w:jc w:val="both"/>
        <w:rPr>
          <w:rFonts w:cs="Arial"/>
          <w:b/>
        </w:rPr>
      </w:pPr>
    </w:p>
    <w:p w14:paraId="2CBC02DB" w14:textId="77777777" w:rsidR="00480F18" w:rsidRDefault="00480F18" w:rsidP="00455094">
      <w:pPr>
        <w:pStyle w:val="ListParagraph"/>
        <w:numPr>
          <w:ilvl w:val="0"/>
          <w:numId w:val="19"/>
        </w:numPr>
        <w:spacing w:after="0"/>
        <w:ind w:left="714" w:hanging="357"/>
        <w:jc w:val="both"/>
        <w:rPr>
          <w:rFonts w:cs="Arial"/>
        </w:rPr>
      </w:pPr>
      <w:r w:rsidRPr="004A0AF4">
        <w:rPr>
          <w:rFonts w:cs="Arial"/>
        </w:rPr>
        <w:t xml:space="preserve">Service </w:t>
      </w:r>
      <w:r w:rsidR="00E81567">
        <w:rPr>
          <w:rFonts w:cs="Arial"/>
        </w:rPr>
        <w:t>P</w:t>
      </w:r>
      <w:r w:rsidRPr="004A0AF4">
        <w:rPr>
          <w:rFonts w:cs="Arial"/>
        </w:rPr>
        <w:t xml:space="preserve">oints </w:t>
      </w:r>
    </w:p>
    <w:p w14:paraId="43C6597C" w14:textId="77777777" w:rsidR="00455094" w:rsidRPr="004A0AF4" w:rsidRDefault="00455094" w:rsidP="00455094">
      <w:pPr>
        <w:pStyle w:val="ListParagraph"/>
        <w:spacing w:after="0"/>
        <w:jc w:val="both"/>
        <w:rPr>
          <w:rFonts w:cs="Arial"/>
        </w:rPr>
      </w:pPr>
    </w:p>
    <w:p w14:paraId="2B63C04A" w14:textId="77777777" w:rsidR="00F74776" w:rsidRDefault="00FD08D2" w:rsidP="00455094">
      <w:pPr>
        <w:spacing w:after="0"/>
        <w:ind w:left="357"/>
        <w:jc w:val="both"/>
        <w:rPr>
          <w:rFonts w:cs="Arial"/>
        </w:rPr>
      </w:pPr>
      <w:r w:rsidRPr="00056A5B">
        <w:rPr>
          <w:rFonts w:cs="Arial"/>
        </w:rPr>
        <w:t xml:space="preserve">The Pricing Submission included assumptions around the finalisation of the Connections Project </w:t>
      </w:r>
      <w:proofErr w:type="gramStart"/>
      <w:r w:rsidR="00E81567" w:rsidRPr="00056A5B">
        <w:rPr>
          <w:rFonts w:cs="Arial"/>
        </w:rPr>
        <w:t>in regard to</w:t>
      </w:r>
      <w:proofErr w:type="gramEnd"/>
      <w:r w:rsidR="00E81567" w:rsidRPr="00056A5B">
        <w:rPr>
          <w:rFonts w:cs="Arial"/>
        </w:rPr>
        <w:t xml:space="preserve"> service points. </w:t>
      </w:r>
      <w:r w:rsidR="007A0C56" w:rsidRPr="00056A5B">
        <w:rPr>
          <w:rFonts w:cs="Arial"/>
        </w:rPr>
        <w:t xml:space="preserve">Assumptions have also been included </w:t>
      </w:r>
      <w:proofErr w:type="gramStart"/>
      <w:r w:rsidR="007A0C56" w:rsidRPr="00056A5B">
        <w:rPr>
          <w:rFonts w:cs="Arial"/>
        </w:rPr>
        <w:t>in regards to</w:t>
      </w:r>
      <w:proofErr w:type="gramEnd"/>
      <w:r w:rsidR="007A0C56" w:rsidRPr="00056A5B">
        <w:rPr>
          <w:rFonts w:cs="Arial"/>
        </w:rPr>
        <w:t xml:space="preserve"> the mix of Service Points going forward for the Water </w:t>
      </w:r>
      <w:r w:rsidR="00056A5B" w:rsidRPr="00056A5B">
        <w:rPr>
          <w:rFonts w:cs="Arial"/>
        </w:rPr>
        <w:t>Efficiency</w:t>
      </w:r>
      <w:r w:rsidR="007A0C56" w:rsidRPr="00056A5B">
        <w:rPr>
          <w:rFonts w:cs="Arial"/>
        </w:rPr>
        <w:t xml:space="preserve"> </w:t>
      </w:r>
      <w:r w:rsidR="00056A5B">
        <w:rPr>
          <w:rFonts w:cs="Arial"/>
        </w:rPr>
        <w:t>P</w:t>
      </w:r>
      <w:r w:rsidR="007A0C56" w:rsidRPr="00056A5B">
        <w:rPr>
          <w:rFonts w:cs="Arial"/>
        </w:rPr>
        <w:t xml:space="preserve">roject (WEP). </w:t>
      </w:r>
      <w:r w:rsidRPr="00056A5B">
        <w:rPr>
          <w:rFonts w:cs="Arial"/>
        </w:rPr>
        <w:t>The mix of the</w:t>
      </w:r>
      <w:r w:rsidR="004B1219">
        <w:rPr>
          <w:rFonts w:cs="Arial"/>
        </w:rPr>
        <w:t xml:space="preserve"> </w:t>
      </w:r>
      <w:r w:rsidR="000D5D69">
        <w:rPr>
          <w:rFonts w:cs="Arial"/>
        </w:rPr>
        <w:t>s</w:t>
      </w:r>
      <w:r w:rsidRPr="00056A5B">
        <w:rPr>
          <w:rFonts w:cs="Arial"/>
        </w:rPr>
        <w:t xml:space="preserve">ervice points has varied slightly from that which was provided previously but is more relevant with what has </w:t>
      </w:r>
      <w:proofErr w:type="gramStart"/>
      <w:r w:rsidRPr="00056A5B">
        <w:rPr>
          <w:rFonts w:cs="Arial"/>
        </w:rPr>
        <w:t>actually occurred</w:t>
      </w:r>
      <w:proofErr w:type="gramEnd"/>
      <w:r w:rsidRPr="00056A5B">
        <w:rPr>
          <w:rFonts w:cs="Arial"/>
        </w:rPr>
        <w:t>.</w:t>
      </w:r>
    </w:p>
    <w:p w14:paraId="2CD4B359" w14:textId="77777777" w:rsidR="00455094" w:rsidRPr="00056A5B" w:rsidRDefault="00455094" w:rsidP="00455094">
      <w:pPr>
        <w:spacing w:after="0"/>
        <w:ind w:left="357"/>
        <w:jc w:val="both"/>
        <w:rPr>
          <w:rFonts w:cs="Arial"/>
        </w:rPr>
      </w:pPr>
    </w:p>
    <w:p w14:paraId="76F11659" w14:textId="77777777" w:rsidR="00FD08D2" w:rsidRPr="00021440" w:rsidRDefault="00FD08D2" w:rsidP="00455094">
      <w:pPr>
        <w:pStyle w:val="ListParagraph"/>
        <w:numPr>
          <w:ilvl w:val="0"/>
          <w:numId w:val="19"/>
        </w:numPr>
        <w:jc w:val="both"/>
        <w:rPr>
          <w:rFonts w:cs="Arial"/>
        </w:rPr>
      </w:pPr>
      <w:r w:rsidRPr="00021440">
        <w:rPr>
          <w:rFonts w:cs="Arial"/>
        </w:rPr>
        <w:t>Water Shares</w:t>
      </w:r>
    </w:p>
    <w:p w14:paraId="19F35D4E" w14:textId="77777777" w:rsidR="00D83E48" w:rsidRPr="00021440" w:rsidRDefault="00D83E48" w:rsidP="00455094">
      <w:pPr>
        <w:ind w:left="360"/>
        <w:jc w:val="both"/>
        <w:rPr>
          <w:rFonts w:cs="Arial"/>
        </w:rPr>
      </w:pPr>
      <w:r w:rsidRPr="00021440">
        <w:rPr>
          <w:rFonts w:cs="Arial"/>
        </w:rPr>
        <w:t xml:space="preserve">Water shares change for many </w:t>
      </w:r>
      <w:proofErr w:type="gramStart"/>
      <w:r w:rsidRPr="00021440">
        <w:rPr>
          <w:rFonts w:cs="Arial"/>
        </w:rPr>
        <w:t>reasons</w:t>
      </w:r>
      <w:proofErr w:type="gramEnd"/>
    </w:p>
    <w:p w14:paraId="284F2E50" w14:textId="77777777" w:rsidR="00D83E48" w:rsidRPr="00021440" w:rsidRDefault="00D83E48" w:rsidP="00455094">
      <w:pPr>
        <w:pStyle w:val="ListParagraph"/>
        <w:numPr>
          <w:ilvl w:val="1"/>
          <w:numId w:val="19"/>
        </w:numPr>
        <w:jc w:val="both"/>
        <w:rPr>
          <w:rFonts w:cs="Arial"/>
        </w:rPr>
      </w:pPr>
      <w:r w:rsidRPr="00021440">
        <w:rPr>
          <w:rFonts w:cs="Arial"/>
        </w:rPr>
        <w:t>Customer changes:</w:t>
      </w:r>
    </w:p>
    <w:p w14:paraId="00B076A7" w14:textId="77777777" w:rsidR="00D83E48" w:rsidRPr="00021440" w:rsidRDefault="00D83E48" w:rsidP="00455094">
      <w:pPr>
        <w:pStyle w:val="ListParagraph"/>
        <w:numPr>
          <w:ilvl w:val="2"/>
          <w:numId w:val="19"/>
        </w:numPr>
        <w:jc w:val="both"/>
        <w:rPr>
          <w:rFonts w:cs="Arial"/>
        </w:rPr>
      </w:pPr>
      <w:r w:rsidRPr="00021440">
        <w:rPr>
          <w:rFonts w:cs="Arial"/>
        </w:rPr>
        <w:t xml:space="preserve">A customer may divide their water shares between different </w:t>
      </w:r>
      <w:proofErr w:type="gramStart"/>
      <w:r w:rsidRPr="00021440">
        <w:rPr>
          <w:rFonts w:cs="Arial"/>
        </w:rPr>
        <w:t>properties</w:t>
      </w:r>
      <w:proofErr w:type="gramEnd"/>
    </w:p>
    <w:p w14:paraId="0CC49201" w14:textId="77777777" w:rsidR="00D83E48" w:rsidRPr="00021440" w:rsidRDefault="005B7821" w:rsidP="00455094">
      <w:pPr>
        <w:pStyle w:val="ListParagraph"/>
        <w:numPr>
          <w:ilvl w:val="2"/>
          <w:numId w:val="19"/>
        </w:numPr>
        <w:jc w:val="both"/>
        <w:rPr>
          <w:rFonts w:cs="Arial"/>
        </w:rPr>
      </w:pPr>
      <w:r w:rsidRPr="00021440">
        <w:rPr>
          <w:rFonts w:cs="Arial"/>
        </w:rPr>
        <w:t xml:space="preserve">They can </w:t>
      </w:r>
      <w:r w:rsidR="00D83E48" w:rsidRPr="00021440">
        <w:rPr>
          <w:rFonts w:cs="Arial"/>
        </w:rPr>
        <w:t xml:space="preserve">sell a property and take all the water shares with </w:t>
      </w:r>
      <w:proofErr w:type="gramStart"/>
      <w:r w:rsidR="00D83E48" w:rsidRPr="00021440">
        <w:rPr>
          <w:rFonts w:cs="Arial"/>
        </w:rPr>
        <w:t>them</w:t>
      </w:r>
      <w:proofErr w:type="gramEnd"/>
    </w:p>
    <w:p w14:paraId="6C21DFB7" w14:textId="77777777" w:rsidR="00D83E48" w:rsidRPr="00021440" w:rsidRDefault="005B7821" w:rsidP="00455094">
      <w:pPr>
        <w:pStyle w:val="ListParagraph"/>
        <w:numPr>
          <w:ilvl w:val="2"/>
          <w:numId w:val="19"/>
        </w:numPr>
        <w:jc w:val="both"/>
        <w:rPr>
          <w:rFonts w:cs="Arial"/>
        </w:rPr>
      </w:pPr>
      <w:r w:rsidRPr="00021440">
        <w:rPr>
          <w:rFonts w:cs="Arial"/>
        </w:rPr>
        <w:t>They can</w:t>
      </w:r>
      <w:r w:rsidR="00D83E48" w:rsidRPr="00021440">
        <w:rPr>
          <w:rFonts w:cs="Arial"/>
        </w:rPr>
        <w:t xml:space="preserve"> sell their property and leave some water shares behind, and</w:t>
      </w:r>
    </w:p>
    <w:p w14:paraId="6A907364" w14:textId="77777777" w:rsidR="00E41E7C" w:rsidRPr="00021440" w:rsidRDefault="00D83E48" w:rsidP="00455094">
      <w:pPr>
        <w:pStyle w:val="ListParagraph"/>
        <w:numPr>
          <w:ilvl w:val="2"/>
          <w:numId w:val="19"/>
        </w:numPr>
        <w:rPr>
          <w:rFonts w:cs="Arial"/>
        </w:rPr>
      </w:pPr>
      <w:r w:rsidRPr="00021440">
        <w:rPr>
          <w:rFonts w:cs="Arial"/>
        </w:rPr>
        <w:t xml:space="preserve">A customer </w:t>
      </w:r>
      <w:r w:rsidR="005B7821" w:rsidRPr="00021440">
        <w:rPr>
          <w:rFonts w:cs="Arial"/>
        </w:rPr>
        <w:t xml:space="preserve">can </w:t>
      </w:r>
      <w:r w:rsidRPr="00021440">
        <w:rPr>
          <w:rFonts w:cs="Arial"/>
        </w:rPr>
        <w:t xml:space="preserve">consolidate water </w:t>
      </w:r>
      <w:proofErr w:type="gramStart"/>
      <w:r w:rsidRPr="00021440">
        <w:rPr>
          <w:rFonts w:cs="Arial"/>
        </w:rPr>
        <w:t>shares</w:t>
      </w:r>
      <w:proofErr w:type="gramEnd"/>
    </w:p>
    <w:p w14:paraId="42A7A7F5" w14:textId="77777777" w:rsidR="00E41E7C" w:rsidRPr="00021440" w:rsidRDefault="00E41E7C" w:rsidP="00455094">
      <w:pPr>
        <w:pStyle w:val="ListParagraph"/>
        <w:numPr>
          <w:ilvl w:val="1"/>
          <w:numId w:val="19"/>
        </w:numPr>
        <w:rPr>
          <w:rFonts w:cs="Arial"/>
        </w:rPr>
      </w:pPr>
      <w:r w:rsidRPr="00021440">
        <w:rPr>
          <w:rFonts w:cs="Arial"/>
        </w:rPr>
        <w:t>Irrigator Shares Distribution Project:</w:t>
      </w:r>
    </w:p>
    <w:p w14:paraId="34E339AC" w14:textId="77777777" w:rsidR="003263E8" w:rsidRPr="00021440" w:rsidRDefault="00E41E7C" w:rsidP="00455094">
      <w:pPr>
        <w:pStyle w:val="ListParagraph"/>
        <w:numPr>
          <w:ilvl w:val="2"/>
          <w:numId w:val="19"/>
        </w:numPr>
        <w:rPr>
          <w:rFonts w:cs="Arial"/>
        </w:rPr>
      </w:pPr>
      <w:r w:rsidRPr="00021440">
        <w:rPr>
          <w:rFonts w:cs="Arial"/>
        </w:rPr>
        <w:t xml:space="preserve">Changes in demand numbers due </w:t>
      </w:r>
      <w:r w:rsidR="00A14E00" w:rsidRPr="00021440">
        <w:rPr>
          <w:rFonts w:cs="Arial"/>
        </w:rPr>
        <w:t xml:space="preserve">to </w:t>
      </w:r>
      <w:r w:rsidRPr="00021440">
        <w:rPr>
          <w:rFonts w:cs="Arial"/>
        </w:rPr>
        <w:t>additional water shares being issued as part of the Irrigator Share Distribution Project</w:t>
      </w:r>
    </w:p>
    <w:p w14:paraId="0C2842E5" w14:textId="77777777" w:rsidR="00F72444" w:rsidRPr="00083B80" w:rsidRDefault="007A28E2" w:rsidP="00455094">
      <w:pPr>
        <w:pStyle w:val="ListParagraph"/>
        <w:numPr>
          <w:ilvl w:val="0"/>
          <w:numId w:val="19"/>
        </w:numPr>
        <w:jc w:val="both"/>
        <w:rPr>
          <w:rFonts w:cs="Arial"/>
        </w:rPr>
      </w:pPr>
      <w:r w:rsidRPr="00083B80">
        <w:rPr>
          <w:rFonts w:cs="Arial"/>
        </w:rPr>
        <w:t>Spill Volumes</w:t>
      </w:r>
    </w:p>
    <w:p w14:paraId="7F9B02A3" w14:textId="77777777" w:rsidR="007A28E2" w:rsidRPr="00083B80" w:rsidRDefault="007A28E2" w:rsidP="00455094">
      <w:pPr>
        <w:pStyle w:val="ListParagraph"/>
        <w:jc w:val="both"/>
        <w:rPr>
          <w:rFonts w:cs="Arial"/>
        </w:rPr>
      </w:pPr>
    </w:p>
    <w:p w14:paraId="78C110EF" w14:textId="77777777" w:rsidR="007A28E2" w:rsidRPr="00083B80" w:rsidRDefault="007A28E2" w:rsidP="00455094">
      <w:pPr>
        <w:pStyle w:val="ListParagraph"/>
        <w:jc w:val="both"/>
        <w:rPr>
          <w:rFonts w:cs="Arial"/>
        </w:rPr>
      </w:pPr>
      <w:r w:rsidRPr="00083B80">
        <w:rPr>
          <w:rFonts w:cs="Arial"/>
        </w:rPr>
        <w:t xml:space="preserve">Since finalising the </w:t>
      </w:r>
      <w:r w:rsidR="001C3D42" w:rsidRPr="00083B80">
        <w:rPr>
          <w:rFonts w:cs="Arial"/>
        </w:rPr>
        <w:t>2020 P</w:t>
      </w:r>
      <w:r w:rsidRPr="00083B80">
        <w:rPr>
          <w:rFonts w:cs="Arial"/>
        </w:rPr>
        <w:t xml:space="preserve">ricing </w:t>
      </w:r>
      <w:r w:rsidR="001C3D42" w:rsidRPr="00083B80">
        <w:rPr>
          <w:rFonts w:cs="Arial"/>
        </w:rPr>
        <w:t>S</w:t>
      </w:r>
      <w:r w:rsidRPr="00083B80">
        <w:rPr>
          <w:rFonts w:cs="Arial"/>
        </w:rPr>
        <w:t xml:space="preserve">ubmission spill volumes assumptions have since changed due to expectant under-utilisation carryover from the previous season and then the allocation in the current season minus physical spills. </w:t>
      </w:r>
    </w:p>
    <w:p w14:paraId="21B3AC6B" w14:textId="77777777" w:rsidR="007A28E2" w:rsidRPr="007604D4" w:rsidRDefault="007A28E2" w:rsidP="00455094">
      <w:pPr>
        <w:pStyle w:val="ListParagraph"/>
        <w:jc w:val="both"/>
        <w:rPr>
          <w:rFonts w:cs="Arial"/>
          <w:highlight w:val="yellow"/>
        </w:rPr>
      </w:pPr>
    </w:p>
    <w:p w14:paraId="04EA47A3" w14:textId="77777777" w:rsidR="007A28E2" w:rsidRPr="00E5400C" w:rsidRDefault="007A28E2" w:rsidP="00455094">
      <w:pPr>
        <w:pStyle w:val="ListParagraph"/>
        <w:numPr>
          <w:ilvl w:val="0"/>
          <w:numId w:val="19"/>
        </w:numPr>
        <w:jc w:val="both"/>
        <w:rPr>
          <w:rFonts w:cs="Arial"/>
        </w:rPr>
      </w:pPr>
      <w:r w:rsidRPr="00E5400C">
        <w:rPr>
          <w:rFonts w:cs="Arial"/>
        </w:rPr>
        <w:t>Drainage</w:t>
      </w:r>
    </w:p>
    <w:p w14:paraId="2ACAE59F" w14:textId="77777777" w:rsidR="00F72444" w:rsidRPr="00E5400C" w:rsidRDefault="00F72444" w:rsidP="00455094">
      <w:pPr>
        <w:pStyle w:val="ListParagraph"/>
        <w:jc w:val="both"/>
        <w:rPr>
          <w:rFonts w:cs="Arial"/>
        </w:rPr>
      </w:pPr>
    </w:p>
    <w:p w14:paraId="44D7E173" w14:textId="77777777" w:rsidR="00760C64" w:rsidRPr="00E5400C" w:rsidRDefault="00652750" w:rsidP="00455094">
      <w:pPr>
        <w:pStyle w:val="ListParagraph"/>
        <w:jc w:val="both"/>
        <w:rPr>
          <w:rFonts w:cs="Arial"/>
        </w:rPr>
      </w:pPr>
      <w:r w:rsidRPr="00E5400C">
        <w:rPr>
          <w:rFonts w:cs="Arial"/>
        </w:rPr>
        <w:t>Drainage diversion demand h</w:t>
      </w:r>
      <w:r w:rsidR="003C265C" w:rsidRPr="00E5400C">
        <w:rPr>
          <w:rFonts w:cs="Arial"/>
        </w:rPr>
        <w:t>as decreased in comparison to the 2020 Pricing Submission due to</w:t>
      </w:r>
      <w:r w:rsidRPr="00E5400C">
        <w:rPr>
          <w:rFonts w:cs="Arial"/>
        </w:rPr>
        <w:t xml:space="preserve"> less intensive irrigation and a drying </w:t>
      </w:r>
      <w:r w:rsidR="009B779A" w:rsidRPr="00E5400C">
        <w:rPr>
          <w:rFonts w:cs="Arial"/>
        </w:rPr>
        <w:t>c</w:t>
      </w:r>
      <w:r w:rsidRPr="00E5400C">
        <w:rPr>
          <w:rFonts w:cs="Arial"/>
        </w:rPr>
        <w:t>limate resulting in less pumping t</w:t>
      </w:r>
      <w:r w:rsidR="003C265C" w:rsidRPr="00E5400C">
        <w:rPr>
          <w:rFonts w:cs="Arial"/>
        </w:rPr>
        <w:t xml:space="preserve">han originally anticipated. </w:t>
      </w:r>
      <w:r w:rsidR="00AA0B07" w:rsidRPr="00E5400C">
        <w:rPr>
          <w:rFonts w:cs="Arial"/>
        </w:rPr>
        <w:t>Updated demand is in line with prior years actuals.</w:t>
      </w:r>
    </w:p>
    <w:p w14:paraId="28F0C6B4" w14:textId="77777777" w:rsidR="00760C64" w:rsidRPr="007604D4" w:rsidRDefault="00760C64" w:rsidP="00455094">
      <w:pPr>
        <w:pStyle w:val="ListParagraph"/>
        <w:jc w:val="both"/>
        <w:rPr>
          <w:rFonts w:cs="Arial"/>
          <w:highlight w:val="yellow"/>
        </w:rPr>
      </w:pPr>
    </w:p>
    <w:p w14:paraId="3803BDA2" w14:textId="77777777" w:rsidR="00F72444" w:rsidRPr="000E4D08" w:rsidRDefault="00F72444" w:rsidP="00455094">
      <w:pPr>
        <w:pStyle w:val="ListParagraph"/>
        <w:numPr>
          <w:ilvl w:val="0"/>
          <w:numId w:val="19"/>
        </w:numPr>
        <w:jc w:val="both"/>
        <w:rPr>
          <w:rFonts w:cs="Arial"/>
        </w:rPr>
      </w:pPr>
      <w:r w:rsidRPr="000E4D08">
        <w:rPr>
          <w:rFonts w:cs="Arial"/>
        </w:rPr>
        <w:lastRenderedPageBreak/>
        <w:t>Mitiamo</w:t>
      </w:r>
    </w:p>
    <w:p w14:paraId="028ECC51" w14:textId="77777777" w:rsidR="009D29EB" w:rsidRPr="000E4D08" w:rsidRDefault="009D29EB" w:rsidP="00455094">
      <w:pPr>
        <w:pStyle w:val="ListParagraph"/>
        <w:rPr>
          <w:rFonts w:cs="Arial"/>
        </w:rPr>
      </w:pPr>
    </w:p>
    <w:p w14:paraId="3B40F872" w14:textId="77777777" w:rsidR="009D29EB" w:rsidRPr="000E4D08" w:rsidRDefault="009D29EB" w:rsidP="00455094">
      <w:pPr>
        <w:pStyle w:val="ListParagraph"/>
        <w:jc w:val="both"/>
        <w:rPr>
          <w:rFonts w:cs="Arial"/>
        </w:rPr>
      </w:pPr>
      <w:r w:rsidRPr="000E4D08">
        <w:rPr>
          <w:rFonts w:cs="Arial"/>
        </w:rPr>
        <w:t>Mitiamo</w:t>
      </w:r>
      <w:r w:rsidR="009B779A" w:rsidRPr="000E4D08">
        <w:rPr>
          <w:rFonts w:cs="Arial"/>
        </w:rPr>
        <w:t xml:space="preserve"> Water Supply District</w:t>
      </w:r>
      <w:r w:rsidRPr="000E4D08">
        <w:rPr>
          <w:rFonts w:cs="Arial"/>
        </w:rPr>
        <w:t xml:space="preserve"> </w:t>
      </w:r>
      <w:r w:rsidR="00B90050" w:rsidRPr="000E4D08">
        <w:rPr>
          <w:rFonts w:cs="Arial"/>
        </w:rPr>
        <w:t xml:space="preserve">came into </w:t>
      </w:r>
      <w:r w:rsidRPr="000E4D08">
        <w:rPr>
          <w:rFonts w:cs="Arial"/>
        </w:rPr>
        <w:t>operat</w:t>
      </w:r>
      <w:r w:rsidR="00B90050" w:rsidRPr="000E4D08">
        <w:rPr>
          <w:rFonts w:cs="Arial"/>
        </w:rPr>
        <w:t xml:space="preserve">ion in </w:t>
      </w:r>
      <w:r w:rsidRPr="000E4D08">
        <w:rPr>
          <w:rFonts w:cs="Arial"/>
        </w:rPr>
        <w:t>2021/22. Since the submission demand numbers have been updated to reflect the difference in capacity shares</w:t>
      </w:r>
      <w:r w:rsidR="009B779A" w:rsidRPr="000E4D08">
        <w:rPr>
          <w:rFonts w:cs="Arial"/>
        </w:rPr>
        <w:t xml:space="preserve"> and service points resulting from further discussions with customers on their requirements</w:t>
      </w:r>
      <w:r w:rsidRPr="000E4D08">
        <w:rPr>
          <w:rFonts w:cs="Arial"/>
        </w:rPr>
        <w:t xml:space="preserve">. The assumed number of hectares and houses affected have both decreased and the piggery has ceased to operate. </w:t>
      </w:r>
    </w:p>
    <w:p w14:paraId="46881006" w14:textId="77777777" w:rsidR="009D29EB" w:rsidRPr="007604D4" w:rsidRDefault="009D29EB" w:rsidP="00455094">
      <w:pPr>
        <w:pStyle w:val="ListParagraph"/>
        <w:rPr>
          <w:rFonts w:cs="Arial"/>
          <w:highlight w:val="yellow"/>
        </w:rPr>
      </w:pPr>
    </w:p>
    <w:p w14:paraId="6CDB8228" w14:textId="77777777" w:rsidR="006E399F" w:rsidRPr="009A570E" w:rsidRDefault="006E399F" w:rsidP="00455094">
      <w:pPr>
        <w:pStyle w:val="ListParagraph"/>
        <w:numPr>
          <w:ilvl w:val="0"/>
          <w:numId w:val="19"/>
        </w:numPr>
        <w:jc w:val="both"/>
        <w:rPr>
          <w:rFonts w:cs="Arial"/>
        </w:rPr>
      </w:pPr>
      <w:r w:rsidRPr="009A570E">
        <w:rPr>
          <w:rFonts w:cs="Arial"/>
        </w:rPr>
        <w:t>East Loddon North</w:t>
      </w:r>
    </w:p>
    <w:p w14:paraId="3C1D196A" w14:textId="77777777" w:rsidR="006E399F" w:rsidRPr="009A570E" w:rsidRDefault="006E399F" w:rsidP="00455094">
      <w:pPr>
        <w:pStyle w:val="ListParagraph"/>
        <w:rPr>
          <w:rFonts w:cs="Arial"/>
        </w:rPr>
      </w:pPr>
    </w:p>
    <w:p w14:paraId="4364CC1A" w14:textId="77777777" w:rsidR="00F72444" w:rsidRPr="009A570E" w:rsidRDefault="006E399F" w:rsidP="00455094">
      <w:pPr>
        <w:pStyle w:val="ListParagraph"/>
        <w:jc w:val="both"/>
        <w:rPr>
          <w:rFonts w:cs="Arial"/>
        </w:rPr>
      </w:pPr>
      <w:r w:rsidRPr="009A570E">
        <w:rPr>
          <w:rFonts w:cs="Arial"/>
        </w:rPr>
        <w:t>East Loddon North will continue in 20</w:t>
      </w:r>
      <w:r w:rsidR="009A570E" w:rsidRPr="009A570E">
        <w:rPr>
          <w:rFonts w:cs="Arial"/>
        </w:rPr>
        <w:t>23</w:t>
      </w:r>
      <w:r w:rsidR="00FC2E5B" w:rsidRPr="009A570E">
        <w:rPr>
          <w:rFonts w:cs="Arial"/>
        </w:rPr>
        <w:t>/2</w:t>
      </w:r>
      <w:r w:rsidR="009A570E" w:rsidRPr="009A570E">
        <w:rPr>
          <w:rFonts w:cs="Arial"/>
        </w:rPr>
        <w:t>4</w:t>
      </w:r>
      <w:r w:rsidRPr="009A570E">
        <w:rPr>
          <w:rFonts w:cs="Arial"/>
        </w:rPr>
        <w:t xml:space="preserve"> as </w:t>
      </w:r>
      <w:r w:rsidR="009A570E" w:rsidRPr="009A570E">
        <w:rPr>
          <w:rFonts w:cs="Arial"/>
        </w:rPr>
        <w:t>46</w:t>
      </w:r>
      <w:r w:rsidRPr="009A570E">
        <w:rPr>
          <w:rFonts w:cs="Arial"/>
        </w:rPr>
        <w:t xml:space="preserve"> customers </w:t>
      </w:r>
      <w:r w:rsidR="009B779A" w:rsidRPr="009A570E">
        <w:rPr>
          <w:rFonts w:cs="Arial"/>
        </w:rPr>
        <w:t xml:space="preserve">have </w:t>
      </w:r>
      <w:r w:rsidR="00BC103B" w:rsidRPr="009A570E">
        <w:rPr>
          <w:rFonts w:cs="Arial"/>
        </w:rPr>
        <w:t>chose</w:t>
      </w:r>
      <w:r w:rsidR="009B779A" w:rsidRPr="009A570E">
        <w:rPr>
          <w:rFonts w:cs="Arial"/>
        </w:rPr>
        <w:t>n</w:t>
      </w:r>
      <w:r w:rsidR="00BC103B" w:rsidRPr="009A570E">
        <w:rPr>
          <w:rFonts w:cs="Arial"/>
        </w:rPr>
        <w:t xml:space="preserve"> not to be </w:t>
      </w:r>
      <w:r w:rsidRPr="009A570E">
        <w:rPr>
          <w:rFonts w:cs="Arial"/>
        </w:rPr>
        <w:t xml:space="preserve">included in the Mitiamo pipeline </w:t>
      </w:r>
      <w:r w:rsidR="009B779A" w:rsidRPr="009A570E">
        <w:rPr>
          <w:rFonts w:cs="Arial"/>
        </w:rPr>
        <w:t xml:space="preserve">and </w:t>
      </w:r>
      <w:r w:rsidRPr="009A570E">
        <w:rPr>
          <w:rFonts w:cs="Arial"/>
        </w:rPr>
        <w:t xml:space="preserve">will continue to be priced under the current East Loddon North prices. This is a </w:t>
      </w:r>
      <w:r w:rsidR="00FE16AA" w:rsidRPr="009A570E">
        <w:rPr>
          <w:rFonts w:cs="Arial"/>
        </w:rPr>
        <w:t xml:space="preserve">change </w:t>
      </w:r>
      <w:r w:rsidR="009B779A" w:rsidRPr="009A570E">
        <w:rPr>
          <w:rFonts w:cs="Arial"/>
        </w:rPr>
        <w:t>from</w:t>
      </w:r>
      <w:r w:rsidR="00583DD0" w:rsidRPr="009A570E">
        <w:rPr>
          <w:rFonts w:cs="Arial"/>
        </w:rPr>
        <w:t xml:space="preserve"> the 2020 Pricing Submission </w:t>
      </w:r>
      <w:r w:rsidR="009B779A" w:rsidRPr="009A570E">
        <w:rPr>
          <w:rFonts w:cs="Arial"/>
        </w:rPr>
        <w:t>which assumed all customers would move to the pipeline.</w:t>
      </w:r>
      <w:r w:rsidR="00583DD0" w:rsidRPr="009A570E">
        <w:rPr>
          <w:rFonts w:cs="Arial"/>
        </w:rPr>
        <w:t xml:space="preserve"> </w:t>
      </w:r>
    </w:p>
    <w:p w14:paraId="0CF6DE0F" w14:textId="77777777" w:rsidR="003263E8" w:rsidRPr="007604D4" w:rsidRDefault="003263E8" w:rsidP="00455094">
      <w:pPr>
        <w:pStyle w:val="ListParagraph"/>
        <w:jc w:val="both"/>
        <w:rPr>
          <w:rFonts w:cs="Arial"/>
          <w:highlight w:val="yellow"/>
        </w:rPr>
      </w:pPr>
    </w:p>
    <w:p w14:paraId="75B1AC67" w14:textId="77777777" w:rsidR="003263E8" w:rsidRPr="00524C08" w:rsidRDefault="003263E8" w:rsidP="00455094">
      <w:pPr>
        <w:pStyle w:val="ListParagraph"/>
        <w:numPr>
          <w:ilvl w:val="0"/>
          <w:numId w:val="19"/>
        </w:numPr>
        <w:ind w:left="714" w:hanging="357"/>
        <w:jc w:val="both"/>
        <w:rPr>
          <w:rFonts w:cs="Arial"/>
        </w:rPr>
      </w:pPr>
      <w:r w:rsidRPr="00524C08">
        <w:rPr>
          <w:rFonts w:cs="Arial"/>
        </w:rPr>
        <w:t>Variable Volumes</w:t>
      </w:r>
    </w:p>
    <w:p w14:paraId="3C2FEC25" w14:textId="77777777" w:rsidR="000B726D" w:rsidRPr="00021440" w:rsidRDefault="003263E8" w:rsidP="00455094">
      <w:pPr>
        <w:spacing w:after="240"/>
        <w:ind w:left="720"/>
        <w:jc w:val="both"/>
        <w:rPr>
          <w:rFonts w:cs="Arial"/>
          <w:color w:val="000000"/>
        </w:rPr>
      </w:pPr>
      <w:r w:rsidRPr="00524C08">
        <w:rPr>
          <w:rFonts w:cs="Arial"/>
        </w:rPr>
        <w:t>In the 2020 Pricing Submission the forecast GMID usage for 202</w:t>
      </w:r>
      <w:r w:rsidR="00524C08" w:rsidRPr="00524C08">
        <w:rPr>
          <w:rFonts w:cs="Arial"/>
        </w:rPr>
        <w:t>3</w:t>
      </w:r>
      <w:r w:rsidRPr="00524C08">
        <w:rPr>
          <w:rFonts w:cs="Arial"/>
        </w:rPr>
        <w:t>/2</w:t>
      </w:r>
      <w:r w:rsidR="00524C08" w:rsidRPr="00524C08">
        <w:rPr>
          <w:rFonts w:cs="Arial"/>
        </w:rPr>
        <w:t>4</w:t>
      </w:r>
      <w:r w:rsidRPr="00524C08">
        <w:rPr>
          <w:rFonts w:cs="Arial"/>
        </w:rPr>
        <w:t xml:space="preserve"> was </w:t>
      </w:r>
      <w:r w:rsidR="00316018" w:rsidRPr="00524C08">
        <w:rPr>
          <w:rFonts w:cs="Arial"/>
        </w:rPr>
        <w:t>8</w:t>
      </w:r>
      <w:r w:rsidR="00524C08" w:rsidRPr="00524C08">
        <w:rPr>
          <w:rFonts w:cs="Arial"/>
        </w:rPr>
        <w:t>24</w:t>
      </w:r>
      <w:r w:rsidRPr="00524C08">
        <w:rPr>
          <w:rFonts w:cs="Arial"/>
        </w:rPr>
        <w:t xml:space="preserve"> GL, this has now been updated to 9</w:t>
      </w:r>
      <w:r w:rsidR="00524C08" w:rsidRPr="00524C08">
        <w:rPr>
          <w:rFonts w:cs="Arial"/>
        </w:rPr>
        <w:t>0</w:t>
      </w:r>
      <w:r w:rsidR="00316018" w:rsidRPr="00524C08">
        <w:rPr>
          <w:rFonts w:cs="Arial"/>
        </w:rPr>
        <w:t>0</w:t>
      </w:r>
      <w:r w:rsidRPr="00524C08">
        <w:rPr>
          <w:rFonts w:cs="Arial"/>
        </w:rPr>
        <w:t xml:space="preserve"> GL for the 202</w:t>
      </w:r>
      <w:r w:rsidR="00524C08" w:rsidRPr="00524C08">
        <w:rPr>
          <w:rFonts w:cs="Arial"/>
        </w:rPr>
        <w:t>3</w:t>
      </w:r>
      <w:r w:rsidRPr="00524C08">
        <w:rPr>
          <w:rFonts w:cs="Arial"/>
        </w:rPr>
        <w:t>/2</w:t>
      </w:r>
      <w:r w:rsidR="00524C08" w:rsidRPr="00524C08">
        <w:rPr>
          <w:rFonts w:cs="Arial"/>
        </w:rPr>
        <w:t>4</w:t>
      </w:r>
      <w:r w:rsidRPr="00524C08">
        <w:rPr>
          <w:rFonts w:cs="Arial"/>
        </w:rPr>
        <w:t xml:space="preserve"> forecast. </w:t>
      </w:r>
      <w:r w:rsidRPr="00524C08">
        <w:rPr>
          <w:rFonts w:cs="Arial"/>
          <w:color w:val="000000"/>
        </w:rPr>
        <w:t xml:space="preserve">This is higher than the original forecast due to higher forecast water availability </w:t>
      </w:r>
      <w:proofErr w:type="gramStart"/>
      <w:r w:rsidRPr="00524C08">
        <w:rPr>
          <w:rFonts w:cs="Arial"/>
          <w:color w:val="000000"/>
        </w:rPr>
        <w:t>taking into account</w:t>
      </w:r>
      <w:proofErr w:type="gramEnd"/>
      <w:r w:rsidRPr="00524C08">
        <w:rPr>
          <w:rFonts w:cs="Arial"/>
          <w:color w:val="000000"/>
        </w:rPr>
        <w:t xml:space="preserve"> anticipated carryover, available volumes in the storages and average weather conditions for next </w:t>
      </w:r>
      <w:r w:rsidRPr="00021440">
        <w:rPr>
          <w:rFonts w:cs="Arial"/>
          <w:color w:val="000000"/>
        </w:rPr>
        <w:t>year.</w:t>
      </w:r>
      <w:r w:rsidR="00A62D72">
        <w:rPr>
          <w:rFonts w:cs="Arial"/>
          <w:color w:val="000000"/>
        </w:rPr>
        <w:t xml:space="preserve"> In 2023/24 infrastructure use fee demand for pumped irrigation and water districts is coming in lower than anticipated. </w:t>
      </w:r>
    </w:p>
    <w:p w14:paraId="158323AE" w14:textId="77777777" w:rsidR="00DE510F" w:rsidRPr="00021440" w:rsidRDefault="00DE510F" w:rsidP="00455094">
      <w:pPr>
        <w:pStyle w:val="ListParagraph"/>
        <w:numPr>
          <w:ilvl w:val="0"/>
          <w:numId w:val="19"/>
        </w:numPr>
        <w:spacing w:after="240"/>
        <w:jc w:val="both"/>
        <w:rPr>
          <w:rFonts w:cs="Arial"/>
          <w:color w:val="000000"/>
        </w:rPr>
      </w:pPr>
      <w:r w:rsidRPr="00021440">
        <w:rPr>
          <w:rFonts w:cs="Arial"/>
          <w:color w:val="000000"/>
        </w:rPr>
        <w:t>Customer Fee</w:t>
      </w:r>
    </w:p>
    <w:p w14:paraId="62FC94B0" w14:textId="77777777" w:rsidR="00056A5B" w:rsidRDefault="00DE510F" w:rsidP="00455094">
      <w:pPr>
        <w:spacing w:after="240"/>
        <w:ind w:left="720"/>
        <w:jc w:val="both"/>
        <w:rPr>
          <w:rFonts w:cs="Arial"/>
        </w:rPr>
      </w:pPr>
      <w:r w:rsidRPr="00021440">
        <w:rPr>
          <w:rFonts w:cs="Arial"/>
        </w:rPr>
        <w:t xml:space="preserve">In </w:t>
      </w:r>
      <w:r w:rsidR="003763A9" w:rsidRPr="00021440">
        <w:rPr>
          <w:rFonts w:cs="Arial"/>
        </w:rPr>
        <w:t>202</w:t>
      </w:r>
      <w:r w:rsidR="00021440" w:rsidRPr="00021440">
        <w:rPr>
          <w:rFonts w:cs="Arial"/>
        </w:rPr>
        <w:t>3</w:t>
      </w:r>
      <w:r w:rsidR="003763A9" w:rsidRPr="00021440">
        <w:rPr>
          <w:rFonts w:cs="Arial"/>
        </w:rPr>
        <w:t>/2</w:t>
      </w:r>
      <w:r w:rsidR="00021440" w:rsidRPr="00021440">
        <w:rPr>
          <w:rFonts w:cs="Arial"/>
        </w:rPr>
        <w:t>4</w:t>
      </w:r>
      <w:r w:rsidR="003763A9" w:rsidRPr="00021440">
        <w:rPr>
          <w:rFonts w:cs="Arial"/>
        </w:rPr>
        <w:t xml:space="preserve"> the forecast </w:t>
      </w:r>
      <w:r w:rsidRPr="00021440">
        <w:rPr>
          <w:rFonts w:cs="Arial"/>
        </w:rPr>
        <w:t xml:space="preserve">single customer numbers are </w:t>
      </w:r>
      <w:r w:rsidR="003763A9" w:rsidRPr="00021440">
        <w:rPr>
          <w:rFonts w:cs="Arial"/>
        </w:rPr>
        <w:t>higher than originally anticipated in the 2020 Pricing Submission</w:t>
      </w:r>
      <w:r w:rsidR="00432776" w:rsidRPr="00021440">
        <w:rPr>
          <w:rFonts w:cs="Arial"/>
        </w:rPr>
        <w:t xml:space="preserve"> due to the finalisation of </w:t>
      </w:r>
      <w:r w:rsidR="00393A00" w:rsidRPr="00021440">
        <w:rPr>
          <w:rFonts w:cs="Arial"/>
        </w:rPr>
        <w:t xml:space="preserve">the </w:t>
      </w:r>
      <w:r w:rsidR="00432776" w:rsidRPr="00021440">
        <w:rPr>
          <w:rFonts w:cs="Arial"/>
        </w:rPr>
        <w:t>single customer model.</w:t>
      </w:r>
      <w:r w:rsidR="00432776" w:rsidRPr="00056A5B">
        <w:rPr>
          <w:rFonts w:cs="Arial"/>
        </w:rPr>
        <w:t xml:space="preserve">  </w:t>
      </w:r>
      <w:bookmarkStart w:id="39" w:name="_Toc481579041"/>
    </w:p>
    <w:p w14:paraId="0EE112E9" w14:textId="77777777" w:rsidR="0042162D" w:rsidRDefault="0042162D" w:rsidP="00455094">
      <w:pPr>
        <w:pStyle w:val="ListParagraph"/>
        <w:numPr>
          <w:ilvl w:val="0"/>
          <w:numId w:val="19"/>
        </w:numPr>
        <w:spacing w:after="240"/>
        <w:jc w:val="both"/>
        <w:rPr>
          <w:rFonts w:cs="Arial"/>
        </w:rPr>
      </w:pPr>
      <w:r>
        <w:rPr>
          <w:rFonts w:cs="Arial"/>
        </w:rPr>
        <w:t xml:space="preserve">Water Register Fee </w:t>
      </w:r>
    </w:p>
    <w:p w14:paraId="6B9F287E" w14:textId="77777777" w:rsidR="0042162D" w:rsidRDefault="0042162D" w:rsidP="00455094">
      <w:pPr>
        <w:spacing w:after="240"/>
        <w:ind w:left="720"/>
        <w:jc w:val="both"/>
        <w:rPr>
          <w:rFonts w:cs="Arial"/>
        </w:rPr>
      </w:pPr>
      <w:r w:rsidRPr="00021440">
        <w:rPr>
          <w:rFonts w:cs="Arial"/>
        </w:rPr>
        <w:t xml:space="preserve">In 2023/24 the forecast </w:t>
      </w:r>
      <w:r w:rsidR="00FD4663">
        <w:rPr>
          <w:rFonts w:cs="Arial"/>
        </w:rPr>
        <w:t xml:space="preserve">entitlements for the </w:t>
      </w:r>
      <w:r>
        <w:rPr>
          <w:rFonts w:cs="Arial"/>
        </w:rPr>
        <w:t xml:space="preserve">water register </w:t>
      </w:r>
      <w:r w:rsidR="00FD4663">
        <w:rPr>
          <w:rFonts w:cs="Arial"/>
        </w:rPr>
        <w:t>fee</w:t>
      </w:r>
      <w:r w:rsidRPr="00021440">
        <w:rPr>
          <w:rFonts w:cs="Arial"/>
        </w:rPr>
        <w:t xml:space="preserve"> are higher than originally anticipated in the 2020 Pricing Submission due to</w:t>
      </w:r>
      <w:r w:rsidR="00493ACC">
        <w:rPr>
          <w:rFonts w:cs="Arial"/>
        </w:rPr>
        <w:t xml:space="preserve"> the Irrigat</w:t>
      </w:r>
      <w:r w:rsidR="00BF39B8">
        <w:rPr>
          <w:rFonts w:cs="Arial"/>
        </w:rPr>
        <w:t xml:space="preserve">or </w:t>
      </w:r>
      <w:r w:rsidR="00493ACC">
        <w:rPr>
          <w:rFonts w:cs="Arial"/>
        </w:rPr>
        <w:t>Share Distribution Project an</w:t>
      </w:r>
      <w:r w:rsidR="00455094">
        <w:rPr>
          <w:rFonts w:cs="Arial"/>
        </w:rPr>
        <w:t>d changes in demand at Mitiamo.</w:t>
      </w:r>
    </w:p>
    <w:p w14:paraId="53E15E49" w14:textId="77777777" w:rsidR="00306D8F" w:rsidRPr="004A0AF4" w:rsidRDefault="00306D8F" w:rsidP="00306D8F">
      <w:pPr>
        <w:pStyle w:val="Heading2"/>
        <w:keepLines w:val="0"/>
        <w:numPr>
          <w:ilvl w:val="1"/>
          <w:numId w:val="3"/>
        </w:numPr>
        <w:spacing w:before="240" w:after="60"/>
        <w:rPr>
          <w:rFonts w:cs="Arial"/>
        </w:rPr>
      </w:pPr>
      <w:bookmarkStart w:id="40" w:name="_Toc134012433"/>
      <w:r w:rsidRPr="004A0AF4">
        <w:rPr>
          <w:rFonts w:cs="Arial"/>
        </w:rPr>
        <w:t>Customer Impact Analysis</w:t>
      </w:r>
      <w:bookmarkEnd w:id="39"/>
      <w:bookmarkEnd w:id="40"/>
    </w:p>
    <w:p w14:paraId="07EB01BF" w14:textId="77777777" w:rsidR="00306D8F" w:rsidRPr="004A0AF4" w:rsidRDefault="00306D8F" w:rsidP="00306D8F">
      <w:pPr>
        <w:rPr>
          <w:rFonts w:cs="Arial"/>
        </w:rPr>
      </w:pPr>
      <w:r w:rsidRPr="004A0AF4">
        <w:rPr>
          <w:rFonts w:cs="Arial"/>
        </w:rPr>
        <w:t xml:space="preserve">This section sets out the impact of our </w:t>
      </w:r>
      <w:r w:rsidRPr="008200F8">
        <w:rPr>
          <w:rFonts w:cs="Arial"/>
        </w:rPr>
        <w:t>proposed 202</w:t>
      </w:r>
      <w:r w:rsidR="008200F8" w:rsidRPr="008200F8">
        <w:rPr>
          <w:rFonts w:cs="Arial"/>
        </w:rPr>
        <w:t>3</w:t>
      </w:r>
      <w:r w:rsidR="00FC2E5B" w:rsidRPr="008200F8">
        <w:rPr>
          <w:rFonts w:cs="Arial"/>
        </w:rPr>
        <w:t>/2</w:t>
      </w:r>
      <w:r w:rsidR="008200F8" w:rsidRPr="008200F8">
        <w:rPr>
          <w:rFonts w:cs="Arial"/>
        </w:rPr>
        <w:t>4</w:t>
      </w:r>
      <w:r w:rsidRPr="008200F8">
        <w:rPr>
          <w:rFonts w:cs="Arial"/>
        </w:rPr>
        <w:t xml:space="preserve"> prices on typical</w:t>
      </w:r>
      <w:r w:rsidRPr="004A0AF4">
        <w:rPr>
          <w:rFonts w:cs="Arial"/>
        </w:rPr>
        <w:t xml:space="preserve"> customers.</w:t>
      </w:r>
    </w:p>
    <w:p w14:paraId="5DAEAD17" w14:textId="77777777" w:rsidR="00306D8F" w:rsidRPr="004A0AF4" w:rsidRDefault="00306D8F" w:rsidP="00306D8F">
      <w:pPr>
        <w:rPr>
          <w:rFonts w:cs="Arial"/>
        </w:rPr>
      </w:pPr>
      <w:r w:rsidRPr="004A0AF4">
        <w:rPr>
          <w:rFonts w:cs="Arial"/>
        </w:rPr>
        <w:t xml:space="preserve">Customer impacts are expressed as the change in total bill for a set of ‘typical </w:t>
      </w:r>
      <w:proofErr w:type="gramStart"/>
      <w:r w:rsidRPr="004A0AF4">
        <w:rPr>
          <w:rFonts w:cs="Arial"/>
        </w:rPr>
        <w:t>customers’</w:t>
      </w:r>
      <w:proofErr w:type="gramEnd"/>
      <w:r w:rsidRPr="004A0AF4">
        <w:rPr>
          <w:rFonts w:cs="Arial"/>
        </w:rPr>
        <w:t xml:space="preserve">. </w:t>
      </w:r>
      <w:r w:rsidRPr="0064674B">
        <w:rPr>
          <w:rFonts w:cs="Arial"/>
        </w:rPr>
        <w:t xml:space="preserve">The characteristics of the customer types have been determined using actual customer data. Nominal percentage changes in bills include the </w:t>
      </w:r>
      <w:r w:rsidR="00273337" w:rsidRPr="0064674B">
        <w:rPr>
          <w:rFonts w:cs="Arial"/>
        </w:rPr>
        <w:t>agreed</w:t>
      </w:r>
      <w:r w:rsidR="004A0AF4" w:rsidRPr="0064674B">
        <w:rPr>
          <w:rFonts w:cs="Arial"/>
        </w:rPr>
        <w:t xml:space="preserve"> </w:t>
      </w:r>
      <w:r w:rsidR="009063D6" w:rsidRPr="00483A2C">
        <w:rPr>
          <w:rFonts w:cs="Arial"/>
        </w:rPr>
        <w:t>increase</w:t>
      </w:r>
      <w:r w:rsidR="00A905B1" w:rsidRPr="00483A2C">
        <w:rPr>
          <w:rFonts w:cs="Arial"/>
        </w:rPr>
        <w:t xml:space="preserve"> </w:t>
      </w:r>
      <w:r w:rsidR="0058321D" w:rsidRPr="00483A2C">
        <w:rPr>
          <w:rFonts w:cs="Arial"/>
        </w:rPr>
        <w:t xml:space="preserve">of </w:t>
      </w:r>
      <w:r w:rsidR="00E86B79" w:rsidRPr="00483A2C">
        <w:rPr>
          <w:rFonts w:cs="Arial"/>
        </w:rPr>
        <w:t>5.6</w:t>
      </w:r>
      <w:r w:rsidRPr="00483A2C">
        <w:rPr>
          <w:rFonts w:cs="Arial"/>
        </w:rPr>
        <w:t xml:space="preserve"> per cent</w:t>
      </w:r>
      <w:r w:rsidR="008350C3" w:rsidRPr="00483A2C">
        <w:rPr>
          <w:rFonts w:cs="Arial"/>
        </w:rPr>
        <w:t>.</w:t>
      </w:r>
    </w:p>
    <w:p w14:paraId="113327BF" w14:textId="77777777" w:rsidR="00306D8F" w:rsidRPr="004A0AF4" w:rsidRDefault="00306D8F" w:rsidP="00306D8F">
      <w:pPr>
        <w:rPr>
          <w:rFonts w:cs="Arial"/>
          <w:u w:val="single"/>
        </w:rPr>
      </w:pPr>
      <w:r w:rsidRPr="004A0AF4">
        <w:rPr>
          <w:rFonts w:cs="Arial"/>
          <w:u w:val="single"/>
        </w:rPr>
        <w:t>Gravity Irrigation</w:t>
      </w:r>
    </w:p>
    <w:p w14:paraId="72887C70" w14:textId="77777777" w:rsidR="00306D8F" w:rsidRPr="00823A2E" w:rsidRDefault="00306D8F" w:rsidP="00306D8F">
      <w:pPr>
        <w:rPr>
          <w:rFonts w:cs="Arial"/>
        </w:rPr>
      </w:pPr>
      <w:r w:rsidRPr="004A0AF4">
        <w:rPr>
          <w:rFonts w:cs="Arial"/>
        </w:rPr>
        <w:t xml:space="preserve">GMW uses its customer data to prepare the following analysis of customer impacts, using an average population for each ‘size’ of customer. Customers may experience actual movements in bills higher or lower than the following indicative effects due to the use of a mean average. Likewise, customers for whom the Connections Project has made changes to meters and connections in the prior period may experience a change in tariff mix (particularly service point fees). </w:t>
      </w:r>
    </w:p>
    <w:p w14:paraId="791ABB69" w14:textId="77777777" w:rsidR="0022402F" w:rsidRPr="00823A2E" w:rsidRDefault="0022402F" w:rsidP="0022402F">
      <w:pPr>
        <w:spacing w:line="240" w:lineRule="auto"/>
        <w:rPr>
          <w:rFonts w:cs="Arial"/>
          <w:szCs w:val="20"/>
        </w:rPr>
      </w:pPr>
      <w:r w:rsidRPr="003C59F1">
        <w:rPr>
          <w:rFonts w:cs="Arial"/>
          <w:szCs w:val="20"/>
        </w:rPr>
        <w:t xml:space="preserve">Small customers will </w:t>
      </w:r>
      <w:r w:rsidRPr="00483A2C">
        <w:rPr>
          <w:rFonts w:cs="Arial"/>
          <w:szCs w:val="20"/>
        </w:rPr>
        <w:t xml:space="preserve">receive </w:t>
      </w:r>
      <w:r w:rsidR="00C83903" w:rsidRPr="00483A2C">
        <w:rPr>
          <w:rFonts w:cs="Arial"/>
          <w:szCs w:val="20"/>
        </w:rPr>
        <w:t xml:space="preserve">a </w:t>
      </w:r>
      <w:r w:rsidR="005F18FB" w:rsidRPr="00483A2C">
        <w:rPr>
          <w:rFonts w:cs="Arial"/>
          <w:szCs w:val="20"/>
        </w:rPr>
        <w:t>5</w:t>
      </w:r>
      <w:r w:rsidR="0011383D" w:rsidRPr="00483A2C">
        <w:rPr>
          <w:rFonts w:cs="Arial"/>
          <w:szCs w:val="20"/>
        </w:rPr>
        <w:t xml:space="preserve"> per cent</w:t>
      </w:r>
      <w:r w:rsidRPr="00483A2C">
        <w:rPr>
          <w:rFonts w:cs="Arial"/>
          <w:szCs w:val="20"/>
        </w:rPr>
        <w:t xml:space="preserve"> bill </w:t>
      </w:r>
      <w:r w:rsidR="0019401A" w:rsidRPr="00483A2C">
        <w:rPr>
          <w:rFonts w:cs="Arial"/>
          <w:szCs w:val="20"/>
        </w:rPr>
        <w:t>decrease</w:t>
      </w:r>
      <w:r w:rsidR="003C59F1" w:rsidRPr="003C59F1">
        <w:rPr>
          <w:rFonts w:cs="Arial"/>
          <w:szCs w:val="20"/>
        </w:rPr>
        <w:t xml:space="preserve"> </w:t>
      </w:r>
      <w:r w:rsidR="00823A2E" w:rsidRPr="003C59F1">
        <w:rPr>
          <w:rFonts w:cs="Arial"/>
          <w:szCs w:val="20"/>
        </w:rPr>
        <w:t>due to the Customer Fee and D&amp;S Service Point fee being held for 2023/24</w:t>
      </w:r>
      <w:r w:rsidR="00016D49" w:rsidRPr="003C59F1">
        <w:rPr>
          <w:rFonts w:cs="Arial"/>
          <w:szCs w:val="20"/>
        </w:rPr>
        <w:t>.</w:t>
      </w:r>
      <w:r w:rsidR="004D51DD" w:rsidRPr="003C59F1">
        <w:rPr>
          <w:rFonts w:cs="Arial"/>
          <w:szCs w:val="20"/>
        </w:rPr>
        <w:t xml:space="preserve"> </w:t>
      </w:r>
    </w:p>
    <w:p w14:paraId="1194AC8D" w14:textId="77777777" w:rsidR="00363EAB" w:rsidRDefault="0022402F" w:rsidP="0022402F">
      <w:pPr>
        <w:spacing w:line="240" w:lineRule="auto"/>
        <w:rPr>
          <w:rFonts w:cs="Arial"/>
          <w:szCs w:val="20"/>
        </w:rPr>
      </w:pPr>
      <w:r w:rsidRPr="009E46B0">
        <w:rPr>
          <w:rFonts w:cs="Arial"/>
          <w:szCs w:val="20"/>
        </w:rPr>
        <w:lastRenderedPageBreak/>
        <w:t>The impact is lower for medium and large customers,</w:t>
      </w:r>
      <w:r w:rsidR="0011383D" w:rsidRPr="009E46B0">
        <w:rPr>
          <w:rFonts w:cs="Arial"/>
          <w:szCs w:val="20"/>
        </w:rPr>
        <w:t xml:space="preserve"> who will see decreases </w:t>
      </w:r>
      <w:r w:rsidR="0011383D" w:rsidRPr="00483A2C">
        <w:rPr>
          <w:rFonts w:cs="Arial"/>
          <w:szCs w:val="20"/>
        </w:rPr>
        <w:t>between 2</w:t>
      </w:r>
      <w:r w:rsidR="005F18FB" w:rsidRPr="00483A2C">
        <w:rPr>
          <w:rFonts w:cs="Arial"/>
          <w:szCs w:val="20"/>
        </w:rPr>
        <w:t>-3</w:t>
      </w:r>
      <w:r w:rsidR="0011383D" w:rsidRPr="00483A2C">
        <w:rPr>
          <w:rFonts w:cs="Arial"/>
          <w:szCs w:val="20"/>
        </w:rPr>
        <w:t xml:space="preserve"> per cent</w:t>
      </w:r>
      <w:r w:rsidR="00363EAB" w:rsidRPr="00483A2C">
        <w:rPr>
          <w:rFonts w:cs="Arial"/>
          <w:szCs w:val="20"/>
        </w:rPr>
        <w:t xml:space="preserve"> as the increase in the Infrastructure Access and Use fees are offset by th</w:t>
      </w:r>
      <w:r w:rsidR="00363EAB" w:rsidRPr="00363EAB">
        <w:rPr>
          <w:rFonts w:cs="Arial"/>
          <w:szCs w:val="20"/>
        </w:rPr>
        <w:t xml:space="preserve">e </w:t>
      </w:r>
      <w:r w:rsidR="00FD54B7" w:rsidRPr="00363EAB">
        <w:rPr>
          <w:rFonts w:cs="Arial"/>
          <w:szCs w:val="20"/>
        </w:rPr>
        <w:t xml:space="preserve">Remote Operate </w:t>
      </w:r>
      <w:r w:rsidR="00363EAB" w:rsidRPr="00363EAB">
        <w:rPr>
          <w:rFonts w:cs="Arial"/>
          <w:szCs w:val="20"/>
        </w:rPr>
        <w:t xml:space="preserve">Service Point </w:t>
      </w:r>
      <w:r w:rsidR="00FD54B7" w:rsidRPr="00363EAB">
        <w:rPr>
          <w:rFonts w:cs="Arial"/>
          <w:szCs w:val="20"/>
        </w:rPr>
        <w:t>fee which is being held for 2023/24</w:t>
      </w:r>
      <w:r w:rsidR="00363EAB" w:rsidRPr="00363EAB">
        <w:rPr>
          <w:rFonts w:cs="Arial"/>
          <w:szCs w:val="20"/>
        </w:rPr>
        <w:t>.</w:t>
      </w:r>
      <w:r w:rsidR="00FD54B7" w:rsidRPr="00363EAB">
        <w:rPr>
          <w:rFonts w:cs="Arial"/>
          <w:szCs w:val="20"/>
        </w:rPr>
        <w:t xml:space="preserve"> </w:t>
      </w:r>
    </w:p>
    <w:p w14:paraId="0FAC4503" w14:textId="77777777" w:rsidR="00810EDB" w:rsidRPr="00A21526" w:rsidRDefault="0022402F" w:rsidP="0022402F">
      <w:pPr>
        <w:spacing w:line="240" w:lineRule="auto"/>
        <w:rPr>
          <w:rFonts w:eastAsia="Times New Roman" w:cs="Arial"/>
          <w:b/>
          <w:szCs w:val="18"/>
        </w:rPr>
      </w:pPr>
      <w:r w:rsidRPr="00363EAB">
        <w:rPr>
          <w:rFonts w:cs="Arial"/>
          <w:szCs w:val="20"/>
        </w:rPr>
        <w:t>Whilst the gravity delivery charges are uniform for the six areas, their overall bills differ due to bulk water and drainage charges</w:t>
      </w:r>
      <w:r w:rsidRPr="003C59F1">
        <w:rPr>
          <w:rFonts w:cs="Arial"/>
          <w:szCs w:val="20"/>
        </w:rPr>
        <w:t>.</w:t>
      </w:r>
    </w:p>
    <w:p w14:paraId="5EE048DF" w14:textId="77777777" w:rsidR="0019401A" w:rsidRPr="0064674B" w:rsidRDefault="00306D8F" w:rsidP="00306D8F">
      <w:pPr>
        <w:spacing w:line="240" w:lineRule="auto"/>
        <w:rPr>
          <w:rFonts w:eastAsia="Times New Roman" w:cs="Arial"/>
          <w:b/>
          <w:szCs w:val="18"/>
        </w:rPr>
      </w:pPr>
      <w:r w:rsidRPr="008A6556">
        <w:rPr>
          <w:rFonts w:eastAsia="Times New Roman" w:cs="Arial"/>
          <w:b/>
          <w:szCs w:val="18"/>
        </w:rPr>
        <w:t xml:space="preserve">Bill increases in real $s, </w:t>
      </w:r>
      <w:r w:rsidR="00810EDB" w:rsidRPr="008A6556">
        <w:rPr>
          <w:rFonts w:eastAsia="Times New Roman" w:cs="Arial"/>
          <w:b/>
          <w:szCs w:val="18"/>
        </w:rPr>
        <w:t>G</w:t>
      </w:r>
      <w:r w:rsidRPr="008A6556">
        <w:rPr>
          <w:rFonts w:eastAsia="Times New Roman" w:cs="Arial"/>
          <w:b/>
          <w:szCs w:val="18"/>
        </w:rPr>
        <w:t xml:space="preserve">ravity </w:t>
      </w:r>
      <w:proofErr w:type="gramStart"/>
      <w:r w:rsidRPr="008A6556">
        <w:rPr>
          <w:rFonts w:eastAsia="Times New Roman" w:cs="Arial"/>
          <w:b/>
          <w:szCs w:val="18"/>
        </w:rPr>
        <w:t>customers</w:t>
      </w:r>
      <w:proofErr w:type="gramEnd"/>
    </w:p>
    <w:tbl>
      <w:tblPr>
        <w:tblpPr w:leftFromText="180" w:rightFromText="180" w:vertAnchor="text" w:horzAnchor="page" w:tblpX="918" w:tblpY="293"/>
        <w:tblW w:w="10574" w:type="dxa"/>
        <w:tblLayout w:type="fixed"/>
        <w:tblCellMar>
          <w:left w:w="28" w:type="dxa"/>
          <w:right w:w="28" w:type="dxa"/>
        </w:tblCellMar>
        <w:tblLook w:val="04A0" w:firstRow="1" w:lastRow="0" w:firstColumn="1" w:lastColumn="0" w:noHBand="0" w:noVBand="1"/>
      </w:tblPr>
      <w:tblGrid>
        <w:gridCol w:w="1124"/>
        <w:gridCol w:w="783"/>
        <w:gridCol w:w="784"/>
        <w:gridCol w:w="790"/>
        <w:gridCol w:w="786"/>
        <w:gridCol w:w="784"/>
        <w:gridCol w:w="790"/>
        <w:gridCol w:w="785"/>
        <w:gridCol w:w="785"/>
        <w:gridCol w:w="789"/>
        <w:gridCol w:w="785"/>
        <w:gridCol w:w="785"/>
        <w:gridCol w:w="785"/>
        <w:gridCol w:w="19"/>
      </w:tblGrid>
      <w:tr w:rsidR="00711D5F" w:rsidRPr="00284D9A" w14:paraId="16F268D4" w14:textId="77777777" w:rsidTr="002D4B4B">
        <w:trPr>
          <w:cantSplit/>
          <w:trHeight w:val="262"/>
        </w:trPr>
        <w:tc>
          <w:tcPr>
            <w:tcW w:w="112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D588979" w14:textId="77777777" w:rsidR="00711D5F" w:rsidRPr="00284D9A" w:rsidRDefault="00711D5F" w:rsidP="00593E22">
            <w:pPr>
              <w:spacing w:after="0" w:line="240" w:lineRule="auto"/>
              <w:ind w:left="20" w:hangingChars="11" w:hanging="20"/>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Gravity Irrigation</w:t>
            </w:r>
          </w:p>
        </w:tc>
        <w:tc>
          <w:tcPr>
            <w:tcW w:w="23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89EC777" w14:textId="77777777" w:rsidR="00711D5F" w:rsidRPr="00284D9A" w:rsidRDefault="00711D5F" w:rsidP="00593E22">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Small</w:t>
            </w:r>
          </w:p>
        </w:tc>
        <w:tc>
          <w:tcPr>
            <w:tcW w:w="23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E56F845" w14:textId="77777777" w:rsidR="00711D5F" w:rsidRPr="00284D9A" w:rsidRDefault="00711D5F" w:rsidP="00593E22">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Medium</w:t>
            </w:r>
          </w:p>
        </w:tc>
        <w:tc>
          <w:tcPr>
            <w:tcW w:w="23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97F5951" w14:textId="77777777" w:rsidR="00711D5F" w:rsidRPr="00284D9A" w:rsidRDefault="00711D5F" w:rsidP="00593E22">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Large</w:t>
            </w:r>
          </w:p>
        </w:tc>
        <w:tc>
          <w:tcPr>
            <w:tcW w:w="237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59241C8" w14:textId="77777777" w:rsidR="00711D5F" w:rsidRPr="00284D9A" w:rsidRDefault="00711D5F" w:rsidP="00593E22">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Extra Large</w:t>
            </w:r>
          </w:p>
        </w:tc>
      </w:tr>
      <w:tr w:rsidR="002D4B4B" w:rsidRPr="00F7797D" w14:paraId="6B1F477A" w14:textId="77777777" w:rsidTr="002D4B4B">
        <w:trPr>
          <w:gridAfter w:val="1"/>
          <w:wAfter w:w="19" w:type="dxa"/>
          <w:cantSplit/>
          <w:trHeight w:val="276"/>
        </w:trPr>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6CAC5851" w14:textId="77777777" w:rsidR="00711D5F" w:rsidRPr="00E62B40" w:rsidRDefault="00711D5F" w:rsidP="00593E22">
            <w:pPr>
              <w:spacing w:before="240" w:after="0" w:line="240" w:lineRule="auto"/>
              <w:ind w:left="13" w:hangingChars="11" w:hanging="13"/>
              <w:jc w:val="center"/>
              <w:rPr>
                <w:rFonts w:eastAsia="Times New Roman" w:cs="Arial"/>
                <w:b/>
                <w:color w:val="000000"/>
                <w:sz w:val="12"/>
                <w:szCs w:val="12"/>
                <w:lang w:eastAsia="en-AU"/>
              </w:rPr>
            </w:pP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50A52"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9BF08"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89" w:type="dxa"/>
            <w:tcBorders>
              <w:top w:val="single" w:sz="4" w:space="0" w:color="auto"/>
              <w:left w:val="nil"/>
              <w:bottom w:val="single" w:sz="4" w:space="0" w:color="auto"/>
              <w:right w:val="single" w:sz="8" w:space="0" w:color="auto"/>
            </w:tcBorders>
            <w:shd w:val="clear" w:color="000000" w:fill="FFFFFF"/>
            <w:noWrap/>
            <w:vAlign w:val="center"/>
            <w:hideMark/>
          </w:tcPr>
          <w:p w14:paraId="30928E8B"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32EE9"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w:t>
            </w:r>
          </w:p>
          <w:p w14:paraId="3ADB4DE7"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Change</w:t>
            </w:r>
          </w:p>
        </w:tc>
        <w:tc>
          <w:tcPr>
            <w:tcW w:w="7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4865AC"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89" w:type="dxa"/>
            <w:tcBorders>
              <w:top w:val="single" w:sz="4" w:space="0" w:color="auto"/>
              <w:left w:val="nil"/>
              <w:bottom w:val="single" w:sz="4" w:space="0" w:color="auto"/>
              <w:right w:val="single" w:sz="8" w:space="0" w:color="auto"/>
            </w:tcBorders>
            <w:shd w:val="clear" w:color="000000" w:fill="FFFFFF"/>
            <w:noWrap/>
            <w:vAlign w:val="center"/>
            <w:hideMark/>
          </w:tcPr>
          <w:p w14:paraId="167132C1"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4E398"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BEAA7"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88" w:type="dxa"/>
            <w:tcBorders>
              <w:top w:val="single" w:sz="4" w:space="0" w:color="auto"/>
              <w:left w:val="nil"/>
              <w:bottom w:val="single" w:sz="4" w:space="0" w:color="auto"/>
              <w:right w:val="single" w:sz="8" w:space="0" w:color="auto"/>
            </w:tcBorders>
            <w:shd w:val="clear" w:color="000000" w:fill="FFFFFF"/>
            <w:noWrap/>
            <w:vAlign w:val="center"/>
            <w:hideMark/>
          </w:tcPr>
          <w:p w14:paraId="77B5D77D"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8D9EA"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C9117"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85" w:type="dxa"/>
            <w:tcBorders>
              <w:top w:val="single" w:sz="4" w:space="0" w:color="auto"/>
              <w:left w:val="nil"/>
              <w:bottom w:val="single" w:sz="4" w:space="0" w:color="auto"/>
              <w:right w:val="single" w:sz="8" w:space="0" w:color="auto"/>
            </w:tcBorders>
            <w:shd w:val="clear" w:color="000000" w:fill="FFFFFF"/>
            <w:noWrap/>
            <w:vAlign w:val="center"/>
            <w:hideMark/>
          </w:tcPr>
          <w:p w14:paraId="2A070A34" w14:textId="77777777" w:rsidR="00711D5F" w:rsidRPr="00F7797D" w:rsidRDefault="00711D5F"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r>
      <w:tr w:rsidR="002D4B4B" w:rsidRPr="00CA6221" w14:paraId="3866EB88" w14:textId="77777777" w:rsidTr="002D4B4B">
        <w:trPr>
          <w:gridAfter w:val="1"/>
          <w:wAfter w:w="19" w:type="dxa"/>
          <w:cantSplit/>
          <w:trHeight w:val="239"/>
        </w:trPr>
        <w:tc>
          <w:tcPr>
            <w:tcW w:w="1125" w:type="dxa"/>
            <w:tcBorders>
              <w:top w:val="nil"/>
              <w:left w:val="single" w:sz="8" w:space="0" w:color="auto"/>
              <w:bottom w:val="nil"/>
              <w:right w:val="single" w:sz="8" w:space="0" w:color="auto"/>
            </w:tcBorders>
            <w:shd w:val="clear" w:color="000000" w:fill="FFFFFF"/>
            <w:noWrap/>
            <w:vAlign w:val="center"/>
            <w:hideMark/>
          </w:tcPr>
          <w:p w14:paraId="2A060450" w14:textId="77777777" w:rsidR="00711D5F" w:rsidRPr="00CA6221" w:rsidRDefault="00711D5F" w:rsidP="00593E22">
            <w:pPr>
              <w:spacing w:after="0" w:line="240" w:lineRule="auto"/>
              <w:ind w:left="15" w:hangingChars="11" w:hanging="15"/>
              <w:jc w:val="center"/>
              <w:rPr>
                <w:rFonts w:eastAsia="Times New Roman" w:cs="Arial"/>
                <w:color w:val="000000"/>
                <w:sz w:val="14"/>
                <w:lang w:eastAsia="en-AU"/>
              </w:rPr>
            </w:pPr>
            <w:r w:rsidRPr="00CA6221">
              <w:rPr>
                <w:rFonts w:eastAsia="Times New Roman" w:cs="Arial"/>
                <w:color w:val="000000"/>
                <w:sz w:val="14"/>
                <w:lang w:eastAsia="en-AU"/>
              </w:rPr>
              <w:t>Shepparton</w:t>
            </w:r>
          </w:p>
        </w:tc>
        <w:tc>
          <w:tcPr>
            <w:tcW w:w="7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0479B"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-21</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0E27D749"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w:t>
            </w:r>
            <w:r w:rsidRPr="00CA6221">
              <w:rPr>
                <w:rFonts w:eastAsia="Times New Roman" w:cs="Arial"/>
                <w:color w:val="000000"/>
                <w:sz w:val="14"/>
                <w:lang w:eastAsia="en-AU"/>
              </w:rPr>
              <w:t>%</w:t>
            </w:r>
          </w:p>
        </w:tc>
        <w:tc>
          <w:tcPr>
            <w:tcW w:w="78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97AB40F"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419</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A6130"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-188</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1D4F620E"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9" w:type="dxa"/>
            <w:tcBorders>
              <w:top w:val="nil"/>
              <w:left w:val="nil"/>
              <w:bottom w:val="single" w:sz="4" w:space="0" w:color="auto"/>
              <w:right w:val="single" w:sz="8" w:space="0" w:color="auto"/>
            </w:tcBorders>
            <w:shd w:val="clear" w:color="auto" w:fill="auto"/>
            <w:noWrap/>
            <w:vAlign w:val="center"/>
            <w:hideMark/>
          </w:tcPr>
          <w:p w14:paraId="097170FB"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7,802</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80202"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-498</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2E41E2BD"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8" w:type="dxa"/>
            <w:tcBorders>
              <w:top w:val="nil"/>
              <w:left w:val="nil"/>
              <w:bottom w:val="single" w:sz="4" w:space="0" w:color="auto"/>
              <w:right w:val="single" w:sz="8" w:space="0" w:color="auto"/>
            </w:tcBorders>
            <w:shd w:val="clear" w:color="auto" w:fill="auto"/>
            <w:noWrap/>
            <w:vAlign w:val="center"/>
            <w:hideMark/>
          </w:tcPr>
          <w:p w14:paraId="30A44899"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25,007</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1EA8D"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-946</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780FFC4F"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5" w:type="dxa"/>
            <w:tcBorders>
              <w:top w:val="nil"/>
              <w:left w:val="nil"/>
              <w:bottom w:val="single" w:sz="4" w:space="0" w:color="auto"/>
              <w:right w:val="single" w:sz="8" w:space="0" w:color="auto"/>
            </w:tcBorders>
            <w:shd w:val="clear" w:color="auto" w:fill="auto"/>
            <w:noWrap/>
            <w:vAlign w:val="center"/>
            <w:hideMark/>
          </w:tcPr>
          <w:p w14:paraId="184F61C8"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50,574</w:t>
            </w:r>
          </w:p>
        </w:tc>
      </w:tr>
      <w:tr w:rsidR="002D4B4B" w:rsidRPr="00CA6221" w14:paraId="6F9339CC" w14:textId="77777777" w:rsidTr="002D4B4B">
        <w:trPr>
          <w:gridAfter w:val="1"/>
          <w:wAfter w:w="19" w:type="dxa"/>
          <w:cantSplit/>
          <w:trHeight w:val="256"/>
        </w:trPr>
        <w:tc>
          <w:tcPr>
            <w:tcW w:w="1125"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F668AE2" w14:textId="77777777" w:rsidR="00711D5F" w:rsidRPr="00CA6221" w:rsidRDefault="00711D5F" w:rsidP="00593E22">
            <w:pPr>
              <w:spacing w:after="0" w:line="240" w:lineRule="auto"/>
              <w:ind w:left="15" w:hangingChars="11" w:hanging="15"/>
              <w:jc w:val="center"/>
              <w:rPr>
                <w:rFonts w:eastAsia="Times New Roman" w:cs="Arial"/>
                <w:color w:val="000000"/>
                <w:sz w:val="14"/>
                <w:lang w:eastAsia="en-AU"/>
              </w:rPr>
            </w:pPr>
            <w:r w:rsidRPr="00CA6221">
              <w:rPr>
                <w:rFonts w:eastAsia="Times New Roman" w:cs="Arial"/>
                <w:color w:val="000000"/>
                <w:sz w:val="14"/>
                <w:lang w:eastAsia="en-AU"/>
              </w:rPr>
              <w:t>Central Goulburn</w:t>
            </w:r>
          </w:p>
        </w:tc>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7BEAEF11"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-21</w:t>
            </w:r>
          </w:p>
        </w:tc>
        <w:tc>
          <w:tcPr>
            <w:tcW w:w="785" w:type="dxa"/>
            <w:tcBorders>
              <w:top w:val="nil"/>
              <w:left w:val="nil"/>
              <w:bottom w:val="single" w:sz="4" w:space="0" w:color="auto"/>
              <w:right w:val="single" w:sz="4" w:space="0" w:color="auto"/>
            </w:tcBorders>
            <w:shd w:val="clear" w:color="auto" w:fill="auto"/>
            <w:noWrap/>
            <w:vAlign w:val="center"/>
            <w:hideMark/>
          </w:tcPr>
          <w:p w14:paraId="7EE25FC0"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w:t>
            </w:r>
            <w:r w:rsidRPr="00CA6221">
              <w:rPr>
                <w:rFonts w:eastAsia="Times New Roman" w:cs="Arial"/>
                <w:color w:val="000000"/>
                <w:sz w:val="14"/>
                <w:lang w:eastAsia="en-AU"/>
              </w:rPr>
              <w:t>%</w:t>
            </w:r>
          </w:p>
        </w:tc>
        <w:tc>
          <w:tcPr>
            <w:tcW w:w="789" w:type="dxa"/>
            <w:tcBorders>
              <w:top w:val="nil"/>
              <w:left w:val="single" w:sz="4" w:space="0" w:color="auto"/>
              <w:bottom w:val="single" w:sz="4" w:space="0" w:color="auto"/>
              <w:right w:val="single" w:sz="8" w:space="0" w:color="auto"/>
            </w:tcBorders>
            <w:shd w:val="clear" w:color="auto" w:fill="auto"/>
            <w:noWrap/>
            <w:vAlign w:val="center"/>
            <w:hideMark/>
          </w:tcPr>
          <w:p w14:paraId="4D803D43"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419</w:t>
            </w:r>
          </w:p>
        </w:tc>
        <w:tc>
          <w:tcPr>
            <w:tcW w:w="786" w:type="dxa"/>
            <w:tcBorders>
              <w:top w:val="nil"/>
              <w:left w:val="single" w:sz="4" w:space="0" w:color="auto"/>
              <w:bottom w:val="single" w:sz="4" w:space="0" w:color="auto"/>
              <w:right w:val="single" w:sz="4" w:space="0" w:color="auto"/>
            </w:tcBorders>
            <w:shd w:val="clear" w:color="000000" w:fill="FFFFFF"/>
            <w:noWrap/>
            <w:vAlign w:val="center"/>
            <w:hideMark/>
          </w:tcPr>
          <w:p w14:paraId="4BBB1E90"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-184</w:t>
            </w:r>
          </w:p>
        </w:tc>
        <w:tc>
          <w:tcPr>
            <w:tcW w:w="784" w:type="dxa"/>
            <w:tcBorders>
              <w:top w:val="nil"/>
              <w:left w:val="nil"/>
              <w:bottom w:val="single" w:sz="4" w:space="0" w:color="auto"/>
              <w:right w:val="single" w:sz="4" w:space="0" w:color="auto"/>
            </w:tcBorders>
            <w:shd w:val="clear" w:color="auto" w:fill="auto"/>
            <w:noWrap/>
            <w:vAlign w:val="center"/>
            <w:hideMark/>
          </w:tcPr>
          <w:p w14:paraId="64905161"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9" w:type="dxa"/>
            <w:tcBorders>
              <w:top w:val="nil"/>
              <w:left w:val="nil"/>
              <w:bottom w:val="single" w:sz="4" w:space="0" w:color="auto"/>
              <w:right w:val="single" w:sz="8" w:space="0" w:color="auto"/>
            </w:tcBorders>
            <w:shd w:val="clear" w:color="auto" w:fill="auto"/>
            <w:noWrap/>
            <w:vAlign w:val="center"/>
            <w:hideMark/>
          </w:tcPr>
          <w:p w14:paraId="0F8ED2A1"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7,586</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14:paraId="75331C8A"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-484</w:t>
            </w:r>
          </w:p>
        </w:tc>
        <w:tc>
          <w:tcPr>
            <w:tcW w:w="785" w:type="dxa"/>
            <w:tcBorders>
              <w:top w:val="nil"/>
              <w:left w:val="nil"/>
              <w:bottom w:val="single" w:sz="4" w:space="0" w:color="auto"/>
              <w:right w:val="single" w:sz="4" w:space="0" w:color="auto"/>
            </w:tcBorders>
            <w:shd w:val="clear" w:color="auto" w:fill="auto"/>
            <w:noWrap/>
            <w:vAlign w:val="center"/>
            <w:hideMark/>
          </w:tcPr>
          <w:p w14:paraId="44DAC0DC"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8" w:type="dxa"/>
            <w:tcBorders>
              <w:top w:val="nil"/>
              <w:left w:val="nil"/>
              <w:bottom w:val="single" w:sz="4" w:space="0" w:color="auto"/>
              <w:right w:val="single" w:sz="8" w:space="0" w:color="auto"/>
            </w:tcBorders>
            <w:shd w:val="clear" w:color="auto" w:fill="auto"/>
            <w:noWrap/>
            <w:vAlign w:val="center"/>
            <w:hideMark/>
          </w:tcPr>
          <w:p w14:paraId="172592F6"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24,088</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14:paraId="1783B572"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-902</w:t>
            </w:r>
          </w:p>
        </w:tc>
        <w:tc>
          <w:tcPr>
            <w:tcW w:w="785" w:type="dxa"/>
            <w:tcBorders>
              <w:top w:val="nil"/>
              <w:left w:val="nil"/>
              <w:bottom w:val="single" w:sz="4" w:space="0" w:color="auto"/>
              <w:right w:val="single" w:sz="4" w:space="0" w:color="auto"/>
            </w:tcBorders>
            <w:shd w:val="clear" w:color="auto" w:fill="auto"/>
            <w:noWrap/>
            <w:vAlign w:val="center"/>
            <w:hideMark/>
          </w:tcPr>
          <w:p w14:paraId="32D4943B"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5" w:type="dxa"/>
            <w:tcBorders>
              <w:top w:val="nil"/>
              <w:left w:val="nil"/>
              <w:bottom w:val="single" w:sz="4" w:space="0" w:color="auto"/>
              <w:right w:val="single" w:sz="8" w:space="0" w:color="auto"/>
            </w:tcBorders>
            <w:shd w:val="clear" w:color="auto" w:fill="auto"/>
            <w:noWrap/>
            <w:vAlign w:val="center"/>
            <w:hideMark/>
          </w:tcPr>
          <w:p w14:paraId="20476FA8"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49,237</w:t>
            </w:r>
          </w:p>
        </w:tc>
      </w:tr>
      <w:tr w:rsidR="002D4B4B" w:rsidRPr="00CA6221" w14:paraId="0721B465" w14:textId="77777777" w:rsidTr="002D4B4B">
        <w:trPr>
          <w:gridAfter w:val="1"/>
          <w:wAfter w:w="19" w:type="dxa"/>
          <w:cantSplit/>
          <w:trHeight w:val="274"/>
        </w:trPr>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7E1D4908" w14:textId="77777777" w:rsidR="00711D5F" w:rsidRPr="00CA6221" w:rsidRDefault="00711D5F" w:rsidP="00593E22">
            <w:pPr>
              <w:spacing w:after="0" w:line="240" w:lineRule="auto"/>
              <w:ind w:left="15" w:hangingChars="11" w:hanging="15"/>
              <w:jc w:val="center"/>
              <w:rPr>
                <w:rFonts w:eastAsia="Times New Roman" w:cs="Arial"/>
                <w:color w:val="000000"/>
                <w:sz w:val="14"/>
                <w:lang w:eastAsia="en-AU"/>
              </w:rPr>
            </w:pPr>
            <w:r w:rsidRPr="00CA6221">
              <w:rPr>
                <w:rFonts w:eastAsia="Times New Roman" w:cs="Arial"/>
                <w:color w:val="000000"/>
                <w:sz w:val="14"/>
                <w:lang w:eastAsia="en-AU"/>
              </w:rPr>
              <w:t>Rochester</w:t>
            </w:r>
          </w:p>
        </w:tc>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4487B6E9"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-21</w:t>
            </w:r>
          </w:p>
        </w:tc>
        <w:tc>
          <w:tcPr>
            <w:tcW w:w="785" w:type="dxa"/>
            <w:tcBorders>
              <w:top w:val="nil"/>
              <w:left w:val="nil"/>
              <w:bottom w:val="single" w:sz="4" w:space="0" w:color="auto"/>
              <w:right w:val="single" w:sz="4" w:space="0" w:color="auto"/>
            </w:tcBorders>
            <w:shd w:val="clear" w:color="auto" w:fill="auto"/>
            <w:noWrap/>
            <w:vAlign w:val="center"/>
            <w:hideMark/>
          </w:tcPr>
          <w:p w14:paraId="2580DDFD"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w:t>
            </w:r>
            <w:r w:rsidRPr="00CA6221">
              <w:rPr>
                <w:rFonts w:eastAsia="Times New Roman" w:cs="Arial"/>
                <w:color w:val="000000"/>
                <w:sz w:val="14"/>
                <w:lang w:eastAsia="en-AU"/>
              </w:rPr>
              <w:t>%</w:t>
            </w:r>
          </w:p>
        </w:tc>
        <w:tc>
          <w:tcPr>
            <w:tcW w:w="789" w:type="dxa"/>
            <w:tcBorders>
              <w:top w:val="nil"/>
              <w:left w:val="single" w:sz="4" w:space="0" w:color="auto"/>
              <w:bottom w:val="single" w:sz="4" w:space="0" w:color="auto"/>
              <w:right w:val="single" w:sz="8" w:space="0" w:color="auto"/>
            </w:tcBorders>
            <w:shd w:val="clear" w:color="auto" w:fill="auto"/>
            <w:noWrap/>
            <w:vAlign w:val="center"/>
            <w:hideMark/>
          </w:tcPr>
          <w:p w14:paraId="5BD1087A"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419</w:t>
            </w:r>
          </w:p>
        </w:tc>
        <w:tc>
          <w:tcPr>
            <w:tcW w:w="786" w:type="dxa"/>
            <w:tcBorders>
              <w:top w:val="single" w:sz="4" w:space="0" w:color="auto"/>
              <w:left w:val="single" w:sz="4" w:space="0" w:color="auto"/>
              <w:bottom w:val="nil"/>
              <w:right w:val="single" w:sz="4" w:space="0" w:color="auto"/>
            </w:tcBorders>
            <w:shd w:val="clear" w:color="000000" w:fill="FFFFFF"/>
            <w:noWrap/>
            <w:vAlign w:val="center"/>
            <w:hideMark/>
          </w:tcPr>
          <w:p w14:paraId="7D3F1ACA"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-182</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8F3BBDA"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9" w:type="dxa"/>
            <w:tcBorders>
              <w:top w:val="nil"/>
              <w:left w:val="nil"/>
              <w:bottom w:val="single" w:sz="4" w:space="0" w:color="auto"/>
              <w:right w:val="single" w:sz="8" w:space="0" w:color="auto"/>
            </w:tcBorders>
            <w:shd w:val="clear" w:color="auto" w:fill="auto"/>
            <w:noWrap/>
            <w:vAlign w:val="center"/>
            <w:hideMark/>
          </w:tcPr>
          <w:p w14:paraId="397A9FCB"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7,525</w:t>
            </w:r>
          </w:p>
        </w:tc>
        <w:tc>
          <w:tcPr>
            <w:tcW w:w="785" w:type="dxa"/>
            <w:tcBorders>
              <w:top w:val="single" w:sz="4" w:space="0" w:color="auto"/>
              <w:left w:val="single" w:sz="4" w:space="0" w:color="auto"/>
              <w:bottom w:val="nil"/>
              <w:right w:val="single" w:sz="4" w:space="0" w:color="auto"/>
            </w:tcBorders>
            <w:shd w:val="clear" w:color="000000" w:fill="FFFFFF"/>
            <w:noWrap/>
            <w:vAlign w:val="center"/>
            <w:hideMark/>
          </w:tcPr>
          <w:p w14:paraId="3051037E"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-476</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EFFBCF6"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8" w:type="dxa"/>
            <w:tcBorders>
              <w:top w:val="nil"/>
              <w:left w:val="nil"/>
              <w:bottom w:val="single" w:sz="4" w:space="0" w:color="auto"/>
              <w:right w:val="single" w:sz="8" w:space="0" w:color="auto"/>
            </w:tcBorders>
            <w:shd w:val="clear" w:color="auto" w:fill="auto"/>
            <w:noWrap/>
            <w:vAlign w:val="center"/>
            <w:hideMark/>
          </w:tcPr>
          <w:p w14:paraId="2400E816"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23,832</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448BE"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-882</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7F77611"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5" w:type="dxa"/>
            <w:tcBorders>
              <w:top w:val="nil"/>
              <w:left w:val="nil"/>
              <w:bottom w:val="single" w:sz="4" w:space="0" w:color="auto"/>
              <w:right w:val="single" w:sz="8" w:space="0" w:color="auto"/>
            </w:tcBorders>
            <w:shd w:val="clear" w:color="auto" w:fill="auto"/>
            <w:noWrap/>
            <w:vAlign w:val="center"/>
            <w:hideMark/>
          </w:tcPr>
          <w:p w14:paraId="4B794A3C"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48,803</w:t>
            </w:r>
          </w:p>
        </w:tc>
      </w:tr>
      <w:tr w:rsidR="002D4B4B" w:rsidRPr="00CA6221" w14:paraId="5ECE1A93" w14:textId="77777777" w:rsidTr="002D4B4B">
        <w:trPr>
          <w:gridAfter w:val="1"/>
          <w:wAfter w:w="19" w:type="dxa"/>
          <w:cantSplit/>
          <w:trHeight w:val="278"/>
        </w:trPr>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33123CF1" w14:textId="77777777" w:rsidR="00711D5F" w:rsidRPr="00CA6221" w:rsidRDefault="00711D5F" w:rsidP="00593E22">
            <w:pPr>
              <w:spacing w:after="0" w:line="240" w:lineRule="auto"/>
              <w:ind w:left="15" w:hangingChars="11" w:hanging="15"/>
              <w:jc w:val="center"/>
              <w:rPr>
                <w:rFonts w:eastAsia="Times New Roman" w:cs="Arial"/>
                <w:color w:val="000000"/>
                <w:sz w:val="14"/>
                <w:lang w:eastAsia="en-AU"/>
              </w:rPr>
            </w:pPr>
            <w:r w:rsidRPr="00CA6221">
              <w:rPr>
                <w:rFonts w:eastAsia="Times New Roman" w:cs="Arial"/>
                <w:color w:val="000000"/>
                <w:sz w:val="14"/>
                <w:lang w:eastAsia="en-AU"/>
              </w:rPr>
              <w:t>Loddon Valley</w:t>
            </w:r>
          </w:p>
        </w:tc>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5DB8B082"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-21</w:t>
            </w:r>
          </w:p>
        </w:tc>
        <w:tc>
          <w:tcPr>
            <w:tcW w:w="785" w:type="dxa"/>
            <w:tcBorders>
              <w:top w:val="nil"/>
              <w:left w:val="nil"/>
              <w:bottom w:val="single" w:sz="4" w:space="0" w:color="auto"/>
              <w:right w:val="single" w:sz="4" w:space="0" w:color="auto"/>
            </w:tcBorders>
            <w:shd w:val="clear" w:color="auto" w:fill="auto"/>
            <w:noWrap/>
            <w:vAlign w:val="center"/>
            <w:hideMark/>
          </w:tcPr>
          <w:p w14:paraId="11584598"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w:t>
            </w:r>
            <w:r w:rsidRPr="00CA6221">
              <w:rPr>
                <w:rFonts w:eastAsia="Times New Roman" w:cs="Arial"/>
                <w:color w:val="000000"/>
                <w:sz w:val="14"/>
                <w:lang w:eastAsia="en-AU"/>
              </w:rPr>
              <w:t>%</w:t>
            </w:r>
          </w:p>
        </w:tc>
        <w:tc>
          <w:tcPr>
            <w:tcW w:w="789" w:type="dxa"/>
            <w:tcBorders>
              <w:top w:val="nil"/>
              <w:left w:val="single" w:sz="4" w:space="0" w:color="auto"/>
              <w:bottom w:val="single" w:sz="4" w:space="0" w:color="auto"/>
              <w:right w:val="single" w:sz="8" w:space="0" w:color="auto"/>
            </w:tcBorders>
            <w:shd w:val="clear" w:color="auto" w:fill="auto"/>
            <w:noWrap/>
            <w:vAlign w:val="center"/>
            <w:hideMark/>
          </w:tcPr>
          <w:p w14:paraId="02728DF2"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419</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C3974"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-181</w:t>
            </w:r>
          </w:p>
        </w:tc>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2F50E5A"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9" w:type="dxa"/>
            <w:tcBorders>
              <w:top w:val="nil"/>
              <w:left w:val="nil"/>
              <w:bottom w:val="single" w:sz="4" w:space="0" w:color="auto"/>
              <w:right w:val="single" w:sz="8" w:space="0" w:color="auto"/>
            </w:tcBorders>
            <w:shd w:val="clear" w:color="auto" w:fill="auto"/>
            <w:noWrap/>
            <w:vAlign w:val="center"/>
            <w:hideMark/>
          </w:tcPr>
          <w:p w14:paraId="3E34832A"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7,699</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8AE75"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-468</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F69B44B"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8" w:type="dxa"/>
            <w:tcBorders>
              <w:top w:val="nil"/>
              <w:left w:val="nil"/>
              <w:bottom w:val="single" w:sz="4" w:space="0" w:color="auto"/>
              <w:right w:val="single" w:sz="8" w:space="0" w:color="auto"/>
            </w:tcBorders>
            <w:shd w:val="clear" w:color="auto" w:fill="auto"/>
            <w:noWrap/>
            <w:vAlign w:val="center"/>
            <w:hideMark/>
          </w:tcPr>
          <w:p w14:paraId="35366967"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24,535</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14:paraId="03766B30"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-964</w:t>
            </w: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0FAD0F3"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785" w:type="dxa"/>
            <w:tcBorders>
              <w:top w:val="nil"/>
              <w:left w:val="nil"/>
              <w:bottom w:val="single" w:sz="4" w:space="0" w:color="auto"/>
              <w:right w:val="single" w:sz="8" w:space="0" w:color="auto"/>
            </w:tcBorders>
            <w:shd w:val="clear" w:color="auto" w:fill="auto"/>
            <w:noWrap/>
            <w:vAlign w:val="center"/>
            <w:hideMark/>
          </w:tcPr>
          <w:p w14:paraId="612EE32D"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50,792</w:t>
            </w:r>
          </w:p>
        </w:tc>
      </w:tr>
      <w:tr w:rsidR="002D4B4B" w:rsidRPr="00CA6221" w14:paraId="23660B42" w14:textId="77777777" w:rsidTr="002D4B4B">
        <w:trPr>
          <w:gridAfter w:val="1"/>
          <w:wAfter w:w="19" w:type="dxa"/>
          <w:cantSplit/>
          <w:trHeight w:val="269"/>
        </w:trPr>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23DE6274" w14:textId="77777777" w:rsidR="00711D5F" w:rsidRPr="00CA6221" w:rsidRDefault="00711D5F" w:rsidP="00593E22">
            <w:pPr>
              <w:spacing w:after="0" w:line="240" w:lineRule="auto"/>
              <w:ind w:left="15" w:hangingChars="11" w:hanging="15"/>
              <w:jc w:val="center"/>
              <w:rPr>
                <w:rFonts w:eastAsia="Times New Roman" w:cs="Arial"/>
                <w:color w:val="000000"/>
                <w:sz w:val="14"/>
                <w:lang w:eastAsia="en-AU"/>
              </w:rPr>
            </w:pPr>
            <w:r w:rsidRPr="00CA6221">
              <w:rPr>
                <w:rFonts w:eastAsia="Times New Roman" w:cs="Arial"/>
                <w:color w:val="000000"/>
                <w:sz w:val="14"/>
                <w:lang w:eastAsia="en-AU"/>
              </w:rPr>
              <w:t>Murray Valley</w:t>
            </w:r>
          </w:p>
        </w:tc>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2573C8F2"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-22</w:t>
            </w:r>
          </w:p>
        </w:tc>
        <w:tc>
          <w:tcPr>
            <w:tcW w:w="785" w:type="dxa"/>
            <w:tcBorders>
              <w:top w:val="nil"/>
              <w:left w:val="nil"/>
              <w:bottom w:val="single" w:sz="4" w:space="0" w:color="auto"/>
              <w:right w:val="single" w:sz="4" w:space="0" w:color="auto"/>
            </w:tcBorders>
            <w:shd w:val="clear" w:color="auto" w:fill="auto"/>
            <w:noWrap/>
            <w:vAlign w:val="center"/>
            <w:hideMark/>
          </w:tcPr>
          <w:p w14:paraId="65F0A65B"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w:t>
            </w:r>
            <w:r w:rsidRPr="00CA6221">
              <w:rPr>
                <w:rFonts w:eastAsia="Times New Roman" w:cs="Arial"/>
                <w:color w:val="000000"/>
                <w:sz w:val="14"/>
                <w:lang w:eastAsia="en-AU"/>
              </w:rPr>
              <w:t>%</w:t>
            </w:r>
          </w:p>
        </w:tc>
        <w:tc>
          <w:tcPr>
            <w:tcW w:w="789" w:type="dxa"/>
            <w:tcBorders>
              <w:top w:val="nil"/>
              <w:left w:val="single" w:sz="4" w:space="0" w:color="auto"/>
              <w:bottom w:val="single" w:sz="4" w:space="0" w:color="auto"/>
              <w:right w:val="single" w:sz="8" w:space="0" w:color="auto"/>
            </w:tcBorders>
            <w:shd w:val="clear" w:color="auto" w:fill="auto"/>
            <w:noWrap/>
            <w:vAlign w:val="center"/>
            <w:hideMark/>
          </w:tcPr>
          <w:p w14:paraId="5C2AE4F9"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422</w:t>
            </w:r>
          </w:p>
        </w:tc>
        <w:tc>
          <w:tcPr>
            <w:tcW w:w="786" w:type="dxa"/>
            <w:tcBorders>
              <w:top w:val="nil"/>
              <w:left w:val="single" w:sz="4" w:space="0" w:color="auto"/>
              <w:bottom w:val="single" w:sz="4" w:space="0" w:color="auto"/>
              <w:right w:val="single" w:sz="4" w:space="0" w:color="auto"/>
            </w:tcBorders>
            <w:shd w:val="clear" w:color="000000" w:fill="FFFFFF"/>
            <w:noWrap/>
            <w:vAlign w:val="center"/>
            <w:hideMark/>
          </w:tcPr>
          <w:p w14:paraId="749EFE38"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-226</w:t>
            </w:r>
          </w:p>
        </w:tc>
        <w:tc>
          <w:tcPr>
            <w:tcW w:w="784" w:type="dxa"/>
            <w:tcBorders>
              <w:top w:val="nil"/>
              <w:left w:val="single" w:sz="4" w:space="0" w:color="auto"/>
              <w:bottom w:val="nil"/>
              <w:right w:val="single" w:sz="4" w:space="0" w:color="auto"/>
            </w:tcBorders>
            <w:shd w:val="clear" w:color="auto" w:fill="auto"/>
            <w:noWrap/>
            <w:vAlign w:val="center"/>
            <w:hideMark/>
          </w:tcPr>
          <w:p w14:paraId="128B9B6A"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w:t>
            </w:r>
            <w:r w:rsidRPr="00CA6221">
              <w:rPr>
                <w:rFonts w:eastAsia="Times New Roman" w:cs="Arial"/>
                <w:color w:val="000000"/>
                <w:sz w:val="14"/>
                <w:lang w:eastAsia="en-AU"/>
              </w:rPr>
              <w:t>%</w:t>
            </w:r>
          </w:p>
        </w:tc>
        <w:tc>
          <w:tcPr>
            <w:tcW w:w="789" w:type="dxa"/>
            <w:tcBorders>
              <w:top w:val="nil"/>
              <w:left w:val="nil"/>
              <w:bottom w:val="single" w:sz="4" w:space="0" w:color="auto"/>
              <w:right w:val="single" w:sz="8" w:space="0" w:color="auto"/>
            </w:tcBorders>
            <w:shd w:val="clear" w:color="auto" w:fill="auto"/>
            <w:noWrap/>
            <w:vAlign w:val="center"/>
            <w:hideMark/>
          </w:tcPr>
          <w:p w14:paraId="10D5E8BC"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7,773</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14:paraId="794E22C0"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-657</w:t>
            </w:r>
          </w:p>
        </w:tc>
        <w:tc>
          <w:tcPr>
            <w:tcW w:w="785" w:type="dxa"/>
            <w:tcBorders>
              <w:top w:val="nil"/>
              <w:left w:val="single" w:sz="4" w:space="0" w:color="auto"/>
              <w:bottom w:val="nil"/>
              <w:right w:val="single" w:sz="4" w:space="0" w:color="auto"/>
            </w:tcBorders>
            <w:shd w:val="clear" w:color="auto" w:fill="auto"/>
            <w:noWrap/>
            <w:vAlign w:val="center"/>
            <w:hideMark/>
          </w:tcPr>
          <w:p w14:paraId="45981144"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w:t>
            </w:r>
            <w:r w:rsidRPr="00CA6221">
              <w:rPr>
                <w:rFonts w:eastAsia="Times New Roman" w:cs="Arial"/>
                <w:color w:val="000000"/>
                <w:sz w:val="14"/>
                <w:lang w:eastAsia="en-AU"/>
              </w:rPr>
              <w:t>%</w:t>
            </w:r>
          </w:p>
        </w:tc>
        <w:tc>
          <w:tcPr>
            <w:tcW w:w="788" w:type="dxa"/>
            <w:tcBorders>
              <w:top w:val="nil"/>
              <w:left w:val="nil"/>
              <w:bottom w:val="single" w:sz="4" w:space="0" w:color="auto"/>
              <w:right w:val="single" w:sz="8" w:space="0" w:color="auto"/>
            </w:tcBorders>
            <w:shd w:val="clear" w:color="auto" w:fill="auto"/>
            <w:noWrap/>
            <w:vAlign w:val="center"/>
            <w:hideMark/>
          </w:tcPr>
          <w:p w14:paraId="75DB3EBB"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24,868</w:t>
            </w:r>
          </w:p>
        </w:tc>
        <w:tc>
          <w:tcPr>
            <w:tcW w:w="785" w:type="dxa"/>
            <w:tcBorders>
              <w:top w:val="nil"/>
              <w:left w:val="single" w:sz="4" w:space="0" w:color="auto"/>
              <w:bottom w:val="single" w:sz="4" w:space="0" w:color="auto"/>
              <w:right w:val="single" w:sz="4" w:space="0" w:color="auto"/>
            </w:tcBorders>
            <w:shd w:val="clear" w:color="000000" w:fill="FFFFFF"/>
            <w:noWrap/>
            <w:vAlign w:val="center"/>
            <w:hideMark/>
          </w:tcPr>
          <w:p w14:paraId="770294C0"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-1327</w:t>
            </w:r>
          </w:p>
        </w:tc>
        <w:tc>
          <w:tcPr>
            <w:tcW w:w="785" w:type="dxa"/>
            <w:tcBorders>
              <w:top w:val="nil"/>
              <w:left w:val="single" w:sz="4" w:space="0" w:color="auto"/>
              <w:bottom w:val="nil"/>
              <w:right w:val="single" w:sz="4" w:space="0" w:color="auto"/>
            </w:tcBorders>
            <w:shd w:val="clear" w:color="auto" w:fill="auto"/>
            <w:noWrap/>
            <w:vAlign w:val="center"/>
            <w:hideMark/>
          </w:tcPr>
          <w:p w14:paraId="39117DAA"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w:t>
            </w:r>
            <w:r w:rsidRPr="00CA6221">
              <w:rPr>
                <w:rFonts w:eastAsia="Times New Roman" w:cs="Arial"/>
                <w:color w:val="000000"/>
                <w:sz w:val="14"/>
                <w:lang w:eastAsia="en-AU"/>
              </w:rPr>
              <w:t>%</w:t>
            </w:r>
          </w:p>
        </w:tc>
        <w:tc>
          <w:tcPr>
            <w:tcW w:w="785" w:type="dxa"/>
            <w:tcBorders>
              <w:top w:val="nil"/>
              <w:left w:val="nil"/>
              <w:bottom w:val="single" w:sz="4" w:space="0" w:color="auto"/>
              <w:right w:val="single" w:sz="8" w:space="0" w:color="auto"/>
            </w:tcBorders>
            <w:shd w:val="clear" w:color="auto" w:fill="auto"/>
            <w:noWrap/>
            <w:vAlign w:val="center"/>
            <w:hideMark/>
          </w:tcPr>
          <w:p w14:paraId="6F0EBC98"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50,819</w:t>
            </w:r>
          </w:p>
        </w:tc>
      </w:tr>
      <w:tr w:rsidR="002D4B4B" w:rsidRPr="00CA6221" w14:paraId="3C4F0752" w14:textId="77777777" w:rsidTr="002D4B4B">
        <w:trPr>
          <w:gridAfter w:val="1"/>
          <w:wAfter w:w="19" w:type="dxa"/>
          <w:cantSplit/>
          <w:trHeight w:val="273"/>
        </w:trPr>
        <w:tc>
          <w:tcPr>
            <w:tcW w:w="1125" w:type="dxa"/>
            <w:tcBorders>
              <w:top w:val="nil"/>
              <w:left w:val="single" w:sz="8" w:space="0" w:color="auto"/>
              <w:bottom w:val="single" w:sz="8" w:space="0" w:color="auto"/>
              <w:right w:val="single" w:sz="8" w:space="0" w:color="auto"/>
            </w:tcBorders>
            <w:shd w:val="clear" w:color="000000" w:fill="FFFFFF"/>
            <w:noWrap/>
            <w:vAlign w:val="center"/>
            <w:hideMark/>
          </w:tcPr>
          <w:p w14:paraId="1CCA9628" w14:textId="77777777" w:rsidR="00711D5F" w:rsidRPr="00CA6221" w:rsidRDefault="00711D5F" w:rsidP="00593E22">
            <w:pPr>
              <w:spacing w:after="0" w:line="240" w:lineRule="auto"/>
              <w:ind w:left="15" w:hangingChars="11" w:hanging="15"/>
              <w:jc w:val="center"/>
              <w:rPr>
                <w:rFonts w:eastAsia="Times New Roman" w:cs="Arial"/>
                <w:color w:val="000000"/>
                <w:sz w:val="14"/>
                <w:lang w:eastAsia="en-AU"/>
              </w:rPr>
            </w:pPr>
            <w:r w:rsidRPr="00CA6221">
              <w:rPr>
                <w:rFonts w:eastAsia="Times New Roman" w:cs="Arial"/>
                <w:color w:val="000000"/>
                <w:sz w:val="14"/>
                <w:lang w:eastAsia="en-AU"/>
              </w:rPr>
              <w:t>Torrumbarry</w:t>
            </w:r>
          </w:p>
        </w:tc>
        <w:tc>
          <w:tcPr>
            <w:tcW w:w="784"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2EF3255"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-22</w:t>
            </w:r>
          </w:p>
        </w:tc>
        <w:tc>
          <w:tcPr>
            <w:tcW w:w="785" w:type="dxa"/>
            <w:tcBorders>
              <w:top w:val="single" w:sz="4" w:space="0" w:color="auto"/>
              <w:left w:val="nil"/>
              <w:bottom w:val="single" w:sz="8" w:space="0" w:color="auto"/>
              <w:right w:val="single" w:sz="4" w:space="0" w:color="auto"/>
            </w:tcBorders>
            <w:shd w:val="clear" w:color="auto" w:fill="auto"/>
            <w:noWrap/>
            <w:vAlign w:val="center"/>
            <w:hideMark/>
          </w:tcPr>
          <w:p w14:paraId="4D6AAA64"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w:t>
            </w:r>
            <w:r w:rsidRPr="00CA6221">
              <w:rPr>
                <w:rFonts w:eastAsia="Times New Roman" w:cs="Arial"/>
                <w:color w:val="000000"/>
                <w:sz w:val="14"/>
                <w:lang w:eastAsia="en-AU"/>
              </w:rPr>
              <w:t>%</w:t>
            </w:r>
          </w:p>
        </w:tc>
        <w:tc>
          <w:tcPr>
            <w:tcW w:w="789" w:type="dxa"/>
            <w:tcBorders>
              <w:top w:val="nil"/>
              <w:left w:val="nil"/>
              <w:bottom w:val="single" w:sz="8" w:space="0" w:color="auto"/>
              <w:right w:val="single" w:sz="8" w:space="0" w:color="auto"/>
            </w:tcBorders>
            <w:shd w:val="clear" w:color="auto" w:fill="auto"/>
            <w:noWrap/>
            <w:vAlign w:val="center"/>
            <w:hideMark/>
          </w:tcPr>
          <w:p w14:paraId="10178B0F"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422</w:t>
            </w:r>
          </w:p>
        </w:tc>
        <w:tc>
          <w:tcPr>
            <w:tcW w:w="786"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23E71EC"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-221</w:t>
            </w:r>
          </w:p>
        </w:tc>
        <w:tc>
          <w:tcPr>
            <w:tcW w:w="784" w:type="dxa"/>
            <w:tcBorders>
              <w:top w:val="single" w:sz="4" w:space="0" w:color="auto"/>
              <w:left w:val="nil"/>
              <w:bottom w:val="single" w:sz="8" w:space="0" w:color="auto"/>
              <w:right w:val="single" w:sz="4" w:space="0" w:color="auto"/>
            </w:tcBorders>
            <w:shd w:val="clear" w:color="auto" w:fill="auto"/>
            <w:noWrap/>
            <w:vAlign w:val="center"/>
            <w:hideMark/>
          </w:tcPr>
          <w:p w14:paraId="60A562C5"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w:t>
            </w:r>
            <w:r w:rsidRPr="00CA6221">
              <w:rPr>
                <w:rFonts w:eastAsia="Times New Roman" w:cs="Arial"/>
                <w:color w:val="000000"/>
                <w:sz w:val="14"/>
                <w:lang w:eastAsia="en-AU"/>
              </w:rPr>
              <w:t>%</w:t>
            </w:r>
          </w:p>
        </w:tc>
        <w:tc>
          <w:tcPr>
            <w:tcW w:w="789" w:type="dxa"/>
            <w:tcBorders>
              <w:top w:val="nil"/>
              <w:left w:val="nil"/>
              <w:bottom w:val="single" w:sz="8" w:space="0" w:color="auto"/>
              <w:right w:val="single" w:sz="8" w:space="0" w:color="auto"/>
            </w:tcBorders>
            <w:shd w:val="clear" w:color="auto" w:fill="auto"/>
            <w:noWrap/>
            <w:vAlign w:val="center"/>
            <w:hideMark/>
          </w:tcPr>
          <w:p w14:paraId="43CAF91B"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7,429</w:t>
            </w:r>
          </w:p>
        </w:tc>
        <w:tc>
          <w:tcPr>
            <w:tcW w:w="785"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CC35CF8"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-636</w:t>
            </w:r>
          </w:p>
        </w:tc>
        <w:tc>
          <w:tcPr>
            <w:tcW w:w="785" w:type="dxa"/>
            <w:tcBorders>
              <w:top w:val="single" w:sz="4" w:space="0" w:color="auto"/>
              <w:left w:val="nil"/>
              <w:bottom w:val="single" w:sz="8" w:space="0" w:color="auto"/>
              <w:right w:val="single" w:sz="4" w:space="0" w:color="auto"/>
            </w:tcBorders>
            <w:shd w:val="clear" w:color="auto" w:fill="auto"/>
            <w:noWrap/>
            <w:vAlign w:val="center"/>
            <w:hideMark/>
          </w:tcPr>
          <w:p w14:paraId="4DD27FF8"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w:t>
            </w:r>
            <w:r w:rsidRPr="00CA6221">
              <w:rPr>
                <w:rFonts w:eastAsia="Times New Roman" w:cs="Arial"/>
                <w:color w:val="000000"/>
                <w:sz w:val="14"/>
                <w:lang w:eastAsia="en-AU"/>
              </w:rPr>
              <w:t>%</w:t>
            </w:r>
          </w:p>
        </w:tc>
        <w:tc>
          <w:tcPr>
            <w:tcW w:w="788" w:type="dxa"/>
            <w:tcBorders>
              <w:top w:val="nil"/>
              <w:left w:val="nil"/>
              <w:bottom w:val="single" w:sz="8" w:space="0" w:color="auto"/>
              <w:right w:val="single" w:sz="8" w:space="0" w:color="auto"/>
            </w:tcBorders>
            <w:shd w:val="clear" w:color="auto" w:fill="auto"/>
            <w:noWrap/>
            <w:vAlign w:val="center"/>
            <w:hideMark/>
          </w:tcPr>
          <w:p w14:paraId="1F8419D3"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23,400</w:t>
            </w:r>
          </w:p>
        </w:tc>
        <w:tc>
          <w:tcPr>
            <w:tcW w:w="785"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9DF6721"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-1263</w:t>
            </w:r>
          </w:p>
        </w:tc>
        <w:tc>
          <w:tcPr>
            <w:tcW w:w="785" w:type="dxa"/>
            <w:tcBorders>
              <w:top w:val="single" w:sz="4" w:space="0" w:color="auto"/>
              <w:left w:val="nil"/>
              <w:bottom w:val="single" w:sz="8" w:space="0" w:color="auto"/>
              <w:right w:val="single" w:sz="4" w:space="0" w:color="auto"/>
            </w:tcBorders>
            <w:shd w:val="clear" w:color="auto" w:fill="auto"/>
            <w:noWrap/>
            <w:vAlign w:val="center"/>
            <w:hideMark/>
          </w:tcPr>
          <w:p w14:paraId="7A842EA8" w14:textId="77777777" w:rsidR="00711D5F" w:rsidRPr="00CA6221" w:rsidRDefault="00711D5F"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w:t>
            </w:r>
            <w:r w:rsidRPr="00CA6221">
              <w:rPr>
                <w:rFonts w:eastAsia="Times New Roman" w:cs="Arial"/>
                <w:color w:val="000000"/>
                <w:sz w:val="14"/>
                <w:lang w:eastAsia="en-AU"/>
              </w:rPr>
              <w:t>%</w:t>
            </w:r>
          </w:p>
        </w:tc>
        <w:tc>
          <w:tcPr>
            <w:tcW w:w="785" w:type="dxa"/>
            <w:tcBorders>
              <w:top w:val="nil"/>
              <w:left w:val="nil"/>
              <w:bottom w:val="single" w:sz="8" w:space="0" w:color="auto"/>
              <w:right w:val="single" w:sz="8" w:space="0" w:color="auto"/>
            </w:tcBorders>
            <w:shd w:val="clear" w:color="auto" w:fill="auto"/>
            <w:noWrap/>
            <w:vAlign w:val="center"/>
            <w:hideMark/>
          </w:tcPr>
          <w:p w14:paraId="3BFEE2C9" w14:textId="77777777" w:rsidR="00711D5F" w:rsidRPr="00CA6221" w:rsidRDefault="00711D5F" w:rsidP="00E86B79">
            <w:pPr>
              <w:spacing w:after="0" w:line="240" w:lineRule="auto"/>
              <w:jc w:val="right"/>
              <w:rPr>
                <w:rFonts w:eastAsia="Times New Roman" w:cs="Arial"/>
                <w:color w:val="000000"/>
                <w:sz w:val="14"/>
                <w:lang w:eastAsia="en-AU"/>
              </w:rPr>
            </w:pPr>
            <w:r w:rsidRPr="00CA6221">
              <w:rPr>
                <w:rFonts w:eastAsia="Times New Roman" w:cs="Arial"/>
                <w:color w:val="000000"/>
                <w:sz w:val="14"/>
                <w:lang w:eastAsia="en-AU"/>
              </w:rPr>
              <w:t>48,737</w:t>
            </w:r>
          </w:p>
        </w:tc>
      </w:tr>
    </w:tbl>
    <w:p w14:paraId="3ED8A783" w14:textId="77777777" w:rsidR="00C83903" w:rsidRPr="0064674B" w:rsidRDefault="00306D8F" w:rsidP="00306D8F">
      <w:pPr>
        <w:spacing w:line="240" w:lineRule="auto"/>
        <w:rPr>
          <w:rFonts w:eastAsia="Times New Roman" w:cs="Arial"/>
          <w:szCs w:val="24"/>
          <w:u w:val="single"/>
        </w:rPr>
      </w:pPr>
      <w:r w:rsidRPr="0064674B">
        <w:rPr>
          <w:rFonts w:eastAsia="Times New Roman" w:cs="Arial"/>
          <w:b/>
          <w:szCs w:val="18"/>
        </w:rPr>
        <w:br/>
      </w:r>
    </w:p>
    <w:p w14:paraId="189F1473" w14:textId="77777777" w:rsidR="00306D8F" w:rsidRPr="008719C6" w:rsidRDefault="00306D8F" w:rsidP="00306D8F">
      <w:pPr>
        <w:spacing w:line="240" w:lineRule="auto"/>
        <w:rPr>
          <w:rFonts w:eastAsia="Times New Roman" w:cs="Arial"/>
          <w:szCs w:val="24"/>
          <w:u w:val="single"/>
        </w:rPr>
      </w:pPr>
      <w:r w:rsidRPr="008719C6">
        <w:rPr>
          <w:rFonts w:eastAsia="Times New Roman" w:cs="Arial"/>
          <w:szCs w:val="24"/>
          <w:u w:val="single"/>
        </w:rPr>
        <w:t>Diversions</w:t>
      </w:r>
    </w:p>
    <w:p w14:paraId="29E03AAC" w14:textId="77777777" w:rsidR="00363EAB" w:rsidRDefault="00306D8F" w:rsidP="00306D8F">
      <w:pPr>
        <w:spacing w:line="240" w:lineRule="auto"/>
        <w:rPr>
          <w:rFonts w:cs="Arial"/>
          <w:szCs w:val="20"/>
        </w:rPr>
      </w:pPr>
      <w:r w:rsidRPr="0011383D">
        <w:rPr>
          <w:rFonts w:eastAsia="Times New Roman" w:cs="Arial"/>
          <w:szCs w:val="24"/>
        </w:rPr>
        <w:t xml:space="preserve">As shown in the table below, </w:t>
      </w:r>
      <w:r w:rsidR="0074462C" w:rsidRPr="0011383D">
        <w:rPr>
          <w:rFonts w:eastAsia="Times New Roman" w:cs="Arial"/>
          <w:szCs w:val="24"/>
        </w:rPr>
        <w:t xml:space="preserve">diversion customers’ bills </w:t>
      </w:r>
      <w:r w:rsidR="00B90050" w:rsidRPr="0011383D">
        <w:rPr>
          <w:rFonts w:eastAsia="Times New Roman" w:cs="Arial"/>
          <w:szCs w:val="24"/>
        </w:rPr>
        <w:t>will mostly decrease</w:t>
      </w:r>
      <w:r w:rsidR="0074462C" w:rsidRPr="0011383D">
        <w:rPr>
          <w:rFonts w:eastAsia="Times New Roman" w:cs="Arial"/>
          <w:szCs w:val="24"/>
        </w:rPr>
        <w:t xml:space="preserve"> in proportional terms </w:t>
      </w:r>
      <w:r w:rsidR="007151F7">
        <w:rPr>
          <w:rFonts w:eastAsia="Times New Roman" w:cs="Arial"/>
          <w:szCs w:val="24"/>
        </w:rPr>
        <w:t>for 20234/24</w:t>
      </w:r>
      <w:r w:rsidR="00483A2C">
        <w:rPr>
          <w:rFonts w:eastAsia="Times New Roman" w:cs="Arial"/>
          <w:szCs w:val="24"/>
        </w:rPr>
        <w:t xml:space="preserve"> between 1%-4%</w:t>
      </w:r>
      <w:r w:rsidR="007151F7">
        <w:rPr>
          <w:rFonts w:eastAsia="Times New Roman" w:cs="Arial"/>
          <w:szCs w:val="24"/>
        </w:rPr>
        <w:t xml:space="preserve">. Although </w:t>
      </w:r>
      <w:r w:rsidR="0011383D">
        <w:rPr>
          <w:rFonts w:cs="Arial"/>
          <w:szCs w:val="20"/>
        </w:rPr>
        <w:t xml:space="preserve">GMW </w:t>
      </w:r>
      <w:r w:rsidR="007151F7">
        <w:rPr>
          <w:rFonts w:cs="Arial"/>
          <w:szCs w:val="20"/>
        </w:rPr>
        <w:t xml:space="preserve">is </w:t>
      </w:r>
      <w:r w:rsidR="0011383D">
        <w:rPr>
          <w:rFonts w:cs="Arial"/>
          <w:szCs w:val="20"/>
        </w:rPr>
        <w:t xml:space="preserve">passing on </w:t>
      </w:r>
      <w:r w:rsidR="00711D5F" w:rsidRPr="00483A2C">
        <w:rPr>
          <w:rFonts w:cs="Arial"/>
          <w:szCs w:val="20"/>
        </w:rPr>
        <w:t>a 5.6</w:t>
      </w:r>
      <w:r w:rsidR="001D4A98" w:rsidRPr="00483A2C">
        <w:rPr>
          <w:rFonts w:cs="Arial"/>
          <w:szCs w:val="20"/>
        </w:rPr>
        <w:t xml:space="preserve"> per cent</w:t>
      </w:r>
      <w:r w:rsidR="00EB6845" w:rsidRPr="00483A2C">
        <w:rPr>
          <w:rFonts w:cs="Arial"/>
          <w:szCs w:val="20"/>
        </w:rPr>
        <w:t xml:space="preserve"> increase</w:t>
      </w:r>
      <w:r w:rsidR="0011383D">
        <w:rPr>
          <w:rFonts w:cs="Arial"/>
          <w:szCs w:val="20"/>
        </w:rPr>
        <w:t xml:space="preserve"> </w:t>
      </w:r>
      <w:r w:rsidR="007151F7">
        <w:rPr>
          <w:rFonts w:cs="Arial"/>
          <w:szCs w:val="20"/>
        </w:rPr>
        <w:t xml:space="preserve">on the access fees this is offset as the customer fee and unmetered service point fees are held as per their </w:t>
      </w:r>
      <w:r w:rsidR="009E46B0">
        <w:rPr>
          <w:rFonts w:cs="Arial"/>
          <w:szCs w:val="20"/>
        </w:rPr>
        <w:t>20</w:t>
      </w:r>
      <w:r w:rsidR="007151F7">
        <w:rPr>
          <w:rFonts w:cs="Arial"/>
          <w:szCs w:val="20"/>
        </w:rPr>
        <w:t xml:space="preserve">22/23 price which </w:t>
      </w:r>
      <w:r w:rsidR="007151F7" w:rsidRPr="00483A2C">
        <w:rPr>
          <w:rFonts w:cs="Arial"/>
          <w:szCs w:val="20"/>
        </w:rPr>
        <w:t xml:space="preserve">is a </w:t>
      </w:r>
      <w:r w:rsidR="00483A2C">
        <w:rPr>
          <w:rFonts w:cs="Arial"/>
          <w:szCs w:val="20"/>
        </w:rPr>
        <w:t>7.0</w:t>
      </w:r>
      <w:r w:rsidR="00E86B79" w:rsidRPr="00483A2C">
        <w:rPr>
          <w:rFonts w:cs="Arial"/>
          <w:szCs w:val="20"/>
        </w:rPr>
        <w:t xml:space="preserve"> per cent</w:t>
      </w:r>
      <w:r w:rsidR="007151F7" w:rsidRPr="00483A2C">
        <w:rPr>
          <w:rFonts w:cs="Arial"/>
          <w:szCs w:val="20"/>
        </w:rPr>
        <w:t xml:space="preserve"> decrease</w:t>
      </w:r>
      <w:r w:rsidR="007151F7">
        <w:rPr>
          <w:rFonts w:cs="Arial"/>
          <w:szCs w:val="20"/>
        </w:rPr>
        <w:t xml:space="preserve"> in real terms.</w:t>
      </w:r>
      <w:r w:rsidR="00EB6845" w:rsidRPr="00665A3A">
        <w:rPr>
          <w:rFonts w:cs="Arial"/>
          <w:szCs w:val="20"/>
        </w:rPr>
        <w:t xml:space="preserve"> </w:t>
      </w:r>
    </w:p>
    <w:p w14:paraId="1A37A97C" w14:textId="77777777" w:rsidR="00F74776" w:rsidRPr="00A21526" w:rsidRDefault="0074462C" w:rsidP="00306D8F">
      <w:pPr>
        <w:spacing w:line="240" w:lineRule="auto"/>
        <w:rPr>
          <w:rFonts w:eastAsia="Times New Roman" w:cs="Arial"/>
          <w:b/>
          <w:szCs w:val="18"/>
        </w:rPr>
      </w:pPr>
      <w:r w:rsidRPr="0011383D">
        <w:rPr>
          <w:rFonts w:eastAsia="Times New Roman" w:cs="Arial"/>
          <w:szCs w:val="24"/>
        </w:rPr>
        <w:t xml:space="preserve">The metered service point fee </w:t>
      </w:r>
      <w:r w:rsidR="007151F7">
        <w:rPr>
          <w:rFonts w:eastAsia="Times New Roman" w:cs="Arial"/>
          <w:szCs w:val="24"/>
        </w:rPr>
        <w:t>finalise</w:t>
      </w:r>
      <w:r w:rsidR="00483A2C">
        <w:rPr>
          <w:rFonts w:eastAsia="Times New Roman" w:cs="Arial"/>
          <w:szCs w:val="24"/>
        </w:rPr>
        <w:t>s</w:t>
      </w:r>
      <w:r w:rsidR="007151F7">
        <w:rPr>
          <w:rFonts w:eastAsia="Times New Roman" w:cs="Arial"/>
          <w:szCs w:val="24"/>
        </w:rPr>
        <w:t xml:space="preserve"> its </w:t>
      </w:r>
      <w:r w:rsidR="00EB6845" w:rsidRPr="0011383D">
        <w:rPr>
          <w:rFonts w:eastAsia="Times New Roman" w:cs="Arial"/>
          <w:szCs w:val="24"/>
        </w:rPr>
        <w:t>transition</w:t>
      </w:r>
      <w:r w:rsidR="007151F7">
        <w:rPr>
          <w:rFonts w:eastAsia="Times New Roman" w:cs="Arial"/>
          <w:szCs w:val="24"/>
        </w:rPr>
        <w:t xml:space="preserve"> and </w:t>
      </w:r>
      <w:r w:rsidR="00483A2C">
        <w:rPr>
          <w:rFonts w:eastAsia="Times New Roman" w:cs="Arial"/>
          <w:szCs w:val="24"/>
        </w:rPr>
        <w:t xml:space="preserve">is </w:t>
      </w:r>
      <w:r w:rsidR="007151F7">
        <w:rPr>
          <w:rFonts w:eastAsia="Times New Roman" w:cs="Arial"/>
          <w:szCs w:val="24"/>
        </w:rPr>
        <w:t xml:space="preserve">in line with the gravity local read </w:t>
      </w:r>
      <w:r w:rsidR="00483A2C">
        <w:rPr>
          <w:rFonts w:eastAsia="Times New Roman" w:cs="Arial"/>
          <w:szCs w:val="24"/>
        </w:rPr>
        <w:t xml:space="preserve">in </w:t>
      </w:r>
      <w:r w:rsidR="007151F7">
        <w:rPr>
          <w:rFonts w:eastAsia="Times New Roman" w:cs="Arial"/>
          <w:szCs w:val="24"/>
        </w:rPr>
        <w:t>2023/24.</w:t>
      </w:r>
      <w:r w:rsidR="00EB6845" w:rsidRPr="0011383D">
        <w:rPr>
          <w:rFonts w:eastAsia="Times New Roman" w:cs="Arial"/>
          <w:szCs w:val="24"/>
        </w:rPr>
        <w:t xml:space="preserve"> </w:t>
      </w:r>
    </w:p>
    <w:p w14:paraId="646DBB15" w14:textId="77777777" w:rsidR="00363EAB" w:rsidRDefault="00363EAB" w:rsidP="00306D8F">
      <w:pPr>
        <w:keepNext/>
        <w:spacing w:line="240" w:lineRule="auto"/>
        <w:rPr>
          <w:rFonts w:eastAsia="Times New Roman" w:cs="Arial"/>
          <w:b/>
          <w:szCs w:val="18"/>
        </w:rPr>
      </w:pPr>
    </w:p>
    <w:p w14:paraId="60AF07F1" w14:textId="77777777" w:rsidR="00306D8F" w:rsidRDefault="00306D8F" w:rsidP="00306D8F">
      <w:pPr>
        <w:keepNext/>
        <w:spacing w:line="240" w:lineRule="auto"/>
        <w:rPr>
          <w:rFonts w:eastAsia="Times New Roman" w:cs="Arial"/>
          <w:b/>
          <w:szCs w:val="18"/>
        </w:rPr>
      </w:pPr>
      <w:r w:rsidRPr="008A6556">
        <w:rPr>
          <w:rFonts w:eastAsia="Times New Roman" w:cs="Arial"/>
          <w:b/>
          <w:szCs w:val="18"/>
        </w:rPr>
        <w:t xml:space="preserve">Bill increases in real $s, </w:t>
      </w:r>
      <w:r w:rsidR="00810EDB" w:rsidRPr="008A6556">
        <w:rPr>
          <w:rFonts w:eastAsia="Times New Roman" w:cs="Arial"/>
          <w:b/>
          <w:szCs w:val="18"/>
        </w:rPr>
        <w:t>D</w:t>
      </w:r>
      <w:r w:rsidRPr="008A6556">
        <w:rPr>
          <w:rFonts w:eastAsia="Times New Roman" w:cs="Arial"/>
          <w:b/>
          <w:szCs w:val="18"/>
        </w:rPr>
        <w:t xml:space="preserve">iversion </w:t>
      </w:r>
      <w:proofErr w:type="gramStart"/>
      <w:r w:rsidRPr="008A6556">
        <w:rPr>
          <w:rFonts w:eastAsia="Times New Roman" w:cs="Arial"/>
          <w:b/>
          <w:szCs w:val="18"/>
        </w:rPr>
        <w:t>customers</w:t>
      </w:r>
      <w:proofErr w:type="gramEnd"/>
    </w:p>
    <w:tbl>
      <w:tblPr>
        <w:tblpPr w:leftFromText="180" w:rightFromText="180" w:vertAnchor="text" w:horzAnchor="page" w:tblpX="918" w:tblpY="293"/>
        <w:tblW w:w="10632" w:type="dxa"/>
        <w:tblLayout w:type="fixed"/>
        <w:tblCellMar>
          <w:left w:w="28" w:type="dxa"/>
          <w:right w:w="28" w:type="dxa"/>
        </w:tblCellMar>
        <w:tblLook w:val="04A0" w:firstRow="1" w:lastRow="0" w:firstColumn="1" w:lastColumn="0" w:noHBand="0" w:noVBand="1"/>
      </w:tblPr>
      <w:tblGrid>
        <w:gridCol w:w="1266"/>
        <w:gridCol w:w="657"/>
        <w:gridCol w:w="791"/>
        <w:gridCol w:w="793"/>
        <w:gridCol w:w="791"/>
        <w:gridCol w:w="789"/>
        <w:gridCol w:w="793"/>
        <w:gridCol w:w="790"/>
        <w:gridCol w:w="790"/>
        <w:gridCol w:w="792"/>
        <w:gridCol w:w="790"/>
        <w:gridCol w:w="790"/>
        <w:gridCol w:w="790"/>
        <w:gridCol w:w="10"/>
      </w:tblGrid>
      <w:tr w:rsidR="00073CF2" w:rsidRPr="00284D9A" w14:paraId="3A93E65A" w14:textId="77777777" w:rsidTr="00C74A9D">
        <w:trPr>
          <w:cantSplit/>
          <w:trHeight w:val="264"/>
        </w:trPr>
        <w:tc>
          <w:tcPr>
            <w:tcW w:w="1266"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35D0974C" w14:textId="77777777" w:rsidR="00073CF2" w:rsidRPr="00284D9A" w:rsidRDefault="00C74A9D" w:rsidP="00593E22">
            <w:pPr>
              <w:spacing w:after="0" w:line="240" w:lineRule="auto"/>
              <w:ind w:left="20" w:hangingChars="11" w:hanging="20"/>
              <w:jc w:val="center"/>
              <w:rPr>
                <w:rFonts w:eastAsia="Times New Roman" w:cs="Arial"/>
                <w:b/>
                <w:bCs/>
                <w:color w:val="000000"/>
                <w:sz w:val="18"/>
                <w:szCs w:val="12"/>
                <w:lang w:eastAsia="en-AU"/>
              </w:rPr>
            </w:pPr>
            <w:r>
              <w:rPr>
                <w:rFonts w:eastAsia="Times New Roman" w:cs="Arial"/>
                <w:b/>
                <w:bCs/>
                <w:color w:val="000000"/>
                <w:sz w:val="18"/>
                <w:szCs w:val="12"/>
                <w:lang w:eastAsia="en-AU"/>
              </w:rPr>
              <w:t>Diversions</w:t>
            </w:r>
          </w:p>
        </w:tc>
        <w:tc>
          <w:tcPr>
            <w:tcW w:w="224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4903EC" w14:textId="77777777" w:rsidR="00073CF2" w:rsidRPr="00284D9A" w:rsidRDefault="00073CF2" w:rsidP="00593E22">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Small</w:t>
            </w:r>
          </w:p>
        </w:tc>
        <w:tc>
          <w:tcPr>
            <w:tcW w:w="23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22828E2" w14:textId="77777777" w:rsidR="00073CF2" w:rsidRPr="00284D9A" w:rsidRDefault="00073CF2" w:rsidP="00593E22">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Medium</w:t>
            </w:r>
          </w:p>
        </w:tc>
        <w:tc>
          <w:tcPr>
            <w:tcW w:w="237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9B55021" w14:textId="77777777" w:rsidR="00073CF2" w:rsidRPr="00284D9A" w:rsidRDefault="00073CF2" w:rsidP="00593E22">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Large</w:t>
            </w:r>
          </w:p>
        </w:tc>
        <w:tc>
          <w:tcPr>
            <w:tcW w:w="23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CFB65E" w14:textId="77777777" w:rsidR="00073CF2" w:rsidRPr="00284D9A" w:rsidRDefault="00073CF2" w:rsidP="00593E22">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Extra Large</w:t>
            </w:r>
          </w:p>
        </w:tc>
      </w:tr>
      <w:tr w:rsidR="00073CF2" w:rsidRPr="00F7797D" w14:paraId="200CA22D" w14:textId="77777777" w:rsidTr="00C74A9D">
        <w:trPr>
          <w:gridAfter w:val="1"/>
          <w:wAfter w:w="10" w:type="dxa"/>
          <w:cantSplit/>
          <w:trHeight w:val="278"/>
        </w:trPr>
        <w:tc>
          <w:tcPr>
            <w:tcW w:w="1266" w:type="dxa"/>
            <w:tcBorders>
              <w:top w:val="nil"/>
              <w:left w:val="single" w:sz="8" w:space="0" w:color="auto"/>
              <w:bottom w:val="single" w:sz="4" w:space="0" w:color="auto"/>
              <w:right w:val="single" w:sz="8" w:space="0" w:color="auto"/>
            </w:tcBorders>
            <w:shd w:val="clear" w:color="000000" w:fill="FFFFFF"/>
            <w:noWrap/>
            <w:vAlign w:val="center"/>
            <w:hideMark/>
          </w:tcPr>
          <w:p w14:paraId="56F8D8FF" w14:textId="77777777" w:rsidR="00073CF2" w:rsidRPr="00E62B40" w:rsidRDefault="00073CF2" w:rsidP="00593E22">
            <w:pPr>
              <w:spacing w:before="240" w:after="0" w:line="240" w:lineRule="auto"/>
              <w:ind w:left="13" w:hangingChars="11" w:hanging="13"/>
              <w:jc w:val="center"/>
              <w:rPr>
                <w:rFonts w:eastAsia="Times New Roman" w:cs="Arial"/>
                <w:b/>
                <w:color w:val="000000"/>
                <w:sz w:val="12"/>
                <w:szCs w:val="12"/>
                <w:lang w:eastAsia="en-AU"/>
              </w:rPr>
            </w:pPr>
          </w:p>
        </w:tc>
        <w:tc>
          <w:tcPr>
            <w:tcW w:w="6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9815C"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46E47"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93" w:type="dxa"/>
            <w:tcBorders>
              <w:top w:val="single" w:sz="4" w:space="0" w:color="auto"/>
              <w:left w:val="nil"/>
              <w:bottom w:val="single" w:sz="4" w:space="0" w:color="auto"/>
              <w:right w:val="single" w:sz="8" w:space="0" w:color="auto"/>
            </w:tcBorders>
            <w:shd w:val="clear" w:color="000000" w:fill="FFFFFF"/>
            <w:noWrap/>
            <w:vAlign w:val="center"/>
            <w:hideMark/>
          </w:tcPr>
          <w:p w14:paraId="48977B0D"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c>
          <w:tcPr>
            <w:tcW w:w="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872B8"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w:t>
            </w:r>
          </w:p>
          <w:p w14:paraId="3A35E43F"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Change</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211D7"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93" w:type="dxa"/>
            <w:tcBorders>
              <w:top w:val="single" w:sz="4" w:space="0" w:color="auto"/>
              <w:left w:val="nil"/>
              <w:bottom w:val="single" w:sz="4" w:space="0" w:color="auto"/>
              <w:right w:val="single" w:sz="8" w:space="0" w:color="auto"/>
            </w:tcBorders>
            <w:shd w:val="clear" w:color="000000" w:fill="FFFFFF"/>
            <w:noWrap/>
            <w:vAlign w:val="center"/>
            <w:hideMark/>
          </w:tcPr>
          <w:p w14:paraId="58F32D7C"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4D9B9"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C1425C"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92" w:type="dxa"/>
            <w:tcBorders>
              <w:top w:val="single" w:sz="4" w:space="0" w:color="auto"/>
              <w:left w:val="nil"/>
              <w:bottom w:val="single" w:sz="4" w:space="0" w:color="auto"/>
              <w:right w:val="single" w:sz="8" w:space="0" w:color="auto"/>
            </w:tcBorders>
            <w:shd w:val="clear" w:color="000000" w:fill="FFFFFF"/>
            <w:noWrap/>
            <w:vAlign w:val="center"/>
            <w:hideMark/>
          </w:tcPr>
          <w:p w14:paraId="551B8715"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A0B4B"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00DD8"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790" w:type="dxa"/>
            <w:tcBorders>
              <w:top w:val="single" w:sz="4" w:space="0" w:color="auto"/>
              <w:left w:val="nil"/>
              <w:bottom w:val="single" w:sz="4" w:space="0" w:color="auto"/>
              <w:right w:val="single" w:sz="8" w:space="0" w:color="auto"/>
            </w:tcBorders>
            <w:shd w:val="clear" w:color="000000" w:fill="FFFFFF"/>
            <w:noWrap/>
            <w:vAlign w:val="center"/>
            <w:hideMark/>
          </w:tcPr>
          <w:p w14:paraId="048FE9E5" w14:textId="77777777" w:rsidR="00073CF2" w:rsidRPr="00F7797D" w:rsidRDefault="00073CF2" w:rsidP="00593E22">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r>
      <w:tr w:rsidR="00073CF2" w:rsidRPr="00CA6221" w14:paraId="57FB36D5" w14:textId="77777777" w:rsidTr="00C74A9D">
        <w:trPr>
          <w:gridAfter w:val="1"/>
          <w:wAfter w:w="10" w:type="dxa"/>
          <w:cantSplit/>
          <w:trHeight w:val="241"/>
        </w:trPr>
        <w:tc>
          <w:tcPr>
            <w:tcW w:w="1266" w:type="dxa"/>
            <w:tcBorders>
              <w:top w:val="nil"/>
              <w:left w:val="single" w:sz="8" w:space="0" w:color="auto"/>
              <w:bottom w:val="nil"/>
              <w:right w:val="single" w:sz="8" w:space="0" w:color="auto"/>
            </w:tcBorders>
            <w:shd w:val="clear" w:color="000000" w:fill="FFFFFF"/>
            <w:noWrap/>
            <w:vAlign w:val="center"/>
            <w:hideMark/>
          </w:tcPr>
          <w:p w14:paraId="1FB663BA" w14:textId="77777777" w:rsidR="00073CF2" w:rsidRPr="00CA6221" w:rsidRDefault="00C74A9D" w:rsidP="00593E22">
            <w:pPr>
              <w:spacing w:after="0" w:line="240" w:lineRule="auto"/>
              <w:ind w:left="15" w:hangingChars="11" w:hanging="15"/>
              <w:jc w:val="center"/>
              <w:rPr>
                <w:rFonts w:eastAsia="Times New Roman" w:cs="Arial"/>
                <w:color w:val="000000"/>
                <w:sz w:val="14"/>
                <w:lang w:eastAsia="en-AU"/>
              </w:rPr>
            </w:pPr>
            <w:r>
              <w:rPr>
                <w:rFonts w:eastAsia="Times New Roman" w:cs="Arial"/>
                <w:color w:val="000000"/>
                <w:sz w:val="14"/>
                <w:lang w:eastAsia="en-AU"/>
              </w:rPr>
              <w:t>Regulated Surface (Murray)</w:t>
            </w:r>
          </w:p>
        </w:tc>
        <w:tc>
          <w:tcPr>
            <w:tcW w:w="6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CA612"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-23</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6D1BCFA9"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4</w:t>
            </w:r>
            <w:r w:rsidRPr="00CA6221">
              <w:rPr>
                <w:rFonts w:eastAsia="Times New Roman" w:cs="Arial"/>
                <w:color w:val="000000"/>
                <w:sz w:val="14"/>
                <w:lang w:eastAsia="en-AU"/>
              </w:rPr>
              <w:t>%</w:t>
            </w:r>
          </w:p>
        </w:tc>
        <w:tc>
          <w:tcPr>
            <w:tcW w:w="79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EFA7F67"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531</w:t>
            </w:r>
          </w:p>
        </w:tc>
        <w:tc>
          <w:tcPr>
            <w:tcW w:w="7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679BE"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50</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6CA95A5E"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3</w:t>
            </w:r>
            <w:r w:rsidRPr="00CA6221">
              <w:rPr>
                <w:rFonts w:eastAsia="Times New Roman" w:cs="Arial"/>
                <w:color w:val="000000"/>
                <w:sz w:val="14"/>
                <w:lang w:eastAsia="en-AU"/>
              </w:rPr>
              <w:t>%</w:t>
            </w:r>
          </w:p>
        </w:tc>
        <w:tc>
          <w:tcPr>
            <w:tcW w:w="793" w:type="dxa"/>
            <w:tcBorders>
              <w:top w:val="nil"/>
              <w:left w:val="nil"/>
              <w:bottom w:val="single" w:sz="4" w:space="0" w:color="auto"/>
              <w:right w:val="single" w:sz="8" w:space="0" w:color="auto"/>
            </w:tcBorders>
            <w:shd w:val="clear" w:color="auto" w:fill="auto"/>
            <w:noWrap/>
            <w:vAlign w:val="center"/>
            <w:hideMark/>
          </w:tcPr>
          <w:p w14:paraId="37FCBB04"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1,655</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9F4D76"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170</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B6B8CDE"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3</w:t>
            </w:r>
            <w:r w:rsidRPr="00CA6221">
              <w:rPr>
                <w:rFonts w:eastAsia="Times New Roman" w:cs="Arial"/>
                <w:color w:val="000000"/>
                <w:sz w:val="14"/>
                <w:lang w:eastAsia="en-AU"/>
              </w:rPr>
              <w:t>%</w:t>
            </w:r>
          </w:p>
        </w:tc>
        <w:tc>
          <w:tcPr>
            <w:tcW w:w="792" w:type="dxa"/>
            <w:tcBorders>
              <w:top w:val="nil"/>
              <w:left w:val="nil"/>
              <w:bottom w:val="single" w:sz="4" w:space="0" w:color="auto"/>
              <w:right w:val="single" w:sz="8" w:space="0" w:color="auto"/>
            </w:tcBorders>
            <w:shd w:val="clear" w:color="auto" w:fill="auto"/>
            <w:noWrap/>
            <w:vAlign w:val="center"/>
            <w:hideMark/>
          </w:tcPr>
          <w:p w14:paraId="68081B27"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4,796</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6A6C6"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348</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C38BA39"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4</w:t>
            </w:r>
            <w:r w:rsidRPr="00CA6221">
              <w:rPr>
                <w:rFonts w:eastAsia="Times New Roman" w:cs="Arial"/>
                <w:color w:val="000000"/>
                <w:sz w:val="14"/>
                <w:lang w:eastAsia="en-AU"/>
              </w:rPr>
              <w:t>%</w:t>
            </w:r>
          </w:p>
        </w:tc>
        <w:tc>
          <w:tcPr>
            <w:tcW w:w="790" w:type="dxa"/>
            <w:tcBorders>
              <w:top w:val="nil"/>
              <w:left w:val="nil"/>
              <w:bottom w:val="single" w:sz="4" w:space="0" w:color="auto"/>
              <w:right w:val="single" w:sz="8" w:space="0" w:color="auto"/>
            </w:tcBorders>
            <w:shd w:val="clear" w:color="auto" w:fill="auto"/>
            <w:noWrap/>
            <w:vAlign w:val="center"/>
            <w:hideMark/>
          </w:tcPr>
          <w:p w14:paraId="774CCA56"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8,556</w:t>
            </w:r>
          </w:p>
        </w:tc>
      </w:tr>
      <w:tr w:rsidR="00073CF2" w:rsidRPr="00CA6221" w14:paraId="6EE459CD" w14:textId="77777777" w:rsidTr="00C74A9D">
        <w:trPr>
          <w:gridAfter w:val="1"/>
          <w:wAfter w:w="10" w:type="dxa"/>
          <w:cantSplit/>
          <w:trHeight w:val="258"/>
        </w:trPr>
        <w:tc>
          <w:tcPr>
            <w:tcW w:w="1266"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B73714E" w14:textId="77777777" w:rsidR="00073CF2" w:rsidRPr="00CA6221" w:rsidRDefault="00C74A9D" w:rsidP="00C74A9D">
            <w:pPr>
              <w:spacing w:after="0" w:line="240" w:lineRule="auto"/>
              <w:ind w:left="15" w:hangingChars="11" w:hanging="15"/>
              <w:jc w:val="center"/>
              <w:rPr>
                <w:rFonts w:eastAsia="Times New Roman" w:cs="Arial"/>
                <w:color w:val="000000"/>
                <w:sz w:val="14"/>
                <w:lang w:eastAsia="en-AU"/>
              </w:rPr>
            </w:pPr>
            <w:r>
              <w:rPr>
                <w:rFonts w:eastAsia="Times New Roman" w:cs="Arial"/>
                <w:color w:val="000000"/>
                <w:sz w:val="14"/>
                <w:lang w:eastAsia="en-AU"/>
              </w:rPr>
              <w:t>Regulated Surface (Goulburn)</w:t>
            </w:r>
          </w:p>
        </w:tc>
        <w:tc>
          <w:tcPr>
            <w:tcW w:w="657" w:type="dxa"/>
            <w:tcBorders>
              <w:top w:val="nil"/>
              <w:left w:val="single" w:sz="4" w:space="0" w:color="auto"/>
              <w:bottom w:val="single" w:sz="4" w:space="0" w:color="auto"/>
              <w:right w:val="single" w:sz="4" w:space="0" w:color="auto"/>
            </w:tcBorders>
            <w:shd w:val="clear" w:color="000000" w:fill="FFFFFF"/>
            <w:noWrap/>
            <w:vAlign w:val="center"/>
            <w:hideMark/>
          </w:tcPr>
          <w:p w14:paraId="76CE94B3"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-22</w:t>
            </w:r>
          </w:p>
        </w:tc>
        <w:tc>
          <w:tcPr>
            <w:tcW w:w="791" w:type="dxa"/>
            <w:tcBorders>
              <w:top w:val="nil"/>
              <w:left w:val="nil"/>
              <w:bottom w:val="single" w:sz="4" w:space="0" w:color="auto"/>
              <w:right w:val="single" w:sz="4" w:space="0" w:color="auto"/>
            </w:tcBorders>
            <w:shd w:val="clear" w:color="auto" w:fill="auto"/>
            <w:noWrap/>
            <w:vAlign w:val="center"/>
            <w:hideMark/>
          </w:tcPr>
          <w:p w14:paraId="6E2B8F49"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4</w:t>
            </w:r>
            <w:r w:rsidRPr="00CA6221">
              <w:rPr>
                <w:rFonts w:eastAsia="Times New Roman" w:cs="Arial"/>
                <w:color w:val="000000"/>
                <w:sz w:val="14"/>
                <w:lang w:eastAsia="en-AU"/>
              </w:rPr>
              <w:t>%</w:t>
            </w:r>
          </w:p>
        </w:tc>
        <w:tc>
          <w:tcPr>
            <w:tcW w:w="793" w:type="dxa"/>
            <w:tcBorders>
              <w:top w:val="nil"/>
              <w:left w:val="single" w:sz="4" w:space="0" w:color="auto"/>
              <w:bottom w:val="single" w:sz="4" w:space="0" w:color="auto"/>
              <w:right w:val="single" w:sz="8" w:space="0" w:color="auto"/>
            </w:tcBorders>
            <w:shd w:val="clear" w:color="auto" w:fill="auto"/>
            <w:noWrap/>
            <w:vAlign w:val="center"/>
            <w:hideMark/>
          </w:tcPr>
          <w:p w14:paraId="1824D1E4"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529</w:t>
            </w:r>
          </w:p>
        </w:tc>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5794E0BB"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22</w:t>
            </w:r>
          </w:p>
        </w:tc>
        <w:tc>
          <w:tcPr>
            <w:tcW w:w="789" w:type="dxa"/>
            <w:tcBorders>
              <w:top w:val="nil"/>
              <w:left w:val="nil"/>
              <w:bottom w:val="single" w:sz="4" w:space="0" w:color="auto"/>
              <w:right w:val="single" w:sz="4" w:space="0" w:color="auto"/>
            </w:tcBorders>
            <w:shd w:val="clear" w:color="auto" w:fill="auto"/>
            <w:noWrap/>
            <w:vAlign w:val="center"/>
            <w:hideMark/>
          </w:tcPr>
          <w:p w14:paraId="057E5C06"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w:t>
            </w:r>
            <w:r w:rsidRPr="00CA6221">
              <w:rPr>
                <w:rFonts w:eastAsia="Times New Roman" w:cs="Arial"/>
                <w:color w:val="000000"/>
                <w:sz w:val="14"/>
                <w:lang w:eastAsia="en-AU"/>
              </w:rPr>
              <w:t>%</w:t>
            </w:r>
          </w:p>
        </w:tc>
        <w:tc>
          <w:tcPr>
            <w:tcW w:w="793" w:type="dxa"/>
            <w:tcBorders>
              <w:top w:val="nil"/>
              <w:left w:val="nil"/>
              <w:bottom w:val="single" w:sz="4" w:space="0" w:color="auto"/>
              <w:right w:val="single" w:sz="8" w:space="0" w:color="auto"/>
            </w:tcBorders>
            <w:shd w:val="clear" w:color="auto" w:fill="auto"/>
            <w:noWrap/>
            <w:vAlign w:val="center"/>
            <w:hideMark/>
          </w:tcPr>
          <w:p w14:paraId="5B9D0FD8"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1,574</w:t>
            </w:r>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3375BE1E"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54</w:t>
            </w:r>
          </w:p>
        </w:tc>
        <w:tc>
          <w:tcPr>
            <w:tcW w:w="790" w:type="dxa"/>
            <w:tcBorders>
              <w:top w:val="nil"/>
              <w:left w:val="nil"/>
              <w:bottom w:val="single" w:sz="4" w:space="0" w:color="auto"/>
              <w:right w:val="single" w:sz="4" w:space="0" w:color="auto"/>
            </w:tcBorders>
            <w:shd w:val="clear" w:color="auto" w:fill="auto"/>
            <w:noWrap/>
            <w:vAlign w:val="center"/>
            <w:hideMark/>
          </w:tcPr>
          <w:p w14:paraId="470B46E9"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w:t>
            </w:r>
            <w:r w:rsidRPr="00CA6221">
              <w:rPr>
                <w:rFonts w:eastAsia="Times New Roman" w:cs="Arial"/>
                <w:color w:val="000000"/>
                <w:sz w:val="14"/>
                <w:lang w:eastAsia="en-AU"/>
              </w:rPr>
              <w:t>%</w:t>
            </w:r>
          </w:p>
        </w:tc>
        <w:tc>
          <w:tcPr>
            <w:tcW w:w="792" w:type="dxa"/>
            <w:tcBorders>
              <w:top w:val="nil"/>
              <w:left w:val="nil"/>
              <w:bottom w:val="single" w:sz="4" w:space="0" w:color="auto"/>
              <w:right w:val="single" w:sz="8" w:space="0" w:color="auto"/>
            </w:tcBorders>
            <w:shd w:val="clear" w:color="auto" w:fill="auto"/>
            <w:noWrap/>
            <w:vAlign w:val="center"/>
            <w:hideMark/>
          </w:tcPr>
          <w:p w14:paraId="16AC3376"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4,471</w:t>
            </w:r>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673EEF09"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100</w:t>
            </w:r>
          </w:p>
        </w:tc>
        <w:tc>
          <w:tcPr>
            <w:tcW w:w="790" w:type="dxa"/>
            <w:tcBorders>
              <w:top w:val="nil"/>
              <w:left w:val="nil"/>
              <w:bottom w:val="single" w:sz="4" w:space="0" w:color="auto"/>
              <w:right w:val="single" w:sz="4" w:space="0" w:color="auto"/>
            </w:tcBorders>
            <w:shd w:val="clear" w:color="auto" w:fill="auto"/>
            <w:noWrap/>
            <w:vAlign w:val="center"/>
            <w:hideMark/>
          </w:tcPr>
          <w:p w14:paraId="74651CCF"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w:t>
            </w:r>
            <w:r w:rsidRPr="00CA6221">
              <w:rPr>
                <w:rFonts w:eastAsia="Times New Roman" w:cs="Arial"/>
                <w:color w:val="000000"/>
                <w:sz w:val="14"/>
                <w:lang w:eastAsia="en-AU"/>
              </w:rPr>
              <w:t>%</w:t>
            </w:r>
          </w:p>
        </w:tc>
        <w:tc>
          <w:tcPr>
            <w:tcW w:w="790" w:type="dxa"/>
            <w:tcBorders>
              <w:top w:val="nil"/>
              <w:left w:val="nil"/>
              <w:bottom w:val="single" w:sz="4" w:space="0" w:color="auto"/>
              <w:right w:val="single" w:sz="8" w:space="0" w:color="auto"/>
            </w:tcBorders>
            <w:shd w:val="clear" w:color="auto" w:fill="auto"/>
            <w:noWrap/>
            <w:vAlign w:val="center"/>
            <w:hideMark/>
          </w:tcPr>
          <w:p w14:paraId="660F2AA8"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7,860</w:t>
            </w:r>
          </w:p>
        </w:tc>
      </w:tr>
      <w:tr w:rsidR="00073CF2" w:rsidRPr="00CA6221" w14:paraId="466054D9" w14:textId="77777777" w:rsidTr="00C74A9D">
        <w:trPr>
          <w:gridAfter w:val="1"/>
          <w:wAfter w:w="10" w:type="dxa"/>
          <w:cantSplit/>
          <w:trHeight w:val="277"/>
        </w:trPr>
        <w:tc>
          <w:tcPr>
            <w:tcW w:w="1266" w:type="dxa"/>
            <w:tcBorders>
              <w:top w:val="nil"/>
              <w:left w:val="single" w:sz="8" w:space="0" w:color="auto"/>
              <w:bottom w:val="single" w:sz="4" w:space="0" w:color="auto"/>
              <w:right w:val="single" w:sz="8" w:space="0" w:color="auto"/>
            </w:tcBorders>
            <w:shd w:val="clear" w:color="000000" w:fill="FFFFFF"/>
            <w:noWrap/>
            <w:vAlign w:val="center"/>
            <w:hideMark/>
          </w:tcPr>
          <w:p w14:paraId="49560775" w14:textId="77777777" w:rsidR="00073CF2" w:rsidRPr="00CA6221" w:rsidRDefault="00C74A9D" w:rsidP="00593E22">
            <w:pPr>
              <w:spacing w:after="0" w:line="240" w:lineRule="auto"/>
              <w:ind w:left="15" w:hangingChars="11" w:hanging="15"/>
              <w:jc w:val="center"/>
              <w:rPr>
                <w:rFonts w:eastAsia="Times New Roman" w:cs="Arial"/>
                <w:color w:val="000000"/>
                <w:sz w:val="14"/>
                <w:lang w:eastAsia="en-AU"/>
              </w:rPr>
            </w:pPr>
            <w:r>
              <w:rPr>
                <w:rFonts w:eastAsia="Times New Roman" w:cs="Arial"/>
                <w:color w:val="000000"/>
                <w:sz w:val="14"/>
                <w:lang w:eastAsia="en-AU"/>
              </w:rPr>
              <w:t>Unregulated Surface</w:t>
            </w:r>
          </w:p>
        </w:tc>
        <w:tc>
          <w:tcPr>
            <w:tcW w:w="657" w:type="dxa"/>
            <w:tcBorders>
              <w:top w:val="nil"/>
              <w:left w:val="single" w:sz="4" w:space="0" w:color="auto"/>
              <w:bottom w:val="single" w:sz="4" w:space="0" w:color="auto"/>
              <w:right w:val="single" w:sz="4" w:space="0" w:color="auto"/>
            </w:tcBorders>
            <w:shd w:val="clear" w:color="000000" w:fill="FFFFFF"/>
            <w:noWrap/>
            <w:vAlign w:val="center"/>
            <w:hideMark/>
          </w:tcPr>
          <w:p w14:paraId="0468E242"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15</w:t>
            </w:r>
          </w:p>
        </w:tc>
        <w:tc>
          <w:tcPr>
            <w:tcW w:w="791" w:type="dxa"/>
            <w:tcBorders>
              <w:top w:val="nil"/>
              <w:left w:val="nil"/>
              <w:bottom w:val="single" w:sz="4" w:space="0" w:color="auto"/>
              <w:right w:val="single" w:sz="4" w:space="0" w:color="auto"/>
            </w:tcBorders>
            <w:shd w:val="clear" w:color="auto" w:fill="auto"/>
            <w:noWrap/>
            <w:vAlign w:val="center"/>
            <w:hideMark/>
          </w:tcPr>
          <w:p w14:paraId="46BCADC8"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4</w:t>
            </w:r>
            <w:r w:rsidRPr="00CA6221">
              <w:rPr>
                <w:rFonts w:eastAsia="Times New Roman" w:cs="Arial"/>
                <w:color w:val="000000"/>
                <w:sz w:val="14"/>
                <w:lang w:eastAsia="en-AU"/>
              </w:rPr>
              <w:t>%</w:t>
            </w:r>
          </w:p>
        </w:tc>
        <w:tc>
          <w:tcPr>
            <w:tcW w:w="793" w:type="dxa"/>
            <w:tcBorders>
              <w:top w:val="nil"/>
              <w:left w:val="single" w:sz="4" w:space="0" w:color="auto"/>
              <w:bottom w:val="single" w:sz="4" w:space="0" w:color="auto"/>
              <w:right w:val="single" w:sz="8" w:space="0" w:color="auto"/>
            </w:tcBorders>
            <w:shd w:val="clear" w:color="auto" w:fill="auto"/>
            <w:noWrap/>
            <w:vAlign w:val="center"/>
            <w:hideMark/>
          </w:tcPr>
          <w:p w14:paraId="4F63A726"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379</w:t>
            </w:r>
          </w:p>
        </w:tc>
        <w:tc>
          <w:tcPr>
            <w:tcW w:w="791" w:type="dxa"/>
            <w:tcBorders>
              <w:top w:val="single" w:sz="4" w:space="0" w:color="auto"/>
              <w:left w:val="single" w:sz="4" w:space="0" w:color="auto"/>
              <w:bottom w:val="nil"/>
              <w:right w:val="single" w:sz="4" w:space="0" w:color="auto"/>
            </w:tcBorders>
            <w:shd w:val="clear" w:color="000000" w:fill="FFFFFF"/>
            <w:noWrap/>
            <w:vAlign w:val="center"/>
            <w:hideMark/>
          </w:tcPr>
          <w:p w14:paraId="3D10404F"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-12</w:t>
            </w:r>
          </w:p>
        </w:tc>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337FF8EE"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w:t>
            </w:r>
            <w:r w:rsidRPr="00CA6221">
              <w:rPr>
                <w:rFonts w:eastAsia="Times New Roman" w:cs="Arial"/>
                <w:color w:val="000000"/>
                <w:sz w:val="14"/>
                <w:lang w:eastAsia="en-AU"/>
              </w:rPr>
              <w:t>%</w:t>
            </w:r>
          </w:p>
        </w:tc>
        <w:tc>
          <w:tcPr>
            <w:tcW w:w="793" w:type="dxa"/>
            <w:tcBorders>
              <w:top w:val="nil"/>
              <w:left w:val="nil"/>
              <w:bottom w:val="single" w:sz="4" w:space="0" w:color="auto"/>
              <w:right w:val="single" w:sz="8" w:space="0" w:color="auto"/>
            </w:tcBorders>
            <w:shd w:val="clear" w:color="auto" w:fill="auto"/>
            <w:noWrap/>
            <w:vAlign w:val="center"/>
            <w:hideMark/>
          </w:tcPr>
          <w:p w14:paraId="4F7DA152"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812</w:t>
            </w:r>
          </w:p>
        </w:tc>
        <w:tc>
          <w:tcPr>
            <w:tcW w:w="790" w:type="dxa"/>
            <w:tcBorders>
              <w:top w:val="single" w:sz="4" w:space="0" w:color="auto"/>
              <w:left w:val="single" w:sz="4" w:space="0" w:color="auto"/>
              <w:bottom w:val="nil"/>
              <w:right w:val="single" w:sz="4" w:space="0" w:color="auto"/>
            </w:tcBorders>
            <w:shd w:val="clear" w:color="000000" w:fill="FFFFFF"/>
            <w:noWrap/>
            <w:vAlign w:val="center"/>
            <w:hideMark/>
          </w:tcPr>
          <w:p w14:paraId="21A29EFB"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18</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76B9D501"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w:t>
            </w:r>
            <w:r w:rsidRPr="00CA6221">
              <w:rPr>
                <w:rFonts w:eastAsia="Times New Roman" w:cs="Arial"/>
                <w:color w:val="000000"/>
                <w:sz w:val="14"/>
                <w:lang w:eastAsia="en-AU"/>
              </w:rPr>
              <w:t>%</w:t>
            </w:r>
          </w:p>
        </w:tc>
        <w:tc>
          <w:tcPr>
            <w:tcW w:w="792" w:type="dxa"/>
            <w:tcBorders>
              <w:top w:val="nil"/>
              <w:left w:val="nil"/>
              <w:bottom w:val="single" w:sz="4" w:space="0" w:color="auto"/>
              <w:right w:val="single" w:sz="8" w:space="0" w:color="auto"/>
            </w:tcBorders>
            <w:shd w:val="clear" w:color="auto" w:fill="auto"/>
            <w:noWrap/>
            <w:vAlign w:val="center"/>
            <w:hideMark/>
          </w:tcPr>
          <w:p w14:paraId="522D6EB0"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1,232</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C425C"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34</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6F8A96E4"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w:t>
            </w:r>
            <w:r w:rsidRPr="00CA6221">
              <w:rPr>
                <w:rFonts w:eastAsia="Times New Roman" w:cs="Arial"/>
                <w:color w:val="000000"/>
                <w:sz w:val="14"/>
                <w:lang w:eastAsia="en-AU"/>
              </w:rPr>
              <w:t>%</w:t>
            </w:r>
          </w:p>
        </w:tc>
        <w:tc>
          <w:tcPr>
            <w:tcW w:w="790" w:type="dxa"/>
            <w:tcBorders>
              <w:top w:val="nil"/>
              <w:left w:val="nil"/>
              <w:bottom w:val="single" w:sz="4" w:space="0" w:color="auto"/>
              <w:right w:val="single" w:sz="8" w:space="0" w:color="auto"/>
            </w:tcBorders>
            <w:shd w:val="clear" w:color="auto" w:fill="auto"/>
            <w:noWrap/>
            <w:vAlign w:val="center"/>
            <w:hideMark/>
          </w:tcPr>
          <w:p w14:paraId="32CB9001"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2,837</w:t>
            </w:r>
          </w:p>
        </w:tc>
      </w:tr>
      <w:tr w:rsidR="00073CF2" w:rsidRPr="00CA6221" w14:paraId="26AE62E3" w14:textId="77777777" w:rsidTr="00C74A9D">
        <w:trPr>
          <w:gridAfter w:val="1"/>
          <w:wAfter w:w="10" w:type="dxa"/>
          <w:cantSplit/>
          <w:trHeight w:val="280"/>
        </w:trPr>
        <w:tc>
          <w:tcPr>
            <w:tcW w:w="1266" w:type="dxa"/>
            <w:tcBorders>
              <w:top w:val="nil"/>
              <w:left w:val="single" w:sz="8" w:space="0" w:color="auto"/>
              <w:bottom w:val="single" w:sz="4" w:space="0" w:color="auto"/>
              <w:right w:val="single" w:sz="8" w:space="0" w:color="auto"/>
            </w:tcBorders>
            <w:shd w:val="clear" w:color="000000" w:fill="FFFFFF"/>
            <w:noWrap/>
            <w:vAlign w:val="center"/>
            <w:hideMark/>
          </w:tcPr>
          <w:p w14:paraId="78A3E48B" w14:textId="77777777" w:rsidR="00073CF2" w:rsidRPr="00CA6221" w:rsidRDefault="00C74A9D" w:rsidP="00593E22">
            <w:pPr>
              <w:spacing w:after="0" w:line="240" w:lineRule="auto"/>
              <w:ind w:left="15" w:hangingChars="11" w:hanging="15"/>
              <w:jc w:val="center"/>
              <w:rPr>
                <w:rFonts w:eastAsia="Times New Roman" w:cs="Arial"/>
                <w:color w:val="000000"/>
                <w:sz w:val="14"/>
                <w:lang w:eastAsia="en-AU"/>
              </w:rPr>
            </w:pPr>
            <w:r>
              <w:rPr>
                <w:rFonts w:eastAsia="Times New Roman" w:cs="Arial"/>
                <w:color w:val="000000"/>
                <w:sz w:val="14"/>
                <w:lang w:eastAsia="en-AU"/>
              </w:rPr>
              <w:t>Shepparton Groundwater</w:t>
            </w:r>
          </w:p>
        </w:tc>
        <w:tc>
          <w:tcPr>
            <w:tcW w:w="657" w:type="dxa"/>
            <w:tcBorders>
              <w:top w:val="nil"/>
              <w:left w:val="single" w:sz="4" w:space="0" w:color="auto"/>
              <w:bottom w:val="single" w:sz="4" w:space="0" w:color="auto"/>
              <w:right w:val="single" w:sz="4" w:space="0" w:color="auto"/>
            </w:tcBorders>
            <w:shd w:val="clear" w:color="000000" w:fill="FFFFFF"/>
            <w:noWrap/>
            <w:vAlign w:val="center"/>
            <w:hideMark/>
          </w:tcPr>
          <w:p w14:paraId="42838EEC"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11</w:t>
            </w:r>
          </w:p>
        </w:tc>
        <w:tc>
          <w:tcPr>
            <w:tcW w:w="791" w:type="dxa"/>
            <w:tcBorders>
              <w:top w:val="nil"/>
              <w:left w:val="nil"/>
              <w:bottom w:val="single" w:sz="4" w:space="0" w:color="auto"/>
              <w:right w:val="single" w:sz="4" w:space="0" w:color="auto"/>
            </w:tcBorders>
            <w:shd w:val="clear" w:color="auto" w:fill="auto"/>
            <w:noWrap/>
            <w:vAlign w:val="center"/>
            <w:hideMark/>
          </w:tcPr>
          <w:p w14:paraId="4C0ED943"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w:t>
            </w:r>
            <w:r w:rsidRPr="00CA6221">
              <w:rPr>
                <w:rFonts w:eastAsia="Times New Roman" w:cs="Arial"/>
                <w:color w:val="000000"/>
                <w:sz w:val="14"/>
                <w:lang w:eastAsia="en-AU"/>
              </w:rPr>
              <w:t>%</w:t>
            </w:r>
          </w:p>
        </w:tc>
        <w:tc>
          <w:tcPr>
            <w:tcW w:w="793" w:type="dxa"/>
            <w:tcBorders>
              <w:top w:val="nil"/>
              <w:left w:val="single" w:sz="4" w:space="0" w:color="auto"/>
              <w:bottom w:val="single" w:sz="4" w:space="0" w:color="auto"/>
              <w:right w:val="single" w:sz="8" w:space="0" w:color="auto"/>
            </w:tcBorders>
            <w:shd w:val="clear" w:color="auto" w:fill="auto"/>
            <w:noWrap/>
            <w:vAlign w:val="center"/>
            <w:hideMark/>
          </w:tcPr>
          <w:p w14:paraId="70B1BDE6"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225</w:t>
            </w:r>
          </w:p>
        </w:tc>
        <w:tc>
          <w:tcPr>
            <w:tcW w:w="7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F033C"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w:t>
            </w:r>
            <w:r w:rsidR="00C74A9D">
              <w:rPr>
                <w:rFonts w:eastAsia="Times New Roman" w:cs="Arial"/>
                <w:color w:val="000000"/>
                <w:sz w:val="14"/>
                <w:lang w:eastAsia="en-AU"/>
              </w:rPr>
              <w:t>2</w:t>
            </w:r>
          </w:p>
        </w:tc>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39BBF72E"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3</w:t>
            </w:r>
            <w:r w:rsidRPr="00CA6221">
              <w:rPr>
                <w:rFonts w:eastAsia="Times New Roman" w:cs="Arial"/>
                <w:color w:val="000000"/>
                <w:sz w:val="14"/>
                <w:lang w:eastAsia="en-AU"/>
              </w:rPr>
              <w:t>%</w:t>
            </w:r>
          </w:p>
        </w:tc>
        <w:tc>
          <w:tcPr>
            <w:tcW w:w="793" w:type="dxa"/>
            <w:tcBorders>
              <w:top w:val="nil"/>
              <w:left w:val="nil"/>
              <w:bottom w:val="single" w:sz="4" w:space="0" w:color="auto"/>
              <w:right w:val="single" w:sz="8" w:space="0" w:color="auto"/>
            </w:tcBorders>
            <w:shd w:val="clear" w:color="auto" w:fill="auto"/>
            <w:noWrap/>
            <w:vAlign w:val="center"/>
            <w:hideMark/>
          </w:tcPr>
          <w:p w14:paraId="7B066637"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341</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8C4943"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16</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03E35DCB"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3</w:t>
            </w:r>
            <w:r w:rsidRPr="00CA6221">
              <w:rPr>
                <w:rFonts w:eastAsia="Times New Roman" w:cs="Arial"/>
                <w:color w:val="000000"/>
                <w:sz w:val="14"/>
                <w:lang w:eastAsia="en-AU"/>
              </w:rPr>
              <w:t>%</w:t>
            </w:r>
          </w:p>
        </w:tc>
        <w:tc>
          <w:tcPr>
            <w:tcW w:w="792" w:type="dxa"/>
            <w:tcBorders>
              <w:top w:val="nil"/>
              <w:left w:val="nil"/>
              <w:bottom w:val="single" w:sz="4" w:space="0" w:color="auto"/>
              <w:right w:val="single" w:sz="8" w:space="0" w:color="auto"/>
            </w:tcBorders>
            <w:shd w:val="clear" w:color="auto" w:fill="auto"/>
            <w:noWrap/>
            <w:vAlign w:val="center"/>
            <w:hideMark/>
          </w:tcPr>
          <w:p w14:paraId="4491EF0A"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595</w:t>
            </w:r>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2D8C389D"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22</w:t>
            </w:r>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77649AAD"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2</w:t>
            </w:r>
            <w:r w:rsidRPr="00CA6221">
              <w:rPr>
                <w:rFonts w:eastAsia="Times New Roman" w:cs="Arial"/>
                <w:color w:val="000000"/>
                <w:sz w:val="14"/>
                <w:lang w:eastAsia="en-AU"/>
              </w:rPr>
              <w:t>%</w:t>
            </w:r>
          </w:p>
        </w:tc>
        <w:tc>
          <w:tcPr>
            <w:tcW w:w="790" w:type="dxa"/>
            <w:tcBorders>
              <w:top w:val="nil"/>
              <w:left w:val="nil"/>
              <w:bottom w:val="single" w:sz="4" w:space="0" w:color="auto"/>
              <w:right w:val="single" w:sz="8" w:space="0" w:color="auto"/>
            </w:tcBorders>
            <w:shd w:val="clear" w:color="auto" w:fill="auto"/>
            <w:noWrap/>
            <w:vAlign w:val="center"/>
            <w:hideMark/>
          </w:tcPr>
          <w:p w14:paraId="698ECF2A"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1,046</w:t>
            </w:r>
          </w:p>
        </w:tc>
      </w:tr>
      <w:tr w:rsidR="00073CF2" w:rsidRPr="00CA6221" w14:paraId="0D6A2326" w14:textId="77777777" w:rsidTr="00C74A9D">
        <w:trPr>
          <w:gridAfter w:val="1"/>
          <w:wAfter w:w="10" w:type="dxa"/>
          <w:cantSplit/>
          <w:trHeight w:val="271"/>
        </w:trPr>
        <w:tc>
          <w:tcPr>
            <w:tcW w:w="1266" w:type="dxa"/>
            <w:tcBorders>
              <w:top w:val="nil"/>
              <w:left w:val="single" w:sz="8" w:space="0" w:color="auto"/>
              <w:bottom w:val="single" w:sz="4" w:space="0" w:color="auto"/>
              <w:right w:val="single" w:sz="8" w:space="0" w:color="auto"/>
            </w:tcBorders>
            <w:shd w:val="clear" w:color="000000" w:fill="FFFFFF"/>
            <w:noWrap/>
            <w:vAlign w:val="center"/>
            <w:hideMark/>
          </w:tcPr>
          <w:p w14:paraId="0B147622" w14:textId="77777777" w:rsidR="00073CF2" w:rsidRPr="00CA6221" w:rsidRDefault="00C74A9D" w:rsidP="00593E22">
            <w:pPr>
              <w:spacing w:after="0" w:line="240" w:lineRule="auto"/>
              <w:ind w:left="15" w:hangingChars="11" w:hanging="15"/>
              <w:jc w:val="center"/>
              <w:rPr>
                <w:rFonts w:eastAsia="Times New Roman" w:cs="Arial"/>
                <w:color w:val="000000"/>
                <w:sz w:val="14"/>
                <w:lang w:eastAsia="en-AU"/>
              </w:rPr>
            </w:pPr>
            <w:r>
              <w:rPr>
                <w:rFonts w:eastAsia="Times New Roman" w:cs="Arial"/>
                <w:color w:val="000000"/>
                <w:sz w:val="14"/>
                <w:lang w:eastAsia="en-AU"/>
              </w:rPr>
              <w:t>Groundwater</w:t>
            </w:r>
          </w:p>
        </w:tc>
        <w:tc>
          <w:tcPr>
            <w:tcW w:w="657" w:type="dxa"/>
            <w:tcBorders>
              <w:top w:val="nil"/>
              <w:left w:val="single" w:sz="4" w:space="0" w:color="auto"/>
              <w:bottom w:val="single" w:sz="4" w:space="0" w:color="auto"/>
              <w:right w:val="single" w:sz="4" w:space="0" w:color="auto"/>
            </w:tcBorders>
            <w:shd w:val="clear" w:color="000000" w:fill="FFFFFF"/>
            <w:noWrap/>
            <w:vAlign w:val="center"/>
            <w:hideMark/>
          </w:tcPr>
          <w:p w14:paraId="2B04BDC3"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-22</w:t>
            </w:r>
          </w:p>
        </w:tc>
        <w:tc>
          <w:tcPr>
            <w:tcW w:w="791" w:type="dxa"/>
            <w:tcBorders>
              <w:top w:val="nil"/>
              <w:left w:val="nil"/>
              <w:bottom w:val="single" w:sz="4" w:space="0" w:color="auto"/>
              <w:right w:val="single" w:sz="4" w:space="0" w:color="auto"/>
            </w:tcBorders>
            <w:shd w:val="clear" w:color="auto" w:fill="auto"/>
            <w:noWrap/>
            <w:vAlign w:val="center"/>
            <w:hideMark/>
          </w:tcPr>
          <w:p w14:paraId="6FF09949"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4</w:t>
            </w:r>
            <w:r w:rsidRPr="00CA6221">
              <w:rPr>
                <w:rFonts w:eastAsia="Times New Roman" w:cs="Arial"/>
                <w:color w:val="000000"/>
                <w:sz w:val="14"/>
                <w:lang w:eastAsia="en-AU"/>
              </w:rPr>
              <w:t>%</w:t>
            </w:r>
          </w:p>
        </w:tc>
        <w:tc>
          <w:tcPr>
            <w:tcW w:w="793" w:type="dxa"/>
            <w:tcBorders>
              <w:top w:val="nil"/>
              <w:left w:val="single" w:sz="4" w:space="0" w:color="auto"/>
              <w:bottom w:val="single" w:sz="4" w:space="0" w:color="auto"/>
              <w:right w:val="single" w:sz="8" w:space="0" w:color="auto"/>
            </w:tcBorders>
            <w:shd w:val="clear" w:color="auto" w:fill="auto"/>
            <w:noWrap/>
            <w:vAlign w:val="center"/>
            <w:hideMark/>
          </w:tcPr>
          <w:p w14:paraId="7C356F3D"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524</w:t>
            </w:r>
          </w:p>
        </w:tc>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28F982C1"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21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9E8E1"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w:t>
            </w:r>
            <w:r w:rsidRPr="00CA6221">
              <w:rPr>
                <w:rFonts w:eastAsia="Times New Roman" w:cs="Arial"/>
                <w:color w:val="000000"/>
                <w:sz w:val="14"/>
                <w:lang w:eastAsia="en-AU"/>
              </w:rPr>
              <w:t>%</w:t>
            </w:r>
          </w:p>
        </w:tc>
        <w:tc>
          <w:tcPr>
            <w:tcW w:w="793" w:type="dxa"/>
            <w:tcBorders>
              <w:top w:val="single" w:sz="4" w:space="0" w:color="auto"/>
              <w:left w:val="nil"/>
              <w:bottom w:val="single" w:sz="4" w:space="0" w:color="auto"/>
              <w:right w:val="single" w:sz="8" w:space="0" w:color="auto"/>
            </w:tcBorders>
            <w:shd w:val="clear" w:color="auto" w:fill="auto"/>
            <w:noWrap/>
            <w:vAlign w:val="center"/>
            <w:hideMark/>
          </w:tcPr>
          <w:p w14:paraId="0807AD26"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1,498</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A4121"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40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5CEA"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w:t>
            </w:r>
            <w:r w:rsidRPr="00CA6221">
              <w:rPr>
                <w:rFonts w:eastAsia="Times New Roman" w:cs="Arial"/>
                <w:color w:val="000000"/>
                <w:sz w:val="14"/>
                <w:lang w:eastAsia="en-AU"/>
              </w:rPr>
              <w:t>%</w:t>
            </w:r>
          </w:p>
        </w:tc>
        <w:tc>
          <w:tcPr>
            <w:tcW w:w="792" w:type="dxa"/>
            <w:tcBorders>
              <w:top w:val="single" w:sz="4" w:space="0" w:color="auto"/>
              <w:left w:val="nil"/>
              <w:bottom w:val="single" w:sz="4" w:space="0" w:color="auto"/>
              <w:right w:val="single" w:sz="8" w:space="0" w:color="auto"/>
            </w:tcBorders>
            <w:shd w:val="clear" w:color="auto" w:fill="auto"/>
            <w:noWrap/>
            <w:vAlign w:val="center"/>
            <w:hideMark/>
          </w:tcPr>
          <w:p w14:paraId="41865340"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2,958</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49AB6"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72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01780" w14:textId="77777777" w:rsidR="00073CF2" w:rsidRPr="00CA6221" w:rsidRDefault="00073CF2"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w:t>
            </w:r>
            <w:r w:rsidR="00C74A9D">
              <w:rPr>
                <w:rFonts w:eastAsia="Times New Roman" w:cs="Arial"/>
                <w:color w:val="000000"/>
                <w:sz w:val="14"/>
                <w:lang w:eastAsia="en-AU"/>
              </w:rPr>
              <w:t>1</w:t>
            </w:r>
            <w:r w:rsidRPr="00CA6221">
              <w:rPr>
                <w:rFonts w:eastAsia="Times New Roman" w:cs="Arial"/>
                <w:color w:val="000000"/>
                <w:sz w:val="14"/>
                <w:lang w:eastAsia="en-AU"/>
              </w:rPr>
              <w:t>%</w:t>
            </w:r>
          </w:p>
        </w:tc>
        <w:tc>
          <w:tcPr>
            <w:tcW w:w="790" w:type="dxa"/>
            <w:tcBorders>
              <w:top w:val="nil"/>
              <w:left w:val="nil"/>
              <w:bottom w:val="single" w:sz="4" w:space="0" w:color="auto"/>
              <w:right w:val="single" w:sz="8" w:space="0" w:color="auto"/>
            </w:tcBorders>
            <w:shd w:val="clear" w:color="auto" w:fill="auto"/>
            <w:noWrap/>
            <w:vAlign w:val="center"/>
            <w:hideMark/>
          </w:tcPr>
          <w:p w14:paraId="34326C1B" w14:textId="77777777" w:rsidR="00073CF2" w:rsidRPr="00CA6221" w:rsidRDefault="00C74A9D"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5,772</w:t>
            </w:r>
          </w:p>
        </w:tc>
      </w:tr>
    </w:tbl>
    <w:p w14:paraId="3BD32C64" w14:textId="77777777" w:rsidR="008A6556" w:rsidRPr="0012629F" w:rsidRDefault="008A6556" w:rsidP="00306D8F">
      <w:pPr>
        <w:keepNext/>
        <w:spacing w:line="240" w:lineRule="auto"/>
        <w:rPr>
          <w:rFonts w:eastAsia="Times New Roman" w:cs="Arial"/>
          <w:b/>
          <w:sz w:val="18"/>
          <w:szCs w:val="18"/>
        </w:rPr>
      </w:pPr>
    </w:p>
    <w:p w14:paraId="2F5ACC06" w14:textId="77777777" w:rsidR="007D4DBA" w:rsidRDefault="007D4DBA" w:rsidP="00306D8F">
      <w:pPr>
        <w:rPr>
          <w:rFonts w:cs="Arial"/>
          <w:u w:val="single"/>
        </w:rPr>
      </w:pPr>
    </w:p>
    <w:p w14:paraId="4951D7E6" w14:textId="77777777" w:rsidR="000D5D69" w:rsidRDefault="000D5D69" w:rsidP="00306D8F">
      <w:pPr>
        <w:rPr>
          <w:rFonts w:cs="Arial"/>
          <w:u w:val="single"/>
        </w:rPr>
      </w:pPr>
    </w:p>
    <w:p w14:paraId="63D46499" w14:textId="77777777" w:rsidR="000D5D69" w:rsidRDefault="000D5D69" w:rsidP="00306D8F">
      <w:pPr>
        <w:rPr>
          <w:rFonts w:cs="Arial"/>
          <w:u w:val="single"/>
        </w:rPr>
      </w:pPr>
    </w:p>
    <w:p w14:paraId="66243DD0" w14:textId="77777777" w:rsidR="000D5D69" w:rsidRDefault="000D5D69" w:rsidP="00306D8F">
      <w:pPr>
        <w:rPr>
          <w:rFonts w:cs="Arial"/>
          <w:u w:val="single"/>
        </w:rPr>
      </w:pPr>
    </w:p>
    <w:p w14:paraId="1764348C" w14:textId="77777777" w:rsidR="000D5D69" w:rsidRDefault="000D5D69" w:rsidP="00306D8F">
      <w:pPr>
        <w:rPr>
          <w:rFonts w:cs="Arial"/>
          <w:u w:val="single"/>
        </w:rPr>
      </w:pPr>
    </w:p>
    <w:p w14:paraId="7A40AC7B" w14:textId="77777777" w:rsidR="000D5D69" w:rsidRDefault="000D5D69" w:rsidP="00306D8F">
      <w:pPr>
        <w:rPr>
          <w:rFonts w:cs="Arial"/>
          <w:u w:val="single"/>
        </w:rPr>
      </w:pPr>
    </w:p>
    <w:p w14:paraId="1E25F1C8" w14:textId="77777777" w:rsidR="000D5D69" w:rsidRDefault="000D5D69" w:rsidP="00306D8F">
      <w:pPr>
        <w:rPr>
          <w:rFonts w:cs="Arial"/>
          <w:u w:val="single"/>
        </w:rPr>
      </w:pPr>
    </w:p>
    <w:p w14:paraId="30B94C51" w14:textId="77777777" w:rsidR="00306D8F" w:rsidRDefault="00306D8F" w:rsidP="00306D8F">
      <w:pPr>
        <w:rPr>
          <w:rFonts w:cs="Arial"/>
          <w:u w:val="single"/>
        </w:rPr>
      </w:pPr>
      <w:r w:rsidRPr="0012629F">
        <w:rPr>
          <w:rFonts w:cs="Arial"/>
          <w:u w:val="single"/>
        </w:rPr>
        <w:lastRenderedPageBreak/>
        <w:t>Pumped Irrigation</w:t>
      </w:r>
    </w:p>
    <w:p w14:paraId="4FB17DEA" w14:textId="77777777" w:rsidR="001339B5" w:rsidRPr="00A21526" w:rsidRDefault="001339B5" w:rsidP="001339B5">
      <w:pPr>
        <w:pStyle w:val="ListParagraph"/>
        <w:keepNext/>
        <w:spacing w:after="0"/>
        <w:ind w:left="0"/>
        <w:rPr>
          <w:rFonts w:cs="Arial"/>
        </w:rPr>
      </w:pPr>
      <w:r w:rsidRPr="00615E2A">
        <w:rPr>
          <w:rFonts w:cs="Arial"/>
        </w:rPr>
        <w:t>Pumped Irrigation customers will see a reduction in their bills. The service point fee introduced in the 2020 Pricing Submission finishes its transition in 2023</w:t>
      </w:r>
      <w:r w:rsidRPr="00F776C6">
        <w:rPr>
          <w:rFonts w:cs="Arial"/>
        </w:rPr>
        <w:t xml:space="preserve">/24. </w:t>
      </w:r>
    </w:p>
    <w:p w14:paraId="67386694" w14:textId="77777777" w:rsidR="001339B5" w:rsidRPr="00612011" w:rsidRDefault="001339B5" w:rsidP="001339B5">
      <w:pPr>
        <w:pStyle w:val="ListParagraph"/>
        <w:keepNext/>
        <w:spacing w:after="0"/>
        <w:ind w:left="0"/>
        <w:rPr>
          <w:rFonts w:cs="Arial"/>
          <w:b/>
          <w:sz w:val="18"/>
          <w:szCs w:val="18"/>
          <w:highlight w:val="yellow"/>
        </w:rPr>
      </w:pPr>
    </w:p>
    <w:p w14:paraId="79C41D2B" w14:textId="77777777" w:rsidR="00483A2C" w:rsidRDefault="00483A2C" w:rsidP="001339B5">
      <w:pPr>
        <w:keepNext/>
        <w:rPr>
          <w:rFonts w:eastAsia="Times New Roman" w:cs="Arial"/>
          <w:b/>
          <w:szCs w:val="18"/>
        </w:rPr>
      </w:pPr>
    </w:p>
    <w:p w14:paraId="739FFFEA" w14:textId="77777777" w:rsidR="001339B5" w:rsidRDefault="001339B5" w:rsidP="00483A2C">
      <w:pPr>
        <w:keepNext/>
        <w:rPr>
          <w:rFonts w:cs="Arial"/>
          <w:u w:val="single"/>
        </w:rPr>
      </w:pPr>
      <w:r w:rsidRPr="0012629F">
        <w:rPr>
          <w:rFonts w:eastAsia="Times New Roman" w:cs="Arial"/>
          <w:b/>
          <w:szCs w:val="18"/>
        </w:rPr>
        <w:t>Bill increases in real $s</w:t>
      </w:r>
      <w:r w:rsidRPr="0012629F">
        <w:rPr>
          <w:rFonts w:cs="Arial"/>
          <w:b/>
          <w:szCs w:val="18"/>
        </w:rPr>
        <w:t xml:space="preserve">, Pumped Irrigation </w:t>
      </w:r>
      <w:proofErr w:type="gramStart"/>
      <w:r w:rsidRPr="0012629F">
        <w:rPr>
          <w:rFonts w:cs="Arial"/>
          <w:b/>
          <w:szCs w:val="18"/>
        </w:rPr>
        <w:t>customers</w:t>
      </w:r>
      <w:proofErr w:type="gramEnd"/>
    </w:p>
    <w:tbl>
      <w:tblPr>
        <w:tblpPr w:leftFromText="180" w:rightFromText="180" w:vertAnchor="text" w:horzAnchor="margin" w:tblpXSpec="center" w:tblpY="282"/>
        <w:tblW w:w="10029" w:type="dxa"/>
        <w:tblLayout w:type="fixed"/>
        <w:tblCellMar>
          <w:left w:w="28" w:type="dxa"/>
          <w:right w:w="28" w:type="dxa"/>
        </w:tblCellMar>
        <w:tblLook w:val="04A0" w:firstRow="1" w:lastRow="0" w:firstColumn="1" w:lastColumn="0" w:noHBand="0" w:noVBand="1"/>
      </w:tblPr>
      <w:tblGrid>
        <w:gridCol w:w="1538"/>
        <w:gridCol w:w="798"/>
        <w:gridCol w:w="961"/>
        <w:gridCol w:w="964"/>
        <w:gridCol w:w="961"/>
        <w:gridCol w:w="959"/>
        <w:gridCol w:w="965"/>
        <w:gridCol w:w="960"/>
        <w:gridCol w:w="960"/>
        <w:gridCol w:w="963"/>
      </w:tblGrid>
      <w:tr w:rsidR="001339B5" w:rsidRPr="00284D9A" w14:paraId="382B0B8F" w14:textId="77777777" w:rsidTr="001339B5">
        <w:trPr>
          <w:cantSplit/>
          <w:trHeight w:val="262"/>
        </w:trPr>
        <w:tc>
          <w:tcPr>
            <w:tcW w:w="1538"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C29B99B" w14:textId="77777777" w:rsidR="001339B5" w:rsidRPr="00284D9A" w:rsidRDefault="001339B5" w:rsidP="001339B5">
            <w:pPr>
              <w:spacing w:after="0" w:line="240" w:lineRule="auto"/>
              <w:ind w:left="20" w:hangingChars="11" w:hanging="20"/>
              <w:jc w:val="center"/>
              <w:rPr>
                <w:rFonts w:eastAsia="Times New Roman" w:cs="Arial"/>
                <w:b/>
                <w:bCs/>
                <w:color w:val="000000"/>
                <w:sz w:val="18"/>
                <w:szCs w:val="12"/>
                <w:lang w:eastAsia="en-AU"/>
              </w:rPr>
            </w:pPr>
            <w:r>
              <w:rPr>
                <w:rFonts w:eastAsia="Times New Roman" w:cs="Arial"/>
                <w:b/>
                <w:bCs/>
                <w:color w:val="000000"/>
                <w:sz w:val="18"/>
                <w:szCs w:val="12"/>
                <w:lang w:eastAsia="en-AU"/>
              </w:rPr>
              <w:t>Pumped Irrigation</w:t>
            </w:r>
          </w:p>
        </w:tc>
        <w:tc>
          <w:tcPr>
            <w:tcW w:w="27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7C2440D" w14:textId="77777777" w:rsidR="001339B5" w:rsidRPr="00284D9A" w:rsidRDefault="001339B5" w:rsidP="001339B5">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Small</w:t>
            </w:r>
          </w:p>
        </w:tc>
        <w:tc>
          <w:tcPr>
            <w:tcW w:w="288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2B99146" w14:textId="77777777" w:rsidR="001339B5" w:rsidRPr="00284D9A" w:rsidRDefault="001339B5" w:rsidP="001339B5">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Medium</w:t>
            </w:r>
          </w:p>
        </w:tc>
        <w:tc>
          <w:tcPr>
            <w:tcW w:w="288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06E926" w14:textId="77777777" w:rsidR="001339B5" w:rsidRPr="00284D9A" w:rsidRDefault="001339B5" w:rsidP="001339B5">
            <w:pPr>
              <w:spacing w:after="0" w:line="240" w:lineRule="auto"/>
              <w:jc w:val="center"/>
              <w:rPr>
                <w:rFonts w:eastAsia="Times New Roman" w:cs="Arial"/>
                <w:b/>
                <w:bCs/>
                <w:color w:val="000000"/>
                <w:sz w:val="18"/>
                <w:szCs w:val="12"/>
                <w:lang w:eastAsia="en-AU"/>
              </w:rPr>
            </w:pPr>
            <w:r w:rsidRPr="00284D9A">
              <w:rPr>
                <w:rFonts w:eastAsia="Times New Roman" w:cs="Arial"/>
                <w:b/>
                <w:bCs/>
                <w:color w:val="000000"/>
                <w:sz w:val="18"/>
                <w:szCs w:val="12"/>
                <w:lang w:eastAsia="en-AU"/>
              </w:rPr>
              <w:t>Large</w:t>
            </w:r>
          </w:p>
        </w:tc>
      </w:tr>
      <w:tr w:rsidR="001339B5" w:rsidRPr="00F7797D" w14:paraId="588B6726" w14:textId="77777777" w:rsidTr="001339B5">
        <w:trPr>
          <w:cantSplit/>
          <w:trHeight w:val="276"/>
        </w:trPr>
        <w:tc>
          <w:tcPr>
            <w:tcW w:w="1538" w:type="dxa"/>
            <w:tcBorders>
              <w:top w:val="nil"/>
              <w:left w:val="single" w:sz="8" w:space="0" w:color="auto"/>
              <w:bottom w:val="single" w:sz="4" w:space="0" w:color="auto"/>
              <w:right w:val="single" w:sz="8" w:space="0" w:color="auto"/>
            </w:tcBorders>
            <w:shd w:val="clear" w:color="000000" w:fill="FFFFFF"/>
            <w:noWrap/>
            <w:vAlign w:val="center"/>
            <w:hideMark/>
          </w:tcPr>
          <w:p w14:paraId="666732A1" w14:textId="77777777" w:rsidR="001339B5" w:rsidRPr="00E62B40" w:rsidRDefault="001339B5" w:rsidP="001339B5">
            <w:pPr>
              <w:spacing w:before="240" w:after="0" w:line="240" w:lineRule="auto"/>
              <w:ind w:left="13" w:hangingChars="11" w:hanging="13"/>
              <w:jc w:val="center"/>
              <w:rPr>
                <w:rFonts w:eastAsia="Times New Roman" w:cs="Arial"/>
                <w:b/>
                <w:color w:val="000000"/>
                <w:sz w:val="12"/>
                <w:szCs w:val="12"/>
                <w:lang w:eastAsia="en-AU"/>
              </w:rPr>
            </w:pP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E47D8"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E6FEE3"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964" w:type="dxa"/>
            <w:tcBorders>
              <w:top w:val="single" w:sz="4" w:space="0" w:color="auto"/>
              <w:left w:val="nil"/>
              <w:bottom w:val="single" w:sz="4" w:space="0" w:color="auto"/>
              <w:right w:val="single" w:sz="8" w:space="0" w:color="auto"/>
            </w:tcBorders>
            <w:shd w:val="clear" w:color="000000" w:fill="FFFFFF"/>
            <w:noWrap/>
            <w:vAlign w:val="center"/>
            <w:hideMark/>
          </w:tcPr>
          <w:p w14:paraId="5ECD2700"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E1159"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w:t>
            </w:r>
          </w:p>
          <w:p w14:paraId="56CC882E"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Change</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1287F"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965" w:type="dxa"/>
            <w:tcBorders>
              <w:top w:val="single" w:sz="4" w:space="0" w:color="auto"/>
              <w:left w:val="nil"/>
              <w:bottom w:val="single" w:sz="4" w:space="0" w:color="auto"/>
              <w:right w:val="single" w:sz="8" w:space="0" w:color="auto"/>
            </w:tcBorders>
            <w:shd w:val="clear" w:color="000000" w:fill="FFFFFF"/>
            <w:noWrap/>
            <w:vAlign w:val="center"/>
            <w:hideMark/>
          </w:tcPr>
          <w:p w14:paraId="7ECB7D87"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BABBD"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849B3"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 Change</w:t>
            </w:r>
          </w:p>
        </w:tc>
        <w:tc>
          <w:tcPr>
            <w:tcW w:w="963" w:type="dxa"/>
            <w:tcBorders>
              <w:top w:val="single" w:sz="4" w:space="0" w:color="auto"/>
              <w:left w:val="nil"/>
              <w:bottom w:val="single" w:sz="4" w:space="0" w:color="auto"/>
              <w:right w:val="single" w:sz="8" w:space="0" w:color="auto"/>
            </w:tcBorders>
            <w:shd w:val="clear" w:color="000000" w:fill="FFFFFF"/>
            <w:noWrap/>
            <w:vAlign w:val="center"/>
            <w:hideMark/>
          </w:tcPr>
          <w:p w14:paraId="28D04247" w14:textId="77777777" w:rsidR="001339B5" w:rsidRPr="00F7797D" w:rsidRDefault="001339B5" w:rsidP="001339B5">
            <w:pPr>
              <w:spacing w:after="0" w:line="240" w:lineRule="auto"/>
              <w:jc w:val="center"/>
              <w:rPr>
                <w:rFonts w:eastAsia="Times New Roman" w:cs="Arial"/>
                <w:b/>
                <w:bCs/>
                <w:color w:val="000000"/>
                <w:sz w:val="14"/>
                <w:szCs w:val="12"/>
                <w:lang w:eastAsia="en-AU"/>
              </w:rPr>
            </w:pPr>
            <w:r w:rsidRPr="00F7797D">
              <w:rPr>
                <w:rFonts w:eastAsia="Times New Roman" w:cs="Arial"/>
                <w:b/>
                <w:bCs/>
                <w:color w:val="000000"/>
                <w:sz w:val="14"/>
                <w:szCs w:val="12"/>
                <w:lang w:eastAsia="en-AU"/>
              </w:rPr>
              <w:t>Total Bill $</w:t>
            </w:r>
          </w:p>
        </w:tc>
      </w:tr>
      <w:tr w:rsidR="001339B5" w:rsidRPr="00CA6221" w14:paraId="20DF5FD7" w14:textId="77777777" w:rsidTr="001339B5">
        <w:trPr>
          <w:cantSplit/>
          <w:trHeight w:val="239"/>
        </w:trPr>
        <w:tc>
          <w:tcPr>
            <w:tcW w:w="1538" w:type="dxa"/>
            <w:tcBorders>
              <w:top w:val="nil"/>
              <w:left w:val="single" w:sz="8" w:space="0" w:color="auto"/>
              <w:bottom w:val="nil"/>
              <w:right w:val="single" w:sz="8" w:space="0" w:color="auto"/>
            </w:tcBorders>
            <w:shd w:val="clear" w:color="000000" w:fill="FFFFFF"/>
            <w:noWrap/>
            <w:vAlign w:val="center"/>
            <w:hideMark/>
          </w:tcPr>
          <w:p w14:paraId="7700EFF9" w14:textId="77777777" w:rsidR="001339B5" w:rsidRPr="00CA6221" w:rsidRDefault="001339B5" w:rsidP="001339B5">
            <w:pPr>
              <w:spacing w:after="0" w:line="240" w:lineRule="auto"/>
              <w:ind w:left="15" w:hangingChars="11" w:hanging="15"/>
              <w:jc w:val="center"/>
              <w:rPr>
                <w:rFonts w:eastAsia="Times New Roman" w:cs="Arial"/>
                <w:color w:val="000000"/>
                <w:sz w:val="14"/>
                <w:lang w:eastAsia="en-AU"/>
              </w:rPr>
            </w:pPr>
            <w:r>
              <w:rPr>
                <w:rFonts w:eastAsia="Times New Roman" w:cs="Arial"/>
                <w:color w:val="000000"/>
                <w:sz w:val="14"/>
                <w:lang w:eastAsia="en-AU"/>
              </w:rPr>
              <w:t>Woorinen</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03151F"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-46</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634E353B"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w:t>
            </w:r>
            <w:r w:rsidRPr="00CA6221">
              <w:rPr>
                <w:rFonts w:eastAsia="Times New Roman" w:cs="Arial"/>
                <w:color w:val="000000"/>
                <w:sz w:val="14"/>
                <w:lang w:eastAsia="en-AU"/>
              </w:rPr>
              <w:t>%</w:t>
            </w:r>
          </w:p>
        </w:tc>
        <w:tc>
          <w:tcPr>
            <w:tcW w:w="96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A5CF2B9"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1,275</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87853"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-109</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D8CEF2F"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w:t>
            </w:r>
            <w:r w:rsidRPr="00CA6221">
              <w:rPr>
                <w:rFonts w:eastAsia="Times New Roman" w:cs="Arial"/>
                <w:color w:val="000000"/>
                <w:sz w:val="14"/>
                <w:lang w:eastAsia="en-AU"/>
              </w:rPr>
              <w:t>%</w:t>
            </w:r>
          </w:p>
        </w:tc>
        <w:tc>
          <w:tcPr>
            <w:tcW w:w="965" w:type="dxa"/>
            <w:tcBorders>
              <w:top w:val="nil"/>
              <w:left w:val="nil"/>
              <w:bottom w:val="single" w:sz="4" w:space="0" w:color="auto"/>
              <w:right w:val="single" w:sz="8" w:space="0" w:color="auto"/>
            </w:tcBorders>
            <w:shd w:val="clear" w:color="auto" w:fill="auto"/>
            <w:noWrap/>
            <w:vAlign w:val="center"/>
            <w:hideMark/>
          </w:tcPr>
          <w:p w14:paraId="72C08842"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8,033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82FEE"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-385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993A34B"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963" w:type="dxa"/>
            <w:tcBorders>
              <w:top w:val="nil"/>
              <w:left w:val="nil"/>
              <w:bottom w:val="single" w:sz="4" w:space="0" w:color="auto"/>
              <w:right w:val="single" w:sz="8" w:space="0" w:color="auto"/>
            </w:tcBorders>
            <w:shd w:val="clear" w:color="auto" w:fill="auto"/>
            <w:noWrap/>
            <w:vAlign w:val="center"/>
            <w:hideMark/>
          </w:tcPr>
          <w:p w14:paraId="7FEC21F3"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19,412</w:t>
            </w:r>
          </w:p>
        </w:tc>
      </w:tr>
      <w:tr w:rsidR="001339B5" w:rsidRPr="00CA6221" w14:paraId="448D9AC3" w14:textId="77777777" w:rsidTr="001339B5">
        <w:trPr>
          <w:cantSplit/>
          <w:trHeight w:val="256"/>
        </w:trPr>
        <w:tc>
          <w:tcPr>
            <w:tcW w:w="1538"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346C789F" w14:textId="77777777" w:rsidR="001339B5" w:rsidRPr="00CA6221" w:rsidRDefault="001339B5" w:rsidP="001339B5">
            <w:pPr>
              <w:spacing w:after="0" w:line="240" w:lineRule="auto"/>
              <w:ind w:left="15" w:hangingChars="11" w:hanging="15"/>
              <w:jc w:val="center"/>
              <w:rPr>
                <w:rFonts w:eastAsia="Times New Roman" w:cs="Arial"/>
                <w:color w:val="000000"/>
                <w:sz w:val="14"/>
                <w:lang w:eastAsia="en-AU"/>
              </w:rPr>
            </w:pPr>
            <w:r>
              <w:rPr>
                <w:rFonts w:eastAsia="Times New Roman" w:cs="Arial"/>
                <w:color w:val="000000"/>
                <w:sz w:val="14"/>
                <w:lang w:eastAsia="en-AU"/>
              </w:rPr>
              <w:t>Nyah</w:t>
            </w:r>
          </w:p>
        </w:tc>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405C4A79"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-42</w:t>
            </w:r>
          </w:p>
        </w:tc>
        <w:tc>
          <w:tcPr>
            <w:tcW w:w="961" w:type="dxa"/>
            <w:tcBorders>
              <w:top w:val="nil"/>
              <w:left w:val="nil"/>
              <w:bottom w:val="single" w:sz="4" w:space="0" w:color="auto"/>
              <w:right w:val="single" w:sz="4" w:space="0" w:color="auto"/>
            </w:tcBorders>
            <w:shd w:val="clear" w:color="auto" w:fill="auto"/>
            <w:noWrap/>
            <w:vAlign w:val="center"/>
            <w:hideMark/>
          </w:tcPr>
          <w:p w14:paraId="2FA1CE36"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-3</w:t>
            </w:r>
            <w:r w:rsidRPr="00CA6221">
              <w:rPr>
                <w:rFonts w:eastAsia="Times New Roman" w:cs="Arial"/>
                <w:color w:val="000000"/>
                <w:sz w:val="14"/>
                <w:lang w:eastAsia="en-AU"/>
              </w:rPr>
              <w:t>%</w:t>
            </w:r>
          </w:p>
        </w:tc>
        <w:tc>
          <w:tcPr>
            <w:tcW w:w="964" w:type="dxa"/>
            <w:tcBorders>
              <w:top w:val="nil"/>
              <w:left w:val="single" w:sz="4" w:space="0" w:color="auto"/>
              <w:bottom w:val="single" w:sz="4" w:space="0" w:color="auto"/>
              <w:right w:val="single" w:sz="8" w:space="0" w:color="auto"/>
            </w:tcBorders>
            <w:shd w:val="clear" w:color="auto" w:fill="auto"/>
            <w:noWrap/>
            <w:vAlign w:val="center"/>
            <w:hideMark/>
          </w:tcPr>
          <w:p w14:paraId="6D70C7AE"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1,209</w:t>
            </w:r>
          </w:p>
        </w:tc>
        <w:tc>
          <w:tcPr>
            <w:tcW w:w="961" w:type="dxa"/>
            <w:tcBorders>
              <w:top w:val="nil"/>
              <w:left w:val="single" w:sz="4" w:space="0" w:color="auto"/>
              <w:bottom w:val="single" w:sz="4" w:space="0" w:color="auto"/>
              <w:right w:val="single" w:sz="4" w:space="0" w:color="auto"/>
            </w:tcBorders>
            <w:shd w:val="clear" w:color="000000" w:fill="FFFFFF"/>
            <w:noWrap/>
            <w:vAlign w:val="center"/>
            <w:hideMark/>
          </w:tcPr>
          <w:p w14:paraId="1AA944CA"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-191</w:t>
            </w:r>
          </w:p>
        </w:tc>
        <w:tc>
          <w:tcPr>
            <w:tcW w:w="959" w:type="dxa"/>
            <w:tcBorders>
              <w:top w:val="nil"/>
              <w:left w:val="nil"/>
              <w:bottom w:val="single" w:sz="4" w:space="0" w:color="auto"/>
              <w:right w:val="single" w:sz="4" w:space="0" w:color="auto"/>
            </w:tcBorders>
            <w:shd w:val="clear" w:color="auto" w:fill="auto"/>
            <w:noWrap/>
            <w:vAlign w:val="center"/>
            <w:hideMark/>
          </w:tcPr>
          <w:p w14:paraId="6AC0C67B"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965" w:type="dxa"/>
            <w:tcBorders>
              <w:top w:val="nil"/>
              <w:left w:val="nil"/>
              <w:bottom w:val="single" w:sz="4" w:space="0" w:color="auto"/>
              <w:right w:val="single" w:sz="8" w:space="0" w:color="auto"/>
            </w:tcBorders>
            <w:shd w:val="clear" w:color="auto" w:fill="auto"/>
            <w:noWrap/>
            <w:vAlign w:val="center"/>
            <w:hideMark/>
          </w:tcPr>
          <w:p w14:paraId="008B595E"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10,000</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CF02836"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-401</w:t>
            </w:r>
          </w:p>
        </w:tc>
        <w:tc>
          <w:tcPr>
            <w:tcW w:w="960" w:type="dxa"/>
            <w:tcBorders>
              <w:top w:val="nil"/>
              <w:left w:val="nil"/>
              <w:bottom w:val="single" w:sz="4" w:space="0" w:color="auto"/>
              <w:right w:val="single" w:sz="4" w:space="0" w:color="auto"/>
            </w:tcBorders>
            <w:shd w:val="clear" w:color="auto" w:fill="auto"/>
            <w:noWrap/>
            <w:vAlign w:val="center"/>
            <w:hideMark/>
          </w:tcPr>
          <w:p w14:paraId="2443A13F"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963" w:type="dxa"/>
            <w:tcBorders>
              <w:top w:val="nil"/>
              <w:left w:val="nil"/>
              <w:bottom w:val="single" w:sz="4" w:space="0" w:color="auto"/>
              <w:right w:val="single" w:sz="8" w:space="0" w:color="auto"/>
            </w:tcBorders>
            <w:shd w:val="clear" w:color="auto" w:fill="auto"/>
            <w:noWrap/>
            <w:vAlign w:val="center"/>
            <w:hideMark/>
          </w:tcPr>
          <w:p w14:paraId="518DB60B"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19,711</w:t>
            </w:r>
          </w:p>
        </w:tc>
      </w:tr>
      <w:tr w:rsidR="001339B5" w:rsidRPr="00CA6221" w14:paraId="7F314BEF" w14:textId="77777777" w:rsidTr="001339B5">
        <w:trPr>
          <w:cantSplit/>
          <w:trHeight w:val="275"/>
        </w:trPr>
        <w:tc>
          <w:tcPr>
            <w:tcW w:w="1538" w:type="dxa"/>
            <w:tcBorders>
              <w:top w:val="nil"/>
              <w:left w:val="single" w:sz="8" w:space="0" w:color="auto"/>
              <w:bottom w:val="single" w:sz="4" w:space="0" w:color="auto"/>
              <w:right w:val="single" w:sz="8" w:space="0" w:color="auto"/>
            </w:tcBorders>
            <w:shd w:val="clear" w:color="000000" w:fill="FFFFFF"/>
            <w:noWrap/>
            <w:vAlign w:val="center"/>
            <w:hideMark/>
          </w:tcPr>
          <w:p w14:paraId="077711B8" w14:textId="77777777" w:rsidR="001339B5" w:rsidRPr="00CA6221" w:rsidRDefault="001339B5" w:rsidP="001339B5">
            <w:pPr>
              <w:spacing w:after="0" w:line="240" w:lineRule="auto"/>
              <w:ind w:left="15" w:hangingChars="11" w:hanging="15"/>
              <w:jc w:val="center"/>
              <w:rPr>
                <w:rFonts w:eastAsia="Times New Roman" w:cs="Arial"/>
                <w:color w:val="000000"/>
                <w:sz w:val="14"/>
                <w:lang w:eastAsia="en-AU"/>
              </w:rPr>
            </w:pPr>
            <w:r>
              <w:rPr>
                <w:rFonts w:eastAsia="Times New Roman" w:cs="Arial"/>
                <w:color w:val="000000"/>
                <w:sz w:val="14"/>
                <w:lang w:eastAsia="en-AU"/>
              </w:rPr>
              <w:t>Tresco</w:t>
            </w:r>
          </w:p>
        </w:tc>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DEF8260"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-53</w:t>
            </w:r>
          </w:p>
        </w:tc>
        <w:tc>
          <w:tcPr>
            <w:tcW w:w="961" w:type="dxa"/>
            <w:tcBorders>
              <w:top w:val="nil"/>
              <w:left w:val="nil"/>
              <w:bottom w:val="single" w:sz="4" w:space="0" w:color="auto"/>
              <w:right w:val="single" w:sz="4" w:space="0" w:color="auto"/>
            </w:tcBorders>
            <w:shd w:val="clear" w:color="auto" w:fill="auto"/>
            <w:noWrap/>
            <w:vAlign w:val="center"/>
            <w:hideMark/>
          </w:tcPr>
          <w:p w14:paraId="6869A877"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w:t>
            </w:r>
            <w:r w:rsidRPr="00CA6221">
              <w:rPr>
                <w:rFonts w:eastAsia="Times New Roman" w:cs="Arial"/>
                <w:color w:val="000000"/>
                <w:sz w:val="14"/>
                <w:lang w:eastAsia="en-AU"/>
              </w:rPr>
              <w:t>%</w:t>
            </w:r>
          </w:p>
        </w:tc>
        <w:tc>
          <w:tcPr>
            <w:tcW w:w="964" w:type="dxa"/>
            <w:tcBorders>
              <w:top w:val="nil"/>
              <w:left w:val="single" w:sz="4" w:space="0" w:color="auto"/>
              <w:bottom w:val="single" w:sz="4" w:space="0" w:color="auto"/>
              <w:right w:val="single" w:sz="8" w:space="0" w:color="auto"/>
            </w:tcBorders>
            <w:shd w:val="clear" w:color="auto" w:fill="auto"/>
            <w:noWrap/>
            <w:vAlign w:val="center"/>
            <w:hideMark/>
          </w:tcPr>
          <w:p w14:paraId="3870C65B"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1,345</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664D4"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-219</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F5B4"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965" w:type="dxa"/>
            <w:tcBorders>
              <w:top w:val="single" w:sz="4" w:space="0" w:color="auto"/>
              <w:left w:val="nil"/>
              <w:bottom w:val="single" w:sz="4" w:space="0" w:color="auto"/>
              <w:right w:val="single" w:sz="8" w:space="0" w:color="auto"/>
            </w:tcBorders>
            <w:shd w:val="clear" w:color="auto" w:fill="auto"/>
            <w:noWrap/>
            <w:vAlign w:val="center"/>
            <w:hideMark/>
          </w:tcPr>
          <w:p w14:paraId="5C0CC851"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9,580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DA1AA"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-456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DFF996"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-2</w:t>
            </w:r>
            <w:r w:rsidRPr="00CA6221">
              <w:rPr>
                <w:rFonts w:eastAsia="Times New Roman" w:cs="Arial"/>
                <w:color w:val="000000"/>
                <w:sz w:val="14"/>
                <w:lang w:eastAsia="en-AU"/>
              </w:rPr>
              <w:t>%</w:t>
            </w:r>
          </w:p>
        </w:tc>
        <w:tc>
          <w:tcPr>
            <w:tcW w:w="963" w:type="dxa"/>
            <w:tcBorders>
              <w:top w:val="nil"/>
              <w:left w:val="nil"/>
              <w:bottom w:val="single" w:sz="4" w:space="0" w:color="auto"/>
              <w:right w:val="single" w:sz="8" w:space="0" w:color="auto"/>
            </w:tcBorders>
            <w:shd w:val="clear" w:color="auto" w:fill="auto"/>
            <w:noWrap/>
            <w:vAlign w:val="center"/>
            <w:hideMark/>
          </w:tcPr>
          <w:p w14:paraId="4C76A8A9" w14:textId="77777777" w:rsidR="001339B5" w:rsidRPr="00CA6221" w:rsidRDefault="001339B5" w:rsidP="00E86B79">
            <w:pPr>
              <w:spacing w:after="0" w:line="240" w:lineRule="auto"/>
              <w:jc w:val="right"/>
              <w:rPr>
                <w:rFonts w:eastAsia="Times New Roman" w:cs="Arial"/>
                <w:color w:val="000000"/>
                <w:sz w:val="14"/>
                <w:lang w:eastAsia="en-AU"/>
              </w:rPr>
            </w:pPr>
            <w:r>
              <w:rPr>
                <w:rFonts w:eastAsia="Times New Roman" w:cs="Arial"/>
                <w:color w:val="000000"/>
                <w:sz w:val="14"/>
                <w:lang w:eastAsia="en-AU"/>
              </w:rPr>
              <w:t>18,870</w:t>
            </w:r>
          </w:p>
        </w:tc>
      </w:tr>
    </w:tbl>
    <w:p w14:paraId="213B0949" w14:textId="77777777" w:rsidR="001339B5" w:rsidRPr="0012629F" w:rsidRDefault="001339B5" w:rsidP="00306D8F">
      <w:pPr>
        <w:rPr>
          <w:rFonts w:cs="Arial"/>
        </w:rPr>
      </w:pPr>
    </w:p>
    <w:p w14:paraId="70DFF9ED" w14:textId="77777777" w:rsidR="00810EDB" w:rsidRPr="00612011" w:rsidRDefault="00810EDB" w:rsidP="00306D8F">
      <w:pPr>
        <w:keepNext/>
        <w:rPr>
          <w:rFonts w:cs="Arial"/>
          <w:b/>
          <w:szCs w:val="18"/>
          <w:highlight w:val="yellow"/>
        </w:rPr>
      </w:pPr>
    </w:p>
    <w:p w14:paraId="5B83F314" w14:textId="77777777" w:rsidR="00306D8F" w:rsidRPr="0012629F" w:rsidRDefault="00C83903" w:rsidP="00306D8F">
      <w:pPr>
        <w:rPr>
          <w:rFonts w:cs="Arial"/>
        </w:rPr>
      </w:pPr>
      <w:r w:rsidRPr="0012629F">
        <w:rPr>
          <w:rFonts w:cs="Arial"/>
          <w:u w:val="single"/>
        </w:rPr>
        <w:t>W</w:t>
      </w:r>
      <w:r w:rsidR="00306D8F" w:rsidRPr="0012629F">
        <w:rPr>
          <w:rFonts w:cs="Arial"/>
          <w:u w:val="single"/>
        </w:rPr>
        <w:t xml:space="preserve">ater </w:t>
      </w:r>
      <w:r w:rsidR="005A6364">
        <w:rPr>
          <w:rFonts w:cs="Arial"/>
          <w:u w:val="single"/>
        </w:rPr>
        <w:t xml:space="preserve">Supply </w:t>
      </w:r>
      <w:r w:rsidR="00306D8F" w:rsidRPr="0012629F">
        <w:rPr>
          <w:rFonts w:cs="Arial"/>
          <w:u w:val="single"/>
        </w:rPr>
        <w:t>Districts</w:t>
      </w:r>
    </w:p>
    <w:p w14:paraId="70113B60" w14:textId="77777777" w:rsidR="00393A00" w:rsidRPr="00753343" w:rsidRDefault="00306D8F" w:rsidP="00306D8F">
      <w:pPr>
        <w:rPr>
          <w:rFonts w:cs="Arial"/>
          <w:highlight w:val="green"/>
        </w:rPr>
      </w:pPr>
      <w:r w:rsidRPr="0012629F">
        <w:rPr>
          <w:rFonts w:cs="Arial"/>
        </w:rPr>
        <w:t xml:space="preserve">GMW’s </w:t>
      </w:r>
      <w:r w:rsidRPr="00A00214">
        <w:rPr>
          <w:rFonts w:cs="Arial"/>
        </w:rPr>
        <w:t xml:space="preserve">proposed prices result in real decreases for most customers, mainly due to changes </w:t>
      </w:r>
      <w:r w:rsidRPr="003416D8">
        <w:rPr>
          <w:rFonts w:cs="Arial"/>
        </w:rPr>
        <w:t xml:space="preserve">in the Infrastructure Access Fee (IAF) that forms the majority of a typical customer’s bill. </w:t>
      </w:r>
    </w:p>
    <w:p w14:paraId="601FCE67" w14:textId="77777777" w:rsidR="003416D8" w:rsidRPr="003416D8" w:rsidRDefault="003416D8" w:rsidP="003416D8">
      <w:pPr>
        <w:spacing w:line="240" w:lineRule="auto"/>
        <w:rPr>
          <w:rFonts w:eastAsia="Times New Roman" w:cs="Arial"/>
          <w:szCs w:val="24"/>
        </w:rPr>
      </w:pPr>
      <w:r w:rsidRPr="003416D8">
        <w:rPr>
          <w:rFonts w:eastAsia="Times New Roman" w:cs="Arial"/>
          <w:szCs w:val="24"/>
        </w:rPr>
        <w:t xml:space="preserve">Infrastructure Access Fees in the Pumped </w:t>
      </w:r>
      <w:r>
        <w:rPr>
          <w:rFonts w:eastAsia="Times New Roman" w:cs="Arial"/>
          <w:szCs w:val="24"/>
        </w:rPr>
        <w:t>I</w:t>
      </w:r>
      <w:r w:rsidRPr="003416D8">
        <w:rPr>
          <w:rFonts w:eastAsia="Times New Roman" w:cs="Arial"/>
          <w:szCs w:val="24"/>
        </w:rPr>
        <w:t xml:space="preserve">rrigation services and Water </w:t>
      </w:r>
      <w:r>
        <w:rPr>
          <w:rFonts w:eastAsia="Times New Roman" w:cs="Arial"/>
          <w:szCs w:val="24"/>
        </w:rPr>
        <w:t xml:space="preserve">Supply </w:t>
      </w:r>
      <w:r w:rsidRPr="003416D8">
        <w:rPr>
          <w:rFonts w:eastAsia="Times New Roman" w:cs="Arial"/>
          <w:szCs w:val="24"/>
        </w:rPr>
        <w:t>Districts are being held at their 2022/23 price in 2023/24 and not decreasing as planned in the 2020 Pricing Submission, this is due to higher costs than originally forecasted. This is however within the rebalancing constraints set by the ESC Determination.</w:t>
      </w:r>
    </w:p>
    <w:p w14:paraId="3F3E416D" w14:textId="77777777" w:rsidR="00A966D2" w:rsidRPr="00A00214" w:rsidRDefault="003416D8" w:rsidP="003416D8">
      <w:pPr>
        <w:spacing w:line="240" w:lineRule="auto"/>
        <w:rPr>
          <w:rFonts w:eastAsia="Times New Roman" w:cs="Arial"/>
          <w:szCs w:val="24"/>
        </w:rPr>
      </w:pPr>
      <w:r w:rsidRPr="003416D8">
        <w:rPr>
          <w:rFonts w:eastAsia="Times New Roman" w:cs="Arial"/>
          <w:szCs w:val="24"/>
        </w:rPr>
        <w:t xml:space="preserve">The Infrastructure Access Fees are increasing in West Loddon and East Loddon </w:t>
      </w:r>
      <w:r w:rsidRPr="00483A2C">
        <w:rPr>
          <w:rFonts w:eastAsia="Times New Roman" w:cs="Arial"/>
          <w:szCs w:val="24"/>
        </w:rPr>
        <w:t xml:space="preserve">North by </w:t>
      </w:r>
      <w:r w:rsidR="00E86B79" w:rsidRPr="00483A2C">
        <w:rPr>
          <w:rFonts w:eastAsia="Times New Roman" w:cs="Arial"/>
          <w:szCs w:val="24"/>
        </w:rPr>
        <w:t>5.6</w:t>
      </w:r>
      <w:r>
        <w:rPr>
          <w:rFonts w:eastAsia="Times New Roman" w:cs="Arial"/>
          <w:szCs w:val="24"/>
        </w:rPr>
        <w:t xml:space="preserve"> per cent</w:t>
      </w:r>
      <w:r w:rsidR="0041752C">
        <w:rPr>
          <w:rFonts w:eastAsia="Times New Roman" w:cs="Arial"/>
          <w:szCs w:val="24"/>
        </w:rPr>
        <w:t xml:space="preserve"> and in </w:t>
      </w:r>
      <w:r w:rsidR="0041752C" w:rsidRPr="00483A2C">
        <w:rPr>
          <w:rFonts w:eastAsia="Times New Roman" w:cs="Arial"/>
          <w:szCs w:val="24"/>
        </w:rPr>
        <w:t>Mitiamo by 8.2 per cent</w:t>
      </w:r>
      <w:r>
        <w:rPr>
          <w:rFonts w:eastAsia="Times New Roman" w:cs="Arial"/>
          <w:szCs w:val="24"/>
        </w:rPr>
        <w:t xml:space="preserve"> for 2023/24.</w:t>
      </w:r>
      <w:r w:rsidR="00A966D2" w:rsidRPr="00A00214">
        <w:rPr>
          <w:rFonts w:cs="Arial"/>
        </w:rPr>
        <w:t xml:space="preserve"> </w:t>
      </w:r>
    </w:p>
    <w:p w14:paraId="5260BDAD" w14:textId="77777777" w:rsidR="00A966D2" w:rsidRPr="00A966D2" w:rsidRDefault="00A966D2" w:rsidP="00A966D2">
      <w:pPr>
        <w:spacing w:line="240" w:lineRule="auto"/>
        <w:rPr>
          <w:rFonts w:eastAsia="Times New Roman" w:cs="Arial"/>
          <w:szCs w:val="24"/>
        </w:rPr>
      </w:pPr>
      <w:r w:rsidRPr="00A00214">
        <w:rPr>
          <w:rFonts w:eastAsia="Times New Roman" w:cs="Arial"/>
          <w:szCs w:val="24"/>
        </w:rPr>
        <w:t>In the 2020 Pricing Submission there was inadequate resources allocated to adequately service and maintain the Water Districts. By allocating the extra resources, GMW will prevent major issues that are more expensive and time consuming to fix in the long term, ensuring prices remain stable into the next Pricing Submission. This in turn allows for preventive works such as flushing lines and scouring valves to ensure Pipelines are running smoothly.</w:t>
      </w:r>
      <w:r w:rsidRPr="00A966D2">
        <w:rPr>
          <w:rFonts w:eastAsia="Times New Roman" w:cs="Arial"/>
          <w:szCs w:val="24"/>
        </w:rPr>
        <w:t xml:space="preserve"> </w:t>
      </w:r>
    </w:p>
    <w:p w14:paraId="64596FD6" w14:textId="77777777" w:rsidR="00810EDB" w:rsidRDefault="00810EDB" w:rsidP="00810EDB">
      <w:pPr>
        <w:keepNext/>
        <w:rPr>
          <w:rFonts w:cs="Arial"/>
          <w:b/>
          <w:szCs w:val="18"/>
        </w:rPr>
      </w:pPr>
      <w:r w:rsidRPr="0012629F">
        <w:rPr>
          <w:rFonts w:eastAsia="Times New Roman" w:cs="Arial"/>
          <w:b/>
          <w:szCs w:val="18"/>
        </w:rPr>
        <w:t>Bill increases in real $s</w:t>
      </w:r>
      <w:r w:rsidRPr="0012629F">
        <w:rPr>
          <w:rFonts w:cs="Arial"/>
          <w:b/>
          <w:szCs w:val="18"/>
        </w:rPr>
        <w:t xml:space="preserve">, Water </w:t>
      </w:r>
      <w:r w:rsidR="005A6364">
        <w:rPr>
          <w:rFonts w:cs="Arial"/>
          <w:b/>
          <w:szCs w:val="18"/>
        </w:rPr>
        <w:t xml:space="preserve">Supply </w:t>
      </w:r>
      <w:r w:rsidRPr="0012629F">
        <w:rPr>
          <w:rFonts w:cs="Arial"/>
          <w:b/>
          <w:szCs w:val="18"/>
        </w:rPr>
        <w:t xml:space="preserve">District </w:t>
      </w:r>
      <w:proofErr w:type="gramStart"/>
      <w:r w:rsidRPr="0012629F">
        <w:rPr>
          <w:rFonts w:cs="Arial"/>
          <w:b/>
          <w:szCs w:val="18"/>
        </w:rPr>
        <w:t>customers</w:t>
      </w:r>
      <w:proofErr w:type="gramEnd"/>
    </w:p>
    <w:tbl>
      <w:tblPr>
        <w:tblpPr w:leftFromText="180" w:rightFromText="180" w:vertAnchor="text" w:horzAnchor="margin" w:tblpY="196"/>
        <w:tblW w:w="5912" w:type="dxa"/>
        <w:tblLayout w:type="fixed"/>
        <w:tblCellMar>
          <w:left w:w="28" w:type="dxa"/>
          <w:right w:w="28" w:type="dxa"/>
        </w:tblCellMar>
        <w:tblLook w:val="04A0" w:firstRow="1" w:lastRow="0" w:firstColumn="1" w:lastColumn="0" w:noHBand="0" w:noVBand="1"/>
      </w:tblPr>
      <w:tblGrid>
        <w:gridCol w:w="2134"/>
        <w:gridCol w:w="1107"/>
        <w:gridCol w:w="1333"/>
        <w:gridCol w:w="1338"/>
      </w:tblGrid>
      <w:tr w:rsidR="001339B5" w:rsidRPr="00284D9A" w14:paraId="7FD68A71" w14:textId="77777777" w:rsidTr="001339B5">
        <w:trPr>
          <w:cantSplit/>
          <w:trHeight w:val="232"/>
        </w:trPr>
        <w:tc>
          <w:tcPr>
            <w:tcW w:w="2134"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624445A" w14:textId="77777777" w:rsidR="001339B5" w:rsidRPr="001339B5" w:rsidRDefault="001339B5" w:rsidP="001339B5">
            <w:pPr>
              <w:spacing w:after="0" w:line="240" w:lineRule="auto"/>
              <w:ind w:left="24" w:hangingChars="11" w:hanging="24"/>
              <w:jc w:val="center"/>
              <w:rPr>
                <w:rFonts w:eastAsia="Times New Roman" w:cs="Arial"/>
                <w:b/>
                <w:bCs/>
                <w:color w:val="000000"/>
                <w:sz w:val="22"/>
                <w:szCs w:val="12"/>
                <w:lang w:eastAsia="en-AU"/>
              </w:rPr>
            </w:pPr>
            <w:r w:rsidRPr="001339B5">
              <w:rPr>
                <w:rFonts w:eastAsia="Times New Roman" w:cs="Arial"/>
                <w:b/>
                <w:bCs/>
                <w:color w:val="000000"/>
                <w:sz w:val="22"/>
                <w:szCs w:val="12"/>
                <w:lang w:eastAsia="en-AU"/>
              </w:rPr>
              <w:t>Pumped Irrigation</w:t>
            </w:r>
          </w:p>
        </w:tc>
        <w:tc>
          <w:tcPr>
            <w:tcW w:w="377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85F01D8" w14:textId="77777777" w:rsidR="001339B5" w:rsidRPr="001339B5" w:rsidRDefault="001339B5" w:rsidP="001339B5">
            <w:pPr>
              <w:spacing w:after="0" w:line="240" w:lineRule="auto"/>
              <w:jc w:val="center"/>
              <w:rPr>
                <w:rFonts w:eastAsia="Times New Roman" w:cs="Arial"/>
                <w:b/>
                <w:bCs/>
                <w:color w:val="000000"/>
                <w:sz w:val="22"/>
                <w:szCs w:val="12"/>
                <w:lang w:eastAsia="en-AU"/>
              </w:rPr>
            </w:pPr>
            <w:r w:rsidRPr="001339B5">
              <w:rPr>
                <w:rFonts w:eastAsia="Times New Roman" w:cs="Arial"/>
                <w:b/>
                <w:bCs/>
                <w:color w:val="000000"/>
                <w:sz w:val="22"/>
                <w:szCs w:val="12"/>
                <w:lang w:eastAsia="en-AU"/>
              </w:rPr>
              <w:t>Small</w:t>
            </w:r>
          </w:p>
        </w:tc>
      </w:tr>
      <w:tr w:rsidR="001339B5" w:rsidRPr="00F7797D" w14:paraId="58BC9DE9" w14:textId="77777777" w:rsidTr="001339B5">
        <w:trPr>
          <w:cantSplit/>
          <w:trHeight w:val="244"/>
        </w:trPr>
        <w:tc>
          <w:tcPr>
            <w:tcW w:w="2134" w:type="dxa"/>
            <w:tcBorders>
              <w:top w:val="nil"/>
              <w:left w:val="single" w:sz="8" w:space="0" w:color="auto"/>
              <w:bottom w:val="single" w:sz="4" w:space="0" w:color="auto"/>
              <w:right w:val="single" w:sz="8" w:space="0" w:color="auto"/>
            </w:tcBorders>
            <w:shd w:val="clear" w:color="000000" w:fill="FFFFFF"/>
            <w:noWrap/>
            <w:vAlign w:val="center"/>
            <w:hideMark/>
          </w:tcPr>
          <w:p w14:paraId="6489FC1F" w14:textId="77777777" w:rsidR="001339B5" w:rsidRPr="001339B5" w:rsidRDefault="001339B5" w:rsidP="001339B5">
            <w:pPr>
              <w:spacing w:before="240" w:after="0" w:line="240" w:lineRule="auto"/>
              <w:ind w:left="24" w:hangingChars="11" w:hanging="24"/>
              <w:jc w:val="center"/>
              <w:rPr>
                <w:rFonts w:eastAsia="Times New Roman" w:cs="Arial"/>
                <w:b/>
                <w:color w:val="000000"/>
                <w:sz w:val="22"/>
                <w:szCs w:val="12"/>
                <w:lang w:eastAsia="en-AU"/>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A20D5" w14:textId="77777777" w:rsidR="001339B5" w:rsidRPr="001339B5" w:rsidRDefault="001339B5" w:rsidP="001339B5">
            <w:pPr>
              <w:spacing w:after="0" w:line="240" w:lineRule="auto"/>
              <w:jc w:val="center"/>
              <w:rPr>
                <w:rFonts w:eastAsia="Times New Roman" w:cs="Arial"/>
                <w:b/>
                <w:bCs/>
                <w:color w:val="000000"/>
                <w:sz w:val="22"/>
                <w:szCs w:val="12"/>
                <w:lang w:eastAsia="en-AU"/>
              </w:rPr>
            </w:pPr>
            <w:r w:rsidRPr="001339B5">
              <w:rPr>
                <w:rFonts w:eastAsia="Times New Roman" w:cs="Arial"/>
                <w:b/>
                <w:bCs/>
                <w:color w:val="000000"/>
                <w:sz w:val="22"/>
                <w:szCs w:val="12"/>
                <w:lang w:eastAsia="en-AU"/>
              </w:rPr>
              <w:t>$ Change</w:t>
            </w:r>
          </w:p>
        </w:tc>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A509C" w14:textId="77777777" w:rsidR="001339B5" w:rsidRPr="001339B5" w:rsidRDefault="001339B5" w:rsidP="001339B5">
            <w:pPr>
              <w:spacing w:after="0" w:line="240" w:lineRule="auto"/>
              <w:jc w:val="center"/>
              <w:rPr>
                <w:rFonts w:eastAsia="Times New Roman" w:cs="Arial"/>
                <w:b/>
                <w:bCs/>
                <w:color w:val="000000"/>
                <w:sz w:val="22"/>
                <w:szCs w:val="12"/>
                <w:lang w:eastAsia="en-AU"/>
              </w:rPr>
            </w:pPr>
            <w:r w:rsidRPr="001339B5">
              <w:rPr>
                <w:rFonts w:eastAsia="Times New Roman" w:cs="Arial"/>
                <w:b/>
                <w:bCs/>
                <w:color w:val="000000"/>
                <w:sz w:val="22"/>
                <w:szCs w:val="12"/>
                <w:lang w:eastAsia="en-AU"/>
              </w:rPr>
              <w:t>% Change</w:t>
            </w:r>
          </w:p>
        </w:tc>
        <w:tc>
          <w:tcPr>
            <w:tcW w:w="1338" w:type="dxa"/>
            <w:tcBorders>
              <w:top w:val="single" w:sz="4" w:space="0" w:color="auto"/>
              <w:left w:val="nil"/>
              <w:bottom w:val="single" w:sz="4" w:space="0" w:color="auto"/>
              <w:right w:val="single" w:sz="8" w:space="0" w:color="auto"/>
            </w:tcBorders>
            <w:shd w:val="clear" w:color="000000" w:fill="FFFFFF"/>
            <w:noWrap/>
            <w:vAlign w:val="center"/>
            <w:hideMark/>
          </w:tcPr>
          <w:p w14:paraId="3B236A95" w14:textId="77777777" w:rsidR="001339B5" w:rsidRPr="001339B5" w:rsidRDefault="001339B5" w:rsidP="001339B5">
            <w:pPr>
              <w:spacing w:after="0" w:line="240" w:lineRule="auto"/>
              <w:jc w:val="center"/>
              <w:rPr>
                <w:rFonts w:eastAsia="Times New Roman" w:cs="Arial"/>
                <w:b/>
                <w:bCs/>
                <w:color w:val="000000"/>
                <w:sz w:val="22"/>
                <w:szCs w:val="12"/>
                <w:lang w:eastAsia="en-AU"/>
              </w:rPr>
            </w:pPr>
            <w:r w:rsidRPr="001339B5">
              <w:rPr>
                <w:rFonts w:eastAsia="Times New Roman" w:cs="Arial"/>
                <w:b/>
                <w:bCs/>
                <w:color w:val="000000"/>
                <w:sz w:val="22"/>
                <w:szCs w:val="12"/>
                <w:lang w:eastAsia="en-AU"/>
              </w:rPr>
              <w:t>Total Bill $</w:t>
            </w:r>
          </w:p>
        </w:tc>
      </w:tr>
      <w:tr w:rsidR="001339B5" w:rsidRPr="00CA6221" w14:paraId="7F900125" w14:textId="77777777" w:rsidTr="001339B5">
        <w:trPr>
          <w:cantSplit/>
          <w:trHeight w:val="211"/>
        </w:trPr>
        <w:tc>
          <w:tcPr>
            <w:tcW w:w="2134" w:type="dxa"/>
            <w:tcBorders>
              <w:top w:val="nil"/>
              <w:left w:val="single" w:sz="8" w:space="0" w:color="auto"/>
              <w:bottom w:val="nil"/>
              <w:right w:val="single" w:sz="8" w:space="0" w:color="auto"/>
            </w:tcBorders>
            <w:shd w:val="clear" w:color="000000" w:fill="FFFFFF"/>
            <w:noWrap/>
            <w:vAlign w:val="center"/>
            <w:hideMark/>
          </w:tcPr>
          <w:p w14:paraId="5702CDEF" w14:textId="77777777" w:rsidR="001339B5" w:rsidRPr="001339B5" w:rsidRDefault="001339B5" w:rsidP="001339B5">
            <w:pPr>
              <w:spacing w:after="0" w:line="240" w:lineRule="auto"/>
              <w:ind w:left="24" w:hangingChars="11" w:hanging="24"/>
              <w:jc w:val="center"/>
              <w:rPr>
                <w:rFonts w:eastAsia="Times New Roman" w:cs="Arial"/>
                <w:color w:val="000000"/>
                <w:sz w:val="22"/>
                <w:lang w:eastAsia="en-AU"/>
              </w:rPr>
            </w:pPr>
            <w:r w:rsidRPr="001339B5">
              <w:rPr>
                <w:rFonts w:eastAsia="Times New Roman" w:cs="Arial"/>
                <w:color w:val="000000"/>
                <w:sz w:val="22"/>
                <w:lang w:eastAsia="en-AU"/>
              </w:rPr>
              <w:t>Normanville</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31EF2" w14:textId="77777777" w:rsidR="001339B5" w:rsidRPr="001339B5" w:rsidRDefault="001339B5" w:rsidP="002D4B4B">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w:t>
            </w:r>
            <w:r w:rsidR="002D4B4B">
              <w:rPr>
                <w:rFonts w:eastAsia="Times New Roman" w:cs="Arial"/>
                <w:color w:val="000000"/>
                <w:sz w:val="22"/>
                <w:lang w:eastAsia="en-AU"/>
              </w:rPr>
              <w:t>10</w:t>
            </w:r>
            <w:r w:rsidRPr="001339B5">
              <w:rPr>
                <w:rFonts w:eastAsia="Times New Roman" w:cs="Arial"/>
                <w:color w:val="000000"/>
                <w:sz w:val="22"/>
                <w:lang w:eastAsia="en-AU"/>
              </w:rPr>
              <w:t>1</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9E6EA95" w14:textId="77777777" w:rsidR="001339B5" w:rsidRPr="001339B5" w:rsidRDefault="001339B5" w:rsidP="00E86B79">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w:t>
            </w:r>
            <w:r w:rsidR="002D4B4B">
              <w:rPr>
                <w:rFonts w:eastAsia="Times New Roman" w:cs="Arial"/>
                <w:color w:val="000000"/>
                <w:sz w:val="22"/>
                <w:lang w:eastAsia="en-AU"/>
              </w:rPr>
              <w:t>4.3</w:t>
            </w:r>
            <w:r w:rsidRPr="001339B5">
              <w:rPr>
                <w:rFonts w:eastAsia="Times New Roman" w:cs="Arial"/>
                <w:color w:val="000000"/>
                <w:sz w:val="22"/>
                <w:lang w:eastAsia="en-AU"/>
              </w:rPr>
              <w:t>%</w:t>
            </w:r>
          </w:p>
        </w:tc>
        <w:tc>
          <w:tcPr>
            <w:tcW w:w="13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C2003C" w14:textId="77777777" w:rsidR="001339B5" w:rsidRPr="001339B5" w:rsidRDefault="001339B5" w:rsidP="002D4B4B">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2,2</w:t>
            </w:r>
            <w:r w:rsidR="002D4B4B">
              <w:rPr>
                <w:rFonts w:eastAsia="Times New Roman" w:cs="Arial"/>
                <w:color w:val="000000"/>
                <w:sz w:val="22"/>
                <w:lang w:eastAsia="en-AU"/>
              </w:rPr>
              <w:t>55</w:t>
            </w:r>
          </w:p>
        </w:tc>
      </w:tr>
      <w:tr w:rsidR="001339B5" w:rsidRPr="00CA6221" w14:paraId="42E63CA6" w14:textId="77777777" w:rsidTr="001339B5">
        <w:trPr>
          <w:cantSplit/>
          <w:trHeight w:val="226"/>
        </w:trPr>
        <w:tc>
          <w:tcPr>
            <w:tcW w:w="2134"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288D250" w14:textId="77777777" w:rsidR="001339B5" w:rsidRPr="001339B5" w:rsidRDefault="001339B5" w:rsidP="001339B5">
            <w:pPr>
              <w:spacing w:after="0" w:line="240" w:lineRule="auto"/>
              <w:ind w:left="24" w:hangingChars="11" w:hanging="24"/>
              <w:jc w:val="center"/>
              <w:rPr>
                <w:rFonts w:eastAsia="Times New Roman" w:cs="Arial"/>
                <w:color w:val="000000"/>
                <w:sz w:val="22"/>
                <w:lang w:eastAsia="en-AU"/>
              </w:rPr>
            </w:pPr>
            <w:r w:rsidRPr="001339B5">
              <w:rPr>
                <w:rFonts w:eastAsia="Times New Roman" w:cs="Arial"/>
                <w:color w:val="000000"/>
                <w:sz w:val="22"/>
                <w:lang w:eastAsia="en-AU"/>
              </w:rPr>
              <w:t>Tungamah</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14:paraId="65F93A3A" w14:textId="77777777" w:rsidR="001339B5" w:rsidRPr="001339B5" w:rsidRDefault="002D4B4B" w:rsidP="00E86B79">
            <w:pPr>
              <w:spacing w:after="0" w:line="240" w:lineRule="auto"/>
              <w:jc w:val="right"/>
              <w:rPr>
                <w:rFonts w:eastAsia="Times New Roman" w:cs="Arial"/>
                <w:color w:val="000000"/>
                <w:sz w:val="22"/>
                <w:lang w:eastAsia="en-AU"/>
              </w:rPr>
            </w:pPr>
            <w:r>
              <w:rPr>
                <w:rFonts w:eastAsia="Times New Roman" w:cs="Arial"/>
                <w:color w:val="000000"/>
                <w:sz w:val="22"/>
                <w:lang w:eastAsia="en-AU"/>
              </w:rPr>
              <w:t>-74</w:t>
            </w:r>
          </w:p>
        </w:tc>
        <w:tc>
          <w:tcPr>
            <w:tcW w:w="1333" w:type="dxa"/>
            <w:tcBorders>
              <w:top w:val="nil"/>
              <w:left w:val="nil"/>
              <w:bottom w:val="single" w:sz="4" w:space="0" w:color="auto"/>
              <w:right w:val="single" w:sz="4" w:space="0" w:color="auto"/>
            </w:tcBorders>
            <w:shd w:val="clear" w:color="auto" w:fill="auto"/>
            <w:noWrap/>
            <w:vAlign w:val="center"/>
            <w:hideMark/>
          </w:tcPr>
          <w:p w14:paraId="253BA3E1" w14:textId="77777777" w:rsidR="001339B5" w:rsidRPr="001339B5" w:rsidRDefault="001339B5" w:rsidP="002D4B4B">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w:t>
            </w:r>
            <w:r w:rsidR="002D4B4B">
              <w:rPr>
                <w:rFonts w:eastAsia="Times New Roman" w:cs="Arial"/>
                <w:color w:val="000000"/>
                <w:sz w:val="22"/>
                <w:lang w:eastAsia="en-AU"/>
              </w:rPr>
              <w:t>4.4</w:t>
            </w:r>
            <w:r w:rsidRPr="001339B5">
              <w:rPr>
                <w:rFonts w:eastAsia="Times New Roman" w:cs="Arial"/>
                <w:color w:val="000000"/>
                <w:sz w:val="22"/>
                <w:lang w:eastAsia="en-AU"/>
              </w:rPr>
              <w:t>%</w:t>
            </w:r>
          </w:p>
        </w:tc>
        <w:tc>
          <w:tcPr>
            <w:tcW w:w="1338" w:type="dxa"/>
            <w:tcBorders>
              <w:top w:val="nil"/>
              <w:left w:val="single" w:sz="4" w:space="0" w:color="auto"/>
              <w:bottom w:val="single" w:sz="4" w:space="0" w:color="auto"/>
              <w:right w:val="single" w:sz="8" w:space="0" w:color="auto"/>
            </w:tcBorders>
            <w:shd w:val="clear" w:color="auto" w:fill="auto"/>
            <w:noWrap/>
            <w:vAlign w:val="center"/>
            <w:hideMark/>
          </w:tcPr>
          <w:p w14:paraId="7C0ABC49" w14:textId="77777777" w:rsidR="001339B5" w:rsidRPr="001339B5" w:rsidRDefault="001339B5" w:rsidP="00E86B79">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1,626</w:t>
            </w:r>
          </w:p>
        </w:tc>
      </w:tr>
      <w:tr w:rsidR="001339B5" w:rsidRPr="00CA6221" w14:paraId="64B3741B" w14:textId="77777777" w:rsidTr="001339B5">
        <w:trPr>
          <w:cantSplit/>
          <w:trHeight w:val="243"/>
        </w:trPr>
        <w:tc>
          <w:tcPr>
            <w:tcW w:w="2134"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15B17729" w14:textId="77777777" w:rsidR="001339B5" w:rsidRPr="001339B5" w:rsidRDefault="001339B5" w:rsidP="001339B5">
            <w:pPr>
              <w:spacing w:after="0" w:line="240" w:lineRule="auto"/>
              <w:ind w:left="24" w:hangingChars="11" w:hanging="24"/>
              <w:jc w:val="center"/>
              <w:rPr>
                <w:rFonts w:eastAsia="Times New Roman" w:cs="Arial"/>
                <w:color w:val="000000"/>
                <w:sz w:val="22"/>
                <w:lang w:eastAsia="en-AU"/>
              </w:rPr>
            </w:pPr>
            <w:r w:rsidRPr="001339B5">
              <w:rPr>
                <w:rFonts w:eastAsia="Times New Roman" w:cs="Arial"/>
                <w:color w:val="000000"/>
                <w:sz w:val="22"/>
                <w:lang w:eastAsia="en-AU"/>
              </w:rPr>
              <w:t>East Loddon</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524FA" w14:textId="77777777" w:rsidR="001339B5" w:rsidRPr="001339B5" w:rsidRDefault="002D4B4B" w:rsidP="00E86B79">
            <w:pPr>
              <w:spacing w:after="0" w:line="240" w:lineRule="auto"/>
              <w:jc w:val="right"/>
              <w:rPr>
                <w:rFonts w:eastAsia="Times New Roman" w:cs="Arial"/>
                <w:color w:val="000000"/>
                <w:sz w:val="22"/>
                <w:lang w:eastAsia="en-AU"/>
              </w:rPr>
            </w:pPr>
            <w:r>
              <w:rPr>
                <w:rFonts w:eastAsia="Times New Roman" w:cs="Arial"/>
                <w:color w:val="000000"/>
                <w:sz w:val="22"/>
                <w:lang w:eastAsia="en-AU"/>
              </w:rPr>
              <w:t>1</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5D876CB" w14:textId="77777777" w:rsidR="001339B5" w:rsidRPr="001339B5" w:rsidRDefault="002D4B4B" w:rsidP="00E86B79">
            <w:pPr>
              <w:spacing w:after="0" w:line="240" w:lineRule="auto"/>
              <w:jc w:val="right"/>
              <w:rPr>
                <w:rFonts w:eastAsia="Times New Roman" w:cs="Arial"/>
                <w:color w:val="000000"/>
                <w:sz w:val="22"/>
                <w:lang w:eastAsia="en-AU"/>
              </w:rPr>
            </w:pPr>
            <w:r>
              <w:rPr>
                <w:rFonts w:eastAsia="Times New Roman" w:cs="Arial"/>
                <w:color w:val="000000"/>
                <w:sz w:val="22"/>
                <w:lang w:eastAsia="en-AU"/>
              </w:rPr>
              <w:t>0.1</w:t>
            </w:r>
            <w:r w:rsidR="001339B5" w:rsidRPr="001339B5">
              <w:rPr>
                <w:rFonts w:eastAsia="Times New Roman" w:cs="Arial"/>
                <w:color w:val="000000"/>
                <w:sz w:val="22"/>
                <w:lang w:eastAsia="en-AU"/>
              </w:rPr>
              <w:t>%</w:t>
            </w:r>
          </w:p>
        </w:tc>
        <w:tc>
          <w:tcPr>
            <w:tcW w:w="13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C5219C5" w14:textId="77777777" w:rsidR="001339B5" w:rsidRPr="001339B5" w:rsidRDefault="001339B5" w:rsidP="002D4B4B">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96</w:t>
            </w:r>
            <w:r w:rsidR="002D4B4B">
              <w:rPr>
                <w:rFonts w:eastAsia="Times New Roman" w:cs="Arial"/>
                <w:color w:val="000000"/>
                <w:sz w:val="22"/>
                <w:lang w:eastAsia="en-AU"/>
              </w:rPr>
              <w:t>6</w:t>
            </w:r>
          </w:p>
        </w:tc>
      </w:tr>
      <w:tr w:rsidR="001339B5" w:rsidRPr="00CA6221" w14:paraId="46120DA9" w14:textId="77777777" w:rsidTr="001339B5">
        <w:trPr>
          <w:cantSplit/>
          <w:trHeight w:val="243"/>
        </w:trPr>
        <w:tc>
          <w:tcPr>
            <w:tcW w:w="2134"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537A0BF8" w14:textId="77777777" w:rsidR="001339B5" w:rsidRPr="001339B5" w:rsidRDefault="001339B5" w:rsidP="001339B5">
            <w:pPr>
              <w:spacing w:after="0" w:line="240" w:lineRule="auto"/>
              <w:ind w:left="24" w:hangingChars="11" w:hanging="24"/>
              <w:jc w:val="center"/>
              <w:rPr>
                <w:rFonts w:eastAsia="Times New Roman" w:cs="Arial"/>
                <w:color w:val="000000"/>
                <w:sz w:val="22"/>
                <w:lang w:eastAsia="en-AU"/>
              </w:rPr>
            </w:pPr>
            <w:r w:rsidRPr="001339B5">
              <w:rPr>
                <w:rFonts w:eastAsia="Times New Roman" w:cs="Arial"/>
                <w:color w:val="000000"/>
                <w:sz w:val="22"/>
                <w:lang w:eastAsia="en-AU"/>
              </w:rPr>
              <w:t>East Loddon (North)</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2A12F9" w14:textId="77777777" w:rsidR="001339B5" w:rsidRPr="001339B5" w:rsidRDefault="001339B5" w:rsidP="002D4B4B">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w:t>
            </w:r>
            <w:r w:rsidR="002D4B4B">
              <w:rPr>
                <w:rFonts w:eastAsia="Times New Roman" w:cs="Arial"/>
                <w:color w:val="000000"/>
                <w:sz w:val="22"/>
                <w:lang w:eastAsia="en-AU"/>
              </w:rPr>
              <w:t>22</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52680D2" w14:textId="77777777" w:rsidR="001339B5" w:rsidRPr="001339B5" w:rsidRDefault="001339B5" w:rsidP="002D4B4B">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w:t>
            </w:r>
            <w:r w:rsidR="002D4B4B">
              <w:rPr>
                <w:rFonts w:eastAsia="Times New Roman" w:cs="Arial"/>
                <w:color w:val="000000"/>
                <w:sz w:val="22"/>
                <w:lang w:eastAsia="en-AU"/>
              </w:rPr>
              <w:t>2.0</w:t>
            </w:r>
            <w:r w:rsidRPr="001339B5">
              <w:rPr>
                <w:rFonts w:eastAsia="Times New Roman" w:cs="Arial"/>
                <w:color w:val="000000"/>
                <w:sz w:val="22"/>
                <w:lang w:eastAsia="en-AU"/>
              </w:rPr>
              <w:t>%</w:t>
            </w:r>
          </w:p>
        </w:tc>
        <w:tc>
          <w:tcPr>
            <w:tcW w:w="133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128D220" w14:textId="77777777" w:rsidR="001339B5" w:rsidRPr="001339B5" w:rsidRDefault="001339B5" w:rsidP="002D4B4B">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1,08</w:t>
            </w:r>
            <w:r w:rsidR="002D4B4B">
              <w:rPr>
                <w:rFonts w:eastAsia="Times New Roman" w:cs="Arial"/>
                <w:color w:val="000000"/>
                <w:sz w:val="22"/>
                <w:lang w:eastAsia="en-AU"/>
              </w:rPr>
              <w:t>3</w:t>
            </w:r>
          </w:p>
        </w:tc>
      </w:tr>
      <w:tr w:rsidR="001339B5" w:rsidRPr="00CA6221" w14:paraId="67F10C34" w14:textId="77777777" w:rsidTr="001339B5">
        <w:trPr>
          <w:cantSplit/>
          <w:trHeight w:val="243"/>
        </w:trPr>
        <w:tc>
          <w:tcPr>
            <w:tcW w:w="2134"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3DA2E5EF" w14:textId="77777777" w:rsidR="001339B5" w:rsidRPr="001339B5" w:rsidRDefault="001339B5" w:rsidP="001339B5">
            <w:pPr>
              <w:spacing w:after="0" w:line="240" w:lineRule="auto"/>
              <w:ind w:left="24" w:hangingChars="11" w:hanging="24"/>
              <w:jc w:val="center"/>
              <w:rPr>
                <w:rFonts w:eastAsia="Times New Roman" w:cs="Arial"/>
                <w:color w:val="000000"/>
                <w:sz w:val="22"/>
                <w:lang w:eastAsia="en-AU"/>
              </w:rPr>
            </w:pPr>
            <w:r w:rsidRPr="001339B5">
              <w:rPr>
                <w:rFonts w:eastAsia="Times New Roman" w:cs="Arial"/>
                <w:color w:val="000000"/>
                <w:sz w:val="22"/>
                <w:lang w:eastAsia="en-AU"/>
              </w:rPr>
              <w:t>West Loddon</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BDDFD" w14:textId="77777777" w:rsidR="001339B5" w:rsidRPr="001339B5" w:rsidRDefault="001339B5" w:rsidP="00E86B79">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w:t>
            </w:r>
            <w:r w:rsidR="002D4B4B">
              <w:rPr>
                <w:rFonts w:eastAsia="Times New Roman" w:cs="Arial"/>
                <w:color w:val="000000"/>
                <w:sz w:val="22"/>
                <w:lang w:eastAsia="en-AU"/>
              </w:rPr>
              <w:t>1</w:t>
            </w:r>
            <w:r w:rsidRPr="001339B5">
              <w:rPr>
                <w:rFonts w:eastAsia="Times New Roman" w:cs="Arial"/>
                <w:color w:val="000000"/>
                <w:sz w:val="22"/>
                <w:lang w:eastAsia="en-AU"/>
              </w:rPr>
              <w:t>9</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385FF66C" w14:textId="77777777" w:rsidR="001339B5" w:rsidRPr="001339B5" w:rsidRDefault="001339B5" w:rsidP="00E86B79">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w:t>
            </w:r>
            <w:r w:rsidR="002D4B4B">
              <w:rPr>
                <w:rFonts w:eastAsia="Times New Roman" w:cs="Arial"/>
                <w:color w:val="000000"/>
                <w:sz w:val="22"/>
                <w:lang w:eastAsia="en-AU"/>
              </w:rPr>
              <w:t>2.</w:t>
            </w:r>
            <w:r w:rsidRPr="001339B5">
              <w:rPr>
                <w:rFonts w:eastAsia="Times New Roman" w:cs="Arial"/>
                <w:color w:val="000000"/>
                <w:sz w:val="22"/>
                <w:lang w:eastAsia="en-AU"/>
              </w:rPr>
              <w:t>1%</w:t>
            </w:r>
          </w:p>
        </w:tc>
        <w:tc>
          <w:tcPr>
            <w:tcW w:w="133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47D59F6" w14:textId="77777777" w:rsidR="001339B5" w:rsidRPr="001339B5" w:rsidRDefault="001339B5" w:rsidP="002D4B4B">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88</w:t>
            </w:r>
            <w:r w:rsidR="002D4B4B">
              <w:rPr>
                <w:rFonts w:eastAsia="Times New Roman" w:cs="Arial"/>
                <w:color w:val="000000"/>
                <w:sz w:val="22"/>
                <w:lang w:eastAsia="en-AU"/>
              </w:rPr>
              <w:t>0</w:t>
            </w:r>
          </w:p>
        </w:tc>
      </w:tr>
      <w:tr w:rsidR="001339B5" w:rsidRPr="00CA6221" w14:paraId="5D812E12" w14:textId="77777777" w:rsidTr="001339B5">
        <w:trPr>
          <w:cantSplit/>
          <w:trHeight w:val="243"/>
        </w:trPr>
        <w:tc>
          <w:tcPr>
            <w:tcW w:w="2134"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256E1EED" w14:textId="77777777" w:rsidR="001339B5" w:rsidRPr="001339B5" w:rsidRDefault="001339B5" w:rsidP="001339B5">
            <w:pPr>
              <w:spacing w:after="0" w:line="240" w:lineRule="auto"/>
              <w:ind w:left="24" w:hangingChars="11" w:hanging="24"/>
              <w:jc w:val="center"/>
              <w:rPr>
                <w:rFonts w:eastAsia="Times New Roman" w:cs="Arial"/>
                <w:color w:val="000000"/>
                <w:sz w:val="22"/>
                <w:lang w:eastAsia="en-AU"/>
              </w:rPr>
            </w:pPr>
            <w:r w:rsidRPr="001339B5">
              <w:rPr>
                <w:rFonts w:eastAsia="Times New Roman" w:cs="Arial"/>
                <w:color w:val="000000"/>
                <w:sz w:val="22"/>
                <w:lang w:eastAsia="en-AU"/>
              </w:rPr>
              <w:t>Mitiamo</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A5437E" w14:textId="77777777" w:rsidR="001339B5" w:rsidRPr="001339B5" w:rsidRDefault="002D4B4B" w:rsidP="00E86B79">
            <w:pPr>
              <w:spacing w:after="0" w:line="240" w:lineRule="auto"/>
              <w:jc w:val="right"/>
              <w:rPr>
                <w:rFonts w:eastAsia="Times New Roman" w:cs="Arial"/>
                <w:color w:val="000000"/>
                <w:sz w:val="22"/>
                <w:lang w:eastAsia="en-AU"/>
              </w:rPr>
            </w:pPr>
            <w:r>
              <w:rPr>
                <w:rFonts w:eastAsia="Times New Roman" w:cs="Arial"/>
                <w:color w:val="000000"/>
                <w:sz w:val="22"/>
                <w:lang w:eastAsia="en-AU"/>
              </w:rPr>
              <w:t>0</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3B1AE0A3" w14:textId="77777777" w:rsidR="001339B5" w:rsidRPr="001339B5" w:rsidRDefault="002D4B4B" w:rsidP="00E86B79">
            <w:pPr>
              <w:spacing w:after="0" w:line="240" w:lineRule="auto"/>
              <w:jc w:val="right"/>
              <w:rPr>
                <w:rFonts w:eastAsia="Times New Roman" w:cs="Arial"/>
                <w:color w:val="000000"/>
                <w:sz w:val="22"/>
                <w:lang w:eastAsia="en-AU"/>
              </w:rPr>
            </w:pPr>
            <w:r>
              <w:rPr>
                <w:rFonts w:eastAsia="Times New Roman" w:cs="Arial"/>
                <w:color w:val="000000"/>
                <w:sz w:val="22"/>
                <w:lang w:eastAsia="en-AU"/>
              </w:rPr>
              <w:t>0</w:t>
            </w:r>
            <w:r w:rsidR="001828A7">
              <w:rPr>
                <w:rFonts w:eastAsia="Times New Roman" w:cs="Arial"/>
                <w:color w:val="000000"/>
                <w:sz w:val="22"/>
                <w:lang w:eastAsia="en-AU"/>
              </w:rPr>
              <w:t>.0</w:t>
            </w:r>
            <w:r w:rsidR="001339B5" w:rsidRPr="001339B5">
              <w:rPr>
                <w:rFonts w:eastAsia="Times New Roman" w:cs="Arial"/>
                <w:color w:val="000000"/>
                <w:sz w:val="22"/>
                <w:lang w:eastAsia="en-AU"/>
              </w:rPr>
              <w:t>%</w:t>
            </w:r>
          </w:p>
        </w:tc>
        <w:tc>
          <w:tcPr>
            <w:tcW w:w="133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12898F8" w14:textId="77777777" w:rsidR="001339B5" w:rsidRPr="001339B5" w:rsidRDefault="001339B5" w:rsidP="00E86B79">
            <w:pPr>
              <w:spacing w:after="0" w:line="240" w:lineRule="auto"/>
              <w:jc w:val="right"/>
              <w:rPr>
                <w:rFonts w:eastAsia="Times New Roman" w:cs="Arial"/>
                <w:color w:val="000000"/>
                <w:sz w:val="22"/>
                <w:lang w:eastAsia="en-AU"/>
              </w:rPr>
            </w:pPr>
            <w:r w:rsidRPr="001339B5">
              <w:rPr>
                <w:rFonts w:eastAsia="Times New Roman" w:cs="Arial"/>
                <w:color w:val="000000"/>
                <w:sz w:val="22"/>
                <w:lang w:eastAsia="en-AU"/>
              </w:rPr>
              <w:t>2,195</w:t>
            </w:r>
          </w:p>
        </w:tc>
      </w:tr>
    </w:tbl>
    <w:p w14:paraId="3FD1496C" w14:textId="77777777" w:rsidR="001339B5" w:rsidRDefault="001339B5" w:rsidP="00810EDB">
      <w:pPr>
        <w:keepNext/>
        <w:rPr>
          <w:rFonts w:cs="Arial"/>
          <w:b/>
          <w:szCs w:val="18"/>
        </w:rPr>
      </w:pPr>
    </w:p>
    <w:p w14:paraId="5AFA88C1" w14:textId="77777777" w:rsidR="001339B5" w:rsidRDefault="001339B5" w:rsidP="00810EDB">
      <w:pPr>
        <w:keepNext/>
        <w:rPr>
          <w:rFonts w:cs="Arial"/>
          <w:b/>
          <w:szCs w:val="18"/>
        </w:rPr>
      </w:pPr>
    </w:p>
    <w:p w14:paraId="585D29C1" w14:textId="77777777" w:rsidR="001339B5" w:rsidRDefault="001339B5" w:rsidP="00810EDB">
      <w:pPr>
        <w:keepNext/>
        <w:rPr>
          <w:noProof/>
          <w:lang w:eastAsia="en-AU"/>
        </w:rPr>
      </w:pPr>
    </w:p>
    <w:p w14:paraId="0917C28F" w14:textId="77777777" w:rsidR="001339B5" w:rsidRDefault="001339B5" w:rsidP="00810EDB">
      <w:pPr>
        <w:keepNext/>
        <w:rPr>
          <w:noProof/>
          <w:lang w:eastAsia="en-AU"/>
        </w:rPr>
      </w:pPr>
    </w:p>
    <w:p w14:paraId="6F8F9B92" w14:textId="77777777" w:rsidR="001339B5" w:rsidRDefault="001339B5" w:rsidP="00810EDB">
      <w:pPr>
        <w:keepNext/>
        <w:rPr>
          <w:noProof/>
          <w:lang w:eastAsia="en-AU"/>
        </w:rPr>
      </w:pPr>
    </w:p>
    <w:p w14:paraId="73503602" w14:textId="77777777" w:rsidR="00306D8F" w:rsidRPr="0012629F" w:rsidRDefault="00306D8F" w:rsidP="00306D8F">
      <w:pPr>
        <w:rPr>
          <w:rFonts w:cs="Arial"/>
        </w:rPr>
      </w:pPr>
      <w:r w:rsidRPr="0012629F">
        <w:rPr>
          <w:rFonts w:cs="Arial"/>
        </w:rPr>
        <w:t xml:space="preserve"> </w:t>
      </w:r>
    </w:p>
    <w:p w14:paraId="6734E23C" w14:textId="77777777" w:rsidR="007C3985" w:rsidRPr="004A0AF4" w:rsidRDefault="007C3985" w:rsidP="007C3985">
      <w:pPr>
        <w:pStyle w:val="Heading2"/>
        <w:keepLines w:val="0"/>
        <w:numPr>
          <w:ilvl w:val="1"/>
          <w:numId w:val="3"/>
        </w:numPr>
        <w:spacing w:before="240" w:after="60"/>
        <w:rPr>
          <w:rFonts w:cs="Arial"/>
        </w:rPr>
      </w:pPr>
      <w:bookmarkStart w:id="41" w:name="_Toc134012434"/>
      <w:r w:rsidRPr="004A0AF4">
        <w:rPr>
          <w:rFonts w:cs="Arial"/>
        </w:rPr>
        <w:t>Annual contribution to the Murray Darling Basin</w:t>
      </w:r>
      <w:r w:rsidR="00480F18" w:rsidRPr="004A0AF4">
        <w:rPr>
          <w:rFonts w:cs="Arial"/>
        </w:rPr>
        <w:t xml:space="preserve"> Authority</w:t>
      </w:r>
      <w:bookmarkEnd w:id="41"/>
      <w:r w:rsidRPr="004A0AF4">
        <w:rPr>
          <w:rFonts w:cs="Arial"/>
        </w:rPr>
        <w:t xml:space="preserve"> </w:t>
      </w:r>
      <w:r w:rsidR="00480F18" w:rsidRPr="004A0AF4">
        <w:rPr>
          <w:rFonts w:cs="Arial"/>
        </w:rPr>
        <w:br/>
      </w:r>
    </w:p>
    <w:p w14:paraId="72D80D35" w14:textId="77777777" w:rsidR="003F0B0D" w:rsidRDefault="007C3985">
      <w:pPr>
        <w:rPr>
          <w:rFonts w:eastAsiaTheme="majorEastAsia" w:cs="Arial"/>
          <w:b/>
          <w:bCs/>
          <w:kern w:val="32"/>
          <w:sz w:val="32"/>
          <w:szCs w:val="32"/>
        </w:rPr>
      </w:pPr>
      <w:r w:rsidRPr="004A0AF4">
        <w:rPr>
          <w:rFonts w:cs="Arial"/>
        </w:rPr>
        <w:t>There is expected to be no change in the annual contribution required to be made by GMW to the Murray Darling Basin Authority of $13.4 million.</w:t>
      </w:r>
      <w:r w:rsidRPr="004A0AF4">
        <w:rPr>
          <w:rFonts w:eastAsiaTheme="majorEastAsia" w:cs="Arial"/>
          <w:b/>
          <w:bCs/>
          <w:kern w:val="32"/>
          <w:sz w:val="32"/>
          <w:szCs w:val="32"/>
        </w:rPr>
        <w:t xml:space="preserve"> </w:t>
      </w:r>
    </w:p>
    <w:p w14:paraId="657F9C4B" w14:textId="77777777" w:rsidR="00DF6F32" w:rsidRDefault="00DF6F32" w:rsidP="00DF6F32">
      <w:pPr>
        <w:rPr>
          <w:rFonts w:cs="Arial"/>
        </w:rPr>
      </w:pPr>
      <w:r w:rsidRPr="00DF6F32">
        <w:rPr>
          <w:rFonts w:cs="Arial"/>
        </w:rPr>
        <w:lastRenderedPageBreak/>
        <w:t>As part of the 2020 Price Review GMW’s revenue cap was amended to include an MDBA adjustment.</w:t>
      </w:r>
      <w:r w:rsidRPr="00DF6F32">
        <w:t xml:space="preserve"> </w:t>
      </w:r>
      <w:r>
        <w:t xml:space="preserve">This </w:t>
      </w:r>
      <w:r w:rsidRPr="00DF6F32">
        <w:rPr>
          <w:rFonts w:cs="Arial"/>
        </w:rPr>
        <w:t>is an allowance to reflect the cost contribution</w:t>
      </w:r>
      <w:r>
        <w:rPr>
          <w:rFonts w:cs="Arial"/>
        </w:rPr>
        <w:t xml:space="preserve"> </w:t>
      </w:r>
      <w:r w:rsidRPr="00DF6F32">
        <w:rPr>
          <w:rFonts w:cs="Arial"/>
        </w:rPr>
        <w:t>/</w:t>
      </w:r>
      <w:r>
        <w:rPr>
          <w:rFonts w:cs="Arial"/>
        </w:rPr>
        <w:t xml:space="preserve"> </w:t>
      </w:r>
      <w:r w:rsidRPr="00DF6F32">
        <w:rPr>
          <w:rFonts w:cs="Arial"/>
        </w:rPr>
        <w:t>the amount of any material change in the annual contribution required to be made by Goulburn-Murray Water to the Murray-Darling Basin Authority as calculated by the Commission.</w:t>
      </w:r>
    </w:p>
    <w:p w14:paraId="6B9BD4C4" w14:textId="77777777" w:rsidR="00DF6F32" w:rsidRPr="00DF6F32" w:rsidRDefault="00DF6F32" w:rsidP="00DF6F32">
      <w:pPr>
        <w:rPr>
          <w:rFonts w:cs="Arial"/>
        </w:rPr>
      </w:pPr>
      <w:r>
        <w:rPr>
          <w:rFonts w:cs="Arial"/>
        </w:rPr>
        <w:t xml:space="preserve">This change is a pass through of an increase or a decrease in the contribution paid by GMW to the MDBA and </w:t>
      </w:r>
      <w:r w:rsidRPr="00DF6F32">
        <w:rPr>
          <w:rFonts w:cs="Arial"/>
        </w:rPr>
        <w:t>GMW has not made an MDBA adjustment so far in the current regulatory period.</w:t>
      </w:r>
    </w:p>
    <w:p w14:paraId="543E5624" w14:textId="77777777" w:rsidR="00DF6F32" w:rsidRPr="00DF6F32" w:rsidRDefault="00DF6F32" w:rsidP="00DF6F32">
      <w:pPr>
        <w:rPr>
          <w:rFonts w:cs="Arial"/>
        </w:rPr>
      </w:pPr>
      <w:r w:rsidRPr="00DF6F32">
        <w:rPr>
          <w:rFonts w:cs="Arial"/>
        </w:rPr>
        <w:t>The forecast in the 2020 Pricing Submission was on a reasonable basis assuming MDBA would apply CPI adjustments to the contribution.</w:t>
      </w:r>
    </w:p>
    <w:p w14:paraId="767B957E" w14:textId="77777777" w:rsidR="00DF6F32" w:rsidRDefault="00DF6F32" w:rsidP="00DF6F32">
      <w:pPr>
        <w:rPr>
          <w:rFonts w:cs="Arial"/>
        </w:rPr>
      </w:pPr>
      <w:r w:rsidRPr="00DF6F32">
        <w:rPr>
          <w:rFonts w:cs="Arial"/>
        </w:rPr>
        <w:t>As this has now not occurred GMW wish to make an adjustment in the 2023/24 Annual Price Review.</w:t>
      </w:r>
    </w:p>
    <w:p w14:paraId="7E22EA9F" w14:textId="77777777" w:rsidR="00DF6F32" w:rsidRDefault="00DF6F32" w:rsidP="00DF6F32">
      <w:pPr>
        <w:rPr>
          <w:rFonts w:cs="Arial"/>
        </w:rPr>
      </w:pPr>
      <w:r>
        <w:rPr>
          <w:rFonts w:cs="Arial"/>
        </w:rPr>
        <w:t xml:space="preserve">To </w:t>
      </w:r>
      <w:r w:rsidR="003732E4" w:rsidRPr="003732E4">
        <w:rPr>
          <w:rFonts w:cs="Arial"/>
        </w:rPr>
        <w:t>minimise price shocks and provide price stability to customers</w:t>
      </w:r>
      <w:r w:rsidR="003732E4">
        <w:rPr>
          <w:rFonts w:cs="Arial"/>
        </w:rPr>
        <w:t xml:space="preserve"> </w:t>
      </w:r>
      <w:r>
        <w:rPr>
          <w:rFonts w:cs="Arial"/>
        </w:rPr>
        <w:t>the ESC has approved that GMW can pass this over recovery back to the Murray customers across 2023/24 and the four years of the 6</w:t>
      </w:r>
      <w:r w:rsidRPr="00DF6F32">
        <w:rPr>
          <w:rFonts w:cs="Arial"/>
          <w:vertAlign w:val="superscript"/>
        </w:rPr>
        <w:t>th</w:t>
      </w:r>
      <w:r>
        <w:rPr>
          <w:rFonts w:cs="Arial"/>
        </w:rPr>
        <w:t xml:space="preserve"> regulatory period.</w:t>
      </w:r>
    </w:p>
    <w:p w14:paraId="1C8FCCAD" w14:textId="77777777" w:rsidR="003732E4" w:rsidRDefault="003732E4" w:rsidP="003732E4">
      <w:pPr>
        <w:spacing w:after="240"/>
        <w:rPr>
          <w:rFonts w:ascii="Calibri" w:hAnsi="Calibri"/>
        </w:rPr>
      </w:pPr>
      <w:r>
        <w:t xml:space="preserve">Since this pricing strategy aims to comply with clause 2.3(c)(ii)(E) of the Goulburn-Murray Water Determination, ESC considers the option to smooth the MDBA adjustment </w:t>
      </w:r>
      <w:proofErr w:type="gramStart"/>
      <w:r>
        <w:t>as  acceptable</w:t>
      </w:r>
      <w:proofErr w:type="gramEnd"/>
      <w:r>
        <w:t>.</w:t>
      </w:r>
    </w:p>
    <w:p w14:paraId="53ABC683" w14:textId="77777777" w:rsidR="003732E4" w:rsidRDefault="003732E4" w:rsidP="00DF6F32">
      <w:pPr>
        <w:rPr>
          <w:rFonts w:cs="Arial"/>
        </w:rPr>
      </w:pPr>
    </w:p>
    <w:p w14:paraId="7FEB7C3B" w14:textId="77777777" w:rsidR="00FC3666" w:rsidRPr="00612011" w:rsidRDefault="00FC3666">
      <w:pPr>
        <w:rPr>
          <w:rFonts w:eastAsiaTheme="majorEastAsia" w:cs="Arial"/>
          <w:b/>
          <w:bCs/>
          <w:kern w:val="32"/>
          <w:sz w:val="32"/>
          <w:szCs w:val="32"/>
          <w:highlight w:val="yellow"/>
        </w:rPr>
      </w:pPr>
      <w:r w:rsidRPr="00612011">
        <w:rPr>
          <w:rFonts w:eastAsiaTheme="majorEastAsia" w:cs="Arial"/>
          <w:b/>
          <w:bCs/>
          <w:kern w:val="32"/>
          <w:sz w:val="32"/>
          <w:szCs w:val="32"/>
          <w:highlight w:val="yellow"/>
        </w:rPr>
        <w:br w:type="page"/>
      </w:r>
    </w:p>
    <w:p w14:paraId="0809F22D" w14:textId="77777777" w:rsidR="00306D8F" w:rsidRPr="004A0AF4" w:rsidRDefault="00306D8F" w:rsidP="007C3985">
      <w:pPr>
        <w:pStyle w:val="Heading1"/>
        <w:keepLines w:val="0"/>
        <w:numPr>
          <w:ilvl w:val="0"/>
          <w:numId w:val="3"/>
        </w:numPr>
        <w:spacing w:before="240" w:after="60"/>
        <w:rPr>
          <w:rFonts w:cs="Arial"/>
        </w:rPr>
      </w:pPr>
      <w:bookmarkStart w:id="42" w:name="_Toc481579042"/>
      <w:bookmarkStart w:id="43" w:name="_Toc134012435"/>
      <w:r w:rsidRPr="004A0AF4">
        <w:rPr>
          <w:rFonts w:cs="Arial"/>
        </w:rPr>
        <w:lastRenderedPageBreak/>
        <w:t>Tariff Strategies</w:t>
      </w:r>
      <w:bookmarkEnd w:id="42"/>
      <w:bookmarkEnd w:id="43"/>
      <w:r w:rsidRPr="004A0AF4">
        <w:rPr>
          <w:rFonts w:cs="Arial"/>
        </w:rPr>
        <w:t xml:space="preserve"> </w:t>
      </w:r>
    </w:p>
    <w:p w14:paraId="009C5CE0" w14:textId="77777777" w:rsidR="00FD08D2" w:rsidRPr="00612011" w:rsidRDefault="00FD08D2" w:rsidP="00FD08D2">
      <w:pPr>
        <w:rPr>
          <w:highlight w:val="yellow"/>
        </w:rPr>
      </w:pPr>
    </w:p>
    <w:p w14:paraId="09A3BD84" w14:textId="77777777" w:rsidR="005D6451" w:rsidRPr="002545EE" w:rsidRDefault="005D6451" w:rsidP="005D6451">
      <w:pPr>
        <w:jc w:val="center"/>
        <w:rPr>
          <w:rFonts w:cs="Arial"/>
        </w:rPr>
      </w:pPr>
      <w:r w:rsidRPr="002545EE">
        <w:rPr>
          <w:rFonts w:cs="Arial"/>
          <w:noProof/>
          <w:lang w:eastAsia="en-AU"/>
        </w:rPr>
        <w:drawing>
          <wp:inline distT="0" distB="0" distL="0" distR="0" wp14:anchorId="49D2C15A" wp14:editId="35506E5E">
            <wp:extent cx="4581525" cy="376725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3640" cy="3768989"/>
                    </a:xfrm>
                    <a:prstGeom prst="rect">
                      <a:avLst/>
                    </a:prstGeom>
                    <a:noFill/>
                    <a:ln>
                      <a:noFill/>
                    </a:ln>
                  </pic:spPr>
                </pic:pic>
              </a:graphicData>
            </a:graphic>
          </wp:inline>
        </w:drawing>
      </w:r>
    </w:p>
    <w:p w14:paraId="69AA3703" w14:textId="77777777" w:rsidR="005D6451" w:rsidRPr="004A0AF4" w:rsidRDefault="005D6451" w:rsidP="005D6451">
      <w:pPr>
        <w:jc w:val="both"/>
        <w:rPr>
          <w:rFonts w:cs="Arial"/>
        </w:rPr>
      </w:pPr>
      <w:r w:rsidRPr="002545EE">
        <w:rPr>
          <w:rFonts w:cs="Arial"/>
        </w:rPr>
        <w:t>The Service Strategy represents a focus for the entire organisation on its prescribed services. It is the roadmap for how Goulburn-Murray Water (GMW) will deliver on our service vision of “our services align with resilience principles, underpin a flourishing regional community and are financially and environmentally sustainable”.</w:t>
      </w:r>
      <w:r w:rsidRPr="004A0AF4">
        <w:rPr>
          <w:rFonts w:cs="Arial"/>
        </w:rPr>
        <w:t xml:space="preserve"> </w:t>
      </w:r>
    </w:p>
    <w:p w14:paraId="420D4D10" w14:textId="77777777" w:rsidR="00307DD8" w:rsidRPr="004A0AF4" w:rsidRDefault="005D6451" w:rsidP="005D6451">
      <w:pPr>
        <w:jc w:val="both"/>
        <w:rPr>
          <w:rFonts w:cs="Arial"/>
        </w:rPr>
      </w:pPr>
      <w:r w:rsidRPr="004A0AF4">
        <w:rPr>
          <w:rFonts w:cs="Arial"/>
        </w:rPr>
        <w:t xml:space="preserve">The GMW Services Strategy is aligned to the delivery of GMW strategic outcome “Satisfied Customers, trusting partners” which ensures that our customer first culture and strategic partnerships provide benefits for our customers and communities. </w:t>
      </w:r>
    </w:p>
    <w:p w14:paraId="13522E3D" w14:textId="77777777" w:rsidR="005D6451" w:rsidRPr="004A0AF4" w:rsidRDefault="005D6451" w:rsidP="005D6451">
      <w:pPr>
        <w:jc w:val="both"/>
        <w:rPr>
          <w:rFonts w:cs="Arial"/>
        </w:rPr>
      </w:pPr>
      <w:r w:rsidRPr="004A0AF4">
        <w:rPr>
          <w:rFonts w:cs="Arial"/>
        </w:rPr>
        <w:t>The GMW Service Strategy outlines service goals to guide the development of individual GMW Service Plans that provide future direction for GMW’s Prescribed Services.</w:t>
      </w:r>
    </w:p>
    <w:p w14:paraId="52C4A251" w14:textId="77777777" w:rsidR="005D6451" w:rsidRPr="004A0AF4" w:rsidRDefault="005D6451" w:rsidP="005D6451">
      <w:pPr>
        <w:jc w:val="both"/>
        <w:rPr>
          <w:rFonts w:cs="Arial"/>
        </w:rPr>
      </w:pPr>
      <w:r w:rsidRPr="004A0AF4">
        <w:rPr>
          <w:rFonts w:cs="Arial"/>
        </w:rPr>
        <w:t>The Service Plans will form the basis of GMW’s 2024-2028 Pricing Submission.</w:t>
      </w:r>
    </w:p>
    <w:p w14:paraId="5C93D431" w14:textId="77777777" w:rsidR="005D6451" w:rsidRPr="004A0AF4" w:rsidRDefault="005D6451" w:rsidP="005D6451">
      <w:pPr>
        <w:jc w:val="both"/>
        <w:rPr>
          <w:rFonts w:cs="Arial"/>
        </w:rPr>
      </w:pPr>
      <w:r w:rsidRPr="004A0AF4">
        <w:rPr>
          <w:rFonts w:cs="Arial"/>
        </w:rPr>
        <w:t>The Service Plans:</w:t>
      </w:r>
    </w:p>
    <w:p w14:paraId="2E4042AE" w14:textId="77777777" w:rsidR="005D6451" w:rsidRPr="004A0AF4" w:rsidRDefault="005D6451" w:rsidP="00CD6FE6">
      <w:pPr>
        <w:pStyle w:val="ListParagraph"/>
        <w:numPr>
          <w:ilvl w:val="0"/>
          <w:numId w:val="22"/>
        </w:numPr>
        <w:jc w:val="both"/>
        <w:rPr>
          <w:rFonts w:cs="Arial"/>
        </w:rPr>
      </w:pPr>
      <w:r w:rsidRPr="004A0AF4">
        <w:rPr>
          <w:rFonts w:cs="Arial"/>
        </w:rPr>
        <w:t>Provide a comprehensive view of each prescribed service.</w:t>
      </w:r>
      <w:r w:rsidR="008874C2">
        <w:rPr>
          <w:rFonts w:cs="Arial"/>
        </w:rPr>
        <w:t xml:space="preserve"> </w:t>
      </w:r>
    </w:p>
    <w:p w14:paraId="724ACFBF" w14:textId="77777777" w:rsidR="005D6451" w:rsidRPr="004A0AF4" w:rsidRDefault="005D6451" w:rsidP="00CD6FE6">
      <w:pPr>
        <w:pStyle w:val="ListParagraph"/>
        <w:numPr>
          <w:ilvl w:val="0"/>
          <w:numId w:val="22"/>
        </w:numPr>
        <w:jc w:val="both"/>
        <w:rPr>
          <w:rFonts w:cs="Arial"/>
        </w:rPr>
      </w:pPr>
      <w:r w:rsidRPr="004A0AF4">
        <w:rPr>
          <w:rFonts w:cs="Arial"/>
        </w:rPr>
        <w:t xml:space="preserve">Guide GMW in aligning our services with customer needs, regulatory </w:t>
      </w:r>
      <w:proofErr w:type="gramStart"/>
      <w:r w:rsidRPr="004A0AF4">
        <w:rPr>
          <w:rFonts w:cs="Arial"/>
        </w:rPr>
        <w:t>requirements</w:t>
      </w:r>
      <w:proofErr w:type="gramEnd"/>
      <w:r w:rsidRPr="004A0AF4">
        <w:rPr>
          <w:rFonts w:cs="Arial"/>
        </w:rPr>
        <w:t xml:space="preserve"> and our strategic direction.</w:t>
      </w:r>
    </w:p>
    <w:p w14:paraId="3B10B79E" w14:textId="77777777" w:rsidR="005D6451" w:rsidRPr="004A0AF4" w:rsidRDefault="005D6451" w:rsidP="00CD6FE6">
      <w:pPr>
        <w:pStyle w:val="ListParagraph"/>
        <w:numPr>
          <w:ilvl w:val="0"/>
          <w:numId w:val="22"/>
        </w:numPr>
        <w:jc w:val="both"/>
        <w:rPr>
          <w:rFonts w:cs="Arial"/>
        </w:rPr>
      </w:pPr>
      <w:r w:rsidRPr="004A0AF4">
        <w:rPr>
          <w:rFonts w:cs="Arial"/>
        </w:rPr>
        <w:t xml:space="preserve">Support engagement with our customers and stakeholders to drive forward our service commitments and guide future service development. </w:t>
      </w:r>
    </w:p>
    <w:p w14:paraId="0B60EB2A" w14:textId="77777777" w:rsidR="005D6451" w:rsidRPr="004A0AF4" w:rsidRDefault="005D6451" w:rsidP="00CD6FE6">
      <w:pPr>
        <w:pStyle w:val="ListParagraph"/>
        <w:numPr>
          <w:ilvl w:val="0"/>
          <w:numId w:val="22"/>
        </w:numPr>
        <w:jc w:val="both"/>
        <w:rPr>
          <w:rFonts w:cs="Arial"/>
        </w:rPr>
      </w:pPr>
      <w:r w:rsidRPr="004A0AF4">
        <w:rPr>
          <w:rFonts w:cs="Arial"/>
        </w:rPr>
        <w:t>Enable a greater planning focus over the next two regulatory periods (2024 – 2032).</w:t>
      </w:r>
    </w:p>
    <w:p w14:paraId="202A57AB" w14:textId="77777777" w:rsidR="005D6451" w:rsidRPr="004A0AF4" w:rsidRDefault="005D6451" w:rsidP="00CD6FE6">
      <w:pPr>
        <w:pStyle w:val="ListParagraph"/>
        <w:numPr>
          <w:ilvl w:val="0"/>
          <w:numId w:val="22"/>
        </w:numPr>
        <w:jc w:val="both"/>
        <w:rPr>
          <w:rFonts w:cs="Arial"/>
        </w:rPr>
      </w:pPr>
      <w:r w:rsidRPr="004A0AF4">
        <w:rPr>
          <w:rFonts w:cs="Arial"/>
        </w:rPr>
        <w:t xml:space="preserve">Promote an adaptive approach to ensure that GMW are able to meet changing customer and stakeholder </w:t>
      </w:r>
      <w:proofErr w:type="gramStart"/>
      <w:r w:rsidRPr="004A0AF4">
        <w:rPr>
          <w:rFonts w:cs="Arial"/>
        </w:rPr>
        <w:t>needs</w:t>
      </w:r>
      <w:proofErr w:type="gramEnd"/>
    </w:p>
    <w:p w14:paraId="1371F172" w14:textId="77777777" w:rsidR="005D6451" w:rsidRPr="004A0AF4" w:rsidRDefault="005D6451" w:rsidP="00CD6FE6">
      <w:pPr>
        <w:pStyle w:val="ListParagraph"/>
        <w:numPr>
          <w:ilvl w:val="0"/>
          <w:numId w:val="22"/>
        </w:numPr>
        <w:jc w:val="both"/>
        <w:rPr>
          <w:rFonts w:cs="Arial"/>
        </w:rPr>
      </w:pPr>
      <w:r w:rsidRPr="004A0AF4">
        <w:rPr>
          <w:rFonts w:cs="Arial"/>
        </w:rPr>
        <w:t>Provide additional benefits to GMW by:</w:t>
      </w:r>
    </w:p>
    <w:p w14:paraId="15487058" w14:textId="77777777" w:rsidR="005D6451" w:rsidRPr="004A0AF4" w:rsidRDefault="005D6451" w:rsidP="00CD6FE6">
      <w:pPr>
        <w:pStyle w:val="ListParagraph"/>
        <w:numPr>
          <w:ilvl w:val="1"/>
          <w:numId w:val="22"/>
        </w:numPr>
        <w:jc w:val="both"/>
        <w:rPr>
          <w:rFonts w:cs="Arial"/>
        </w:rPr>
      </w:pPr>
      <w:r w:rsidRPr="004A0AF4">
        <w:rPr>
          <w:rFonts w:cs="Arial"/>
        </w:rPr>
        <w:t>Increasing clarity for customers, regulators &amp; employees</w:t>
      </w:r>
    </w:p>
    <w:p w14:paraId="170A8FDA" w14:textId="77777777" w:rsidR="005D6451" w:rsidRPr="004A0AF4" w:rsidRDefault="005D6451" w:rsidP="00CD6FE6">
      <w:pPr>
        <w:pStyle w:val="ListParagraph"/>
        <w:numPr>
          <w:ilvl w:val="1"/>
          <w:numId w:val="22"/>
        </w:numPr>
        <w:jc w:val="both"/>
        <w:rPr>
          <w:rFonts w:cs="Arial"/>
        </w:rPr>
      </w:pPr>
      <w:r w:rsidRPr="004A0AF4">
        <w:rPr>
          <w:rFonts w:cs="Arial"/>
        </w:rPr>
        <w:lastRenderedPageBreak/>
        <w:t xml:space="preserve">Optimisation across our delivery mechanisms &amp; activities to achieve our service </w:t>
      </w:r>
      <w:proofErr w:type="gramStart"/>
      <w:r w:rsidRPr="004A0AF4">
        <w:rPr>
          <w:rFonts w:cs="Arial"/>
        </w:rPr>
        <w:t>outcomes</w:t>
      </w:r>
      <w:proofErr w:type="gramEnd"/>
    </w:p>
    <w:p w14:paraId="0B3D544C" w14:textId="77777777" w:rsidR="005D6451" w:rsidRPr="004A0AF4" w:rsidRDefault="005D6451" w:rsidP="00CD6FE6">
      <w:pPr>
        <w:pStyle w:val="ListParagraph"/>
        <w:numPr>
          <w:ilvl w:val="1"/>
          <w:numId w:val="22"/>
        </w:numPr>
        <w:jc w:val="both"/>
        <w:rPr>
          <w:rFonts w:cs="Arial"/>
        </w:rPr>
      </w:pPr>
      <w:r w:rsidRPr="004A0AF4">
        <w:rPr>
          <w:rFonts w:cs="Arial"/>
        </w:rPr>
        <w:t xml:space="preserve">Improved transparency to our customers &amp; regulators and driving efficiency, </w:t>
      </w:r>
      <w:proofErr w:type="gramStart"/>
      <w:r w:rsidRPr="004A0AF4">
        <w:rPr>
          <w:rFonts w:cs="Arial"/>
        </w:rPr>
        <w:t>e.g.</w:t>
      </w:r>
      <w:proofErr w:type="gramEnd"/>
      <w:r w:rsidRPr="004A0AF4">
        <w:rPr>
          <w:rFonts w:cs="Arial"/>
        </w:rPr>
        <w:t xml:space="preserve"> informs pricing submission</w:t>
      </w:r>
    </w:p>
    <w:p w14:paraId="4AD7A0A1" w14:textId="77777777" w:rsidR="005D6451" w:rsidRPr="004A0AF4" w:rsidRDefault="005D6451" w:rsidP="005D6451">
      <w:pPr>
        <w:jc w:val="both"/>
        <w:rPr>
          <w:rFonts w:cs="Arial"/>
        </w:rPr>
      </w:pPr>
    </w:p>
    <w:p w14:paraId="4D3A2318" w14:textId="77777777" w:rsidR="00306D8F" w:rsidRPr="004A0AF4" w:rsidRDefault="005D6451" w:rsidP="005D6451">
      <w:pPr>
        <w:jc w:val="both"/>
        <w:rPr>
          <w:rFonts w:cs="Arial"/>
        </w:rPr>
      </w:pPr>
      <w:r w:rsidRPr="004A0AF4">
        <w:rPr>
          <w:rFonts w:cs="Arial"/>
        </w:rPr>
        <w:t>G</w:t>
      </w:r>
      <w:r w:rsidR="00306D8F" w:rsidRPr="004A0AF4">
        <w:rPr>
          <w:rFonts w:cs="Arial"/>
        </w:rPr>
        <w:t xml:space="preserve">MW is committed to the development and implementation of an appropriate tariff structure and </w:t>
      </w:r>
      <w:r w:rsidR="00307DD8" w:rsidRPr="004A0AF4">
        <w:rPr>
          <w:rFonts w:cs="Arial"/>
        </w:rPr>
        <w:t>will con</w:t>
      </w:r>
      <w:r w:rsidR="00306D8F" w:rsidRPr="004A0AF4">
        <w:rPr>
          <w:rFonts w:cs="Arial"/>
        </w:rPr>
        <w:t xml:space="preserve">tinue to consult with customers as part of </w:t>
      </w:r>
      <w:r w:rsidR="00307DD8" w:rsidRPr="004A0AF4">
        <w:rPr>
          <w:rFonts w:cs="Arial"/>
        </w:rPr>
        <w:t>the development of the Service Plans.</w:t>
      </w:r>
    </w:p>
    <w:p w14:paraId="4A612B0E" w14:textId="77777777" w:rsidR="00306D8F" w:rsidRPr="00612011" w:rsidRDefault="00306D8F" w:rsidP="00306D8F">
      <w:pPr>
        <w:widowControl w:val="0"/>
        <w:tabs>
          <w:tab w:val="left" w:pos="-720"/>
          <w:tab w:val="left" w:pos="0"/>
          <w:tab w:val="left" w:pos="720"/>
          <w:tab w:val="left" w:pos="1440"/>
        </w:tabs>
        <w:spacing w:after="120"/>
        <w:contextualSpacing/>
        <w:rPr>
          <w:highlight w:val="yellow"/>
        </w:rPr>
      </w:pPr>
    </w:p>
    <w:p w14:paraId="0CBDA20A" w14:textId="77777777" w:rsidR="00306D8F" w:rsidRPr="00612011" w:rsidRDefault="00306D8F" w:rsidP="000D5D69">
      <w:pPr>
        <w:rPr>
          <w:highlight w:val="yellow"/>
        </w:rPr>
      </w:pPr>
    </w:p>
    <w:p w14:paraId="61FE06F6" w14:textId="77777777" w:rsidR="00306D8F" w:rsidRPr="004A0AF4" w:rsidRDefault="00306D8F" w:rsidP="007C3985">
      <w:pPr>
        <w:pStyle w:val="Heading1"/>
        <w:keepLines w:val="0"/>
        <w:numPr>
          <w:ilvl w:val="0"/>
          <w:numId w:val="3"/>
        </w:numPr>
        <w:spacing w:before="240" w:after="60"/>
        <w:rPr>
          <w:rFonts w:cs="Arial"/>
        </w:rPr>
      </w:pPr>
      <w:bookmarkStart w:id="44" w:name="_Toc481579043"/>
      <w:bookmarkStart w:id="45" w:name="_Toc134012436"/>
      <w:r w:rsidRPr="004A0AF4">
        <w:rPr>
          <w:rFonts w:cs="Arial"/>
        </w:rPr>
        <w:t>Customer Communication and Engagement</w:t>
      </w:r>
      <w:bookmarkEnd w:id="44"/>
      <w:bookmarkEnd w:id="45"/>
    </w:p>
    <w:p w14:paraId="695E0772" w14:textId="77777777" w:rsidR="00306D8F" w:rsidRPr="004A0AF4" w:rsidRDefault="00306D8F" w:rsidP="00306D8F">
      <w:pPr>
        <w:jc w:val="both"/>
        <w:rPr>
          <w:rFonts w:cs="Arial"/>
        </w:rPr>
      </w:pPr>
    </w:p>
    <w:p w14:paraId="575098D3" w14:textId="77777777" w:rsidR="00306D8F" w:rsidRPr="004A0AF4" w:rsidRDefault="00306D8F" w:rsidP="00306D8F">
      <w:pPr>
        <w:jc w:val="both"/>
        <w:rPr>
          <w:rFonts w:cs="Arial"/>
        </w:rPr>
      </w:pPr>
      <w:r w:rsidRPr="004A0AF4">
        <w:rPr>
          <w:rFonts w:cs="Arial"/>
        </w:rPr>
        <w:t xml:space="preserve">Customers’ views are an important input into GMW’s pricing considerations. To facilitate informed and ongoing consultation GMW has a set of customer advisory committees, representing the various services that GMW provides. In every </w:t>
      </w:r>
      <w:r w:rsidR="00F44059" w:rsidRPr="004A0AF4">
        <w:rPr>
          <w:rFonts w:cs="Arial"/>
        </w:rPr>
        <w:t>case,</w:t>
      </w:r>
      <w:r w:rsidRPr="004A0AF4">
        <w:rPr>
          <w:rFonts w:cs="Arial"/>
        </w:rPr>
        <w:t xml:space="preserve"> the committees are created by the Board of GMW to provide advice to the Board, with members elected by customers. </w:t>
      </w:r>
      <w:r w:rsidR="000D2866" w:rsidRPr="004A0AF4">
        <w:rPr>
          <w:rFonts w:cs="Arial"/>
        </w:rPr>
        <w:t>The committees’ advice on pricing matters informs GMW’s decision making process.</w:t>
      </w:r>
    </w:p>
    <w:p w14:paraId="4A03AC85" w14:textId="77777777" w:rsidR="00306D8F" w:rsidRPr="00A21526" w:rsidRDefault="00306D8F" w:rsidP="00306D8F">
      <w:pPr>
        <w:jc w:val="both"/>
        <w:rPr>
          <w:rFonts w:cs="Arial"/>
        </w:rPr>
      </w:pPr>
      <w:r w:rsidRPr="00A21526">
        <w:rPr>
          <w:rFonts w:cs="Arial"/>
        </w:rPr>
        <w:t xml:space="preserve">GMW operates </w:t>
      </w:r>
      <w:r w:rsidR="00A666D0" w:rsidRPr="00A21526">
        <w:rPr>
          <w:rFonts w:cs="Arial"/>
        </w:rPr>
        <w:t>eleven</w:t>
      </w:r>
      <w:r w:rsidRPr="00A21526">
        <w:rPr>
          <w:rFonts w:cs="Arial"/>
        </w:rPr>
        <w:t xml:space="preserve"> Water Services Committees (WSCs), with six based around our major gravity irrigation districts, four regional WSCs covering diverters</w:t>
      </w:r>
      <w:r w:rsidR="00A666D0" w:rsidRPr="00A21526">
        <w:rPr>
          <w:rFonts w:cs="Arial"/>
        </w:rPr>
        <w:t xml:space="preserve"> and one </w:t>
      </w:r>
      <w:r w:rsidRPr="00A21526">
        <w:rPr>
          <w:rFonts w:cs="Arial"/>
        </w:rPr>
        <w:t>r</w:t>
      </w:r>
      <w:r w:rsidR="00A666D0" w:rsidRPr="00A21526">
        <w:rPr>
          <w:rFonts w:cs="Arial"/>
        </w:rPr>
        <w:t xml:space="preserve">epresenting our Water </w:t>
      </w:r>
      <w:r w:rsidR="00731FD7">
        <w:rPr>
          <w:rFonts w:cs="Arial"/>
        </w:rPr>
        <w:t xml:space="preserve">Supply </w:t>
      </w:r>
      <w:r w:rsidR="00A666D0" w:rsidRPr="00A21526">
        <w:rPr>
          <w:rFonts w:cs="Arial"/>
        </w:rPr>
        <w:t>Districts.</w:t>
      </w:r>
    </w:p>
    <w:p w14:paraId="09FE4A4E" w14:textId="77777777" w:rsidR="00306D8F" w:rsidRPr="004A0AF4" w:rsidRDefault="00306D8F" w:rsidP="00306D8F">
      <w:pPr>
        <w:jc w:val="both"/>
        <w:rPr>
          <w:rFonts w:cs="Arial"/>
        </w:rPr>
      </w:pPr>
      <w:r w:rsidRPr="004A0AF4">
        <w:rPr>
          <w:rFonts w:cs="Arial"/>
        </w:rPr>
        <w:t xml:space="preserve">During the development of GMW’s 2020 Price Submission, we consulted extensively with WSCs, customers and stakeholders of our proposed </w:t>
      </w:r>
      <w:r w:rsidR="00F44059" w:rsidRPr="004A0AF4">
        <w:rPr>
          <w:rFonts w:cs="Arial"/>
        </w:rPr>
        <w:t>long-term</w:t>
      </w:r>
      <w:r w:rsidRPr="004A0AF4">
        <w:rPr>
          <w:rFonts w:cs="Arial"/>
        </w:rPr>
        <w:t xml:space="preserve"> price paths for gravity and diversion specific pricing outcomes.</w:t>
      </w:r>
    </w:p>
    <w:p w14:paraId="7B753998" w14:textId="77777777" w:rsidR="00306D8F" w:rsidRPr="00A21526" w:rsidRDefault="00306D8F" w:rsidP="00306D8F">
      <w:pPr>
        <w:jc w:val="both"/>
        <w:rPr>
          <w:rFonts w:cs="Arial"/>
          <w:color w:val="FF0000"/>
        </w:rPr>
      </w:pPr>
      <w:r w:rsidRPr="004A0AF4">
        <w:rPr>
          <w:rFonts w:cs="Arial"/>
        </w:rPr>
        <w:t>GMW has used various forms of communication to inform other customers and stakeholders on the ESC Final Decision and Price Determination made in June 20</w:t>
      </w:r>
      <w:r w:rsidR="00F74776" w:rsidRPr="004A0AF4">
        <w:rPr>
          <w:rFonts w:cs="Arial"/>
        </w:rPr>
        <w:t>20</w:t>
      </w:r>
      <w:r w:rsidRPr="004A0AF4">
        <w:rPr>
          <w:rFonts w:cs="Arial"/>
        </w:rPr>
        <w:t>. In relation to preparation towards GMW’s 202</w:t>
      </w:r>
      <w:r w:rsidR="00703835">
        <w:rPr>
          <w:rFonts w:cs="Arial"/>
        </w:rPr>
        <w:t>3</w:t>
      </w:r>
      <w:r w:rsidR="00533DF1" w:rsidRPr="004A0AF4">
        <w:rPr>
          <w:rFonts w:cs="Arial"/>
        </w:rPr>
        <w:t>/2</w:t>
      </w:r>
      <w:r w:rsidR="00703835">
        <w:rPr>
          <w:rFonts w:cs="Arial"/>
        </w:rPr>
        <w:t>4</w:t>
      </w:r>
      <w:r w:rsidRPr="004A0AF4">
        <w:rPr>
          <w:rFonts w:cs="Arial"/>
        </w:rPr>
        <w:t xml:space="preserve"> Annual Price Review</w:t>
      </w:r>
      <w:r w:rsidRPr="00A21526">
        <w:rPr>
          <w:rFonts w:cs="Arial"/>
        </w:rPr>
        <w:t xml:space="preserve"> </w:t>
      </w:r>
      <w:r w:rsidR="003466C5" w:rsidRPr="00A21526">
        <w:rPr>
          <w:rFonts w:cs="Arial"/>
        </w:rPr>
        <w:t>a</w:t>
      </w:r>
      <w:r w:rsidR="004A6B3C" w:rsidRPr="00A21526">
        <w:rPr>
          <w:rFonts w:cs="Arial"/>
        </w:rPr>
        <w:t>n Annual Price Review Pack was sent to WSCs requesting feedback and comments in late April.</w:t>
      </w:r>
    </w:p>
    <w:p w14:paraId="5B2F8350" w14:textId="77777777" w:rsidR="00306D8F" w:rsidRPr="004A0AF4" w:rsidRDefault="00306D8F" w:rsidP="00306D8F">
      <w:pPr>
        <w:jc w:val="both"/>
        <w:rPr>
          <w:rFonts w:cs="Arial"/>
        </w:rPr>
      </w:pPr>
      <w:r w:rsidRPr="004A0AF4">
        <w:rPr>
          <w:rFonts w:cs="Arial"/>
        </w:rPr>
        <w:t>GMW’s 202</w:t>
      </w:r>
      <w:r w:rsidR="00703835">
        <w:rPr>
          <w:rFonts w:cs="Arial"/>
        </w:rPr>
        <w:t>3/24</w:t>
      </w:r>
      <w:r w:rsidRPr="004A0AF4">
        <w:rPr>
          <w:rFonts w:cs="Arial"/>
        </w:rPr>
        <w:t xml:space="preserve"> proposed price adjustments align with the ESC’s Final Decision and Price Determination. As GMW has consulted extensively during the 2020 price </w:t>
      </w:r>
      <w:proofErr w:type="gramStart"/>
      <w:r w:rsidRPr="004A0AF4">
        <w:rPr>
          <w:rFonts w:cs="Arial"/>
        </w:rPr>
        <w:t>review, and</w:t>
      </w:r>
      <w:proofErr w:type="gramEnd"/>
      <w:r w:rsidRPr="004A0AF4">
        <w:rPr>
          <w:rFonts w:cs="Arial"/>
        </w:rPr>
        <w:t xml:space="preserve"> given the revenue cap and related price limit regulations, extensive consultation was not considered necessary for this annual price review.</w:t>
      </w:r>
    </w:p>
    <w:p w14:paraId="48CD8115" w14:textId="77777777" w:rsidR="00306D8F" w:rsidRPr="00612011" w:rsidRDefault="00D13803" w:rsidP="00D13803">
      <w:pPr>
        <w:jc w:val="both"/>
        <w:rPr>
          <w:rFonts w:eastAsiaTheme="majorEastAsia" w:cs="Arial"/>
          <w:b/>
          <w:bCs/>
          <w:kern w:val="32"/>
          <w:sz w:val="32"/>
          <w:szCs w:val="32"/>
          <w:highlight w:val="yellow"/>
        </w:rPr>
      </w:pPr>
      <w:r w:rsidRPr="002F3179">
        <w:t xml:space="preserve">During 2021/22 and 2022/23 GMW conducted an extensive engagement program with WSCs, and its broader customer base to receive feedback on a range of topics </w:t>
      </w:r>
      <w:r w:rsidR="00A966D2" w:rsidRPr="002F3179">
        <w:rPr>
          <w:rFonts w:cs="Arial"/>
        </w:rPr>
        <w:t xml:space="preserve">including </w:t>
      </w:r>
      <w:r w:rsidRPr="002F3179">
        <w:t>pricing, service standards and maintenance levels as part of the development of the suite of Service Plans. The feedback from these Service Plans has identified the issues of highest importance to customers and opportunities for service improvements and efficiencies. With the focus now on the 2024-28 Pricing Submission, GMW is exploring these issues and opportunities in more detail with our customers. GMW is working through a broad ranging engagement plan for the next Pricing Submission which has included redeveloping its website to an AA accessibility rating and creating a new online engagement hub to consult on our services and prices.</w:t>
      </w:r>
      <w:r w:rsidRPr="00D13803">
        <w:t xml:space="preserve">  </w:t>
      </w:r>
      <w:r w:rsidR="00306D8F" w:rsidRPr="00612011">
        <w:rPr>
          <w:rFonts w:cs="Arial"/>
          <w:highlight w:val="yellow"/>
        </w:rPr>
        <w:br w:type="page"/>
      </w:r>
    </w:p>
    <w:p w14:paraId="0EDDE77C" w14:textId="77777777" w:rsidR="00306D8F" w:rsidRPr="004A0AF4" w:rsidRDefault="00306D8F" w:rsidP="00306D8F">
      <w:pPr>
        <w:pStyle w:val="Heading1"/>
        <w:rPr>
          <w:rFonts w:cs="Arial"/>
        </w:rPr>
      </w:pPr>
      <w:bookmarkStart w:id="46" w:name="_Toc481579044"/>
      <w:bookmarkStart w:id="47" w:name="_Toc134012437"/>
      <w:r w:rsidRPr="004A0AF4">
        <w:rPr>
          <w:rFonts w:cs="Arial"/>
        </w:rPr>
        <w:lastRenderedPageBreak/>
        <w:t>Appendix 1: Annual Price Review - Indicative Timeline</w:t>
      </w:r>
      <w:bookmarkEnd w:id="46"/>
      <w:bookmarkEnd w:id="47"/>
    </w:p>
    <w:p w14:paraId="72064641" w14:textId="77777777" w:rsidR="00306D8F" w:rsidRPr="004A0AF4" w:rsidRDefault="00306D8F" w:rsidP="00306D8F">
      <w:pPr>
        <w:rPr>
          <w:rFonts w:cs="Arial"/>
        </w:rPr>
      </w:pPr>
    </w:p>
    <w:p w14:paraId="75C20D04" w14:textId="77777777" w:rsidR="00D05C9A" w:rsidRDefault="00306D8F" w:rsidP="00306D8F">
      <w:pPr>
        <w:rPr>
          <w:rFonts w:cs="Arial"/>
        </w:rPr>
      </w:pPr>
      <w:r w:rsidRPr="004A0AF4">
        <w:rPr>
          <w:rFonts w:cs="Arial"/>
        </w:rPr>
        <w:t>The following table sets out the key dates for GMW’s annual price review for 202</w:t>
      </w:r>
      <w:r w:rsidR="00CD6FE6" w:rsidRPr="004A0AF4">
        <w:rPr>
          <w:rFonts w:cs="Arial"/>
        </w:rPr>
        <w:t>2/23</w:t>
      </w:r>
      <w:r w:rsidR="00280F3A">
        <w:rPr>
          <w:rFonts w:cs="Arial"/>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285"/>
        <w:gridCol w:w="2127"/>
      </w:tblGrid>
      <w:tr w:rsidR="00D05C9A" w:rsidRPr="00612011" w14:paraId="2827D090" w14:textId="77777777" w:rsidTr="00E63F9C">
        <w:tc>
          <w:tcPr>
            <w:tcW w:w="1406" w:type="dxa"/>
            <w:vAlign w:val="center"/>
          </w:tcPr>
          <w:p w14:paraId="307A57C0" w14:textId="77777777" w:rsidR="00D05C9A" w:rsidRPr="00B16F52" w:rsidRDefault="00D05C9A" w:rsidP="00E63F9C">
            <w:pPr>
              <w:jc w:val="center"/>
              <w:rPr>
                <w:rFonts w:cs="Arial"/>
                <w:b/>
                <w:szCs w:val="20"/>
              </w:rPr>
            </w:pPr>
            <w:r w:rsidRPr="00B16F52">
              <w:rPr>
                <w:rFonts w:cs="Arial"/>
                <w:b/>
                <w:szCs w:val="20"/>
              </w:rPr>
              <w:t>Responsible</w:t>
            </w:r>
          </w:p>
        </w:tc>
        <w:tc>
          <w:tcPr>
            <w:tcW w:w="5285" w:type="dxa"/>
            <w:vAlign w:val="center"/>
          </w:tcPr>
          <w:p w14:paraId="60853FFB" w14:textId="77777777" w:rsidR="00D05C9A" w:rsidRPr="00B16F52" w:rsidRDefault="00D05C9A" w:rsidP="00E63F9C">
            <w:pPr>
              <w:jc w:val="center"/>
              <w:rPr>
                <w:rFonts w:cs="Arial"/>
                <w:b/>
                <w:szCs w:val="20"/>
              </w:rPr>
            </w:pPr>
            <w:r w:rsidRPr="00B16F52">
              <w:rPr>
                <w:rFonts w:cs="Arial"/>
                <w:b/>
                <w:szCs w:val="20"/>
              </w:rPr>
              <w:t>Activity</w:t>
            </w:r>
          </w:p>
        </w:tc>
        <w:tc>
          <w:tcPr>
            <w:tcW w:w="2127" w:type="dxa"/>
            <w:vAlign w:val="center"/>
          </w:tcPr>
          <w:p w14:paraId="72F47B37" w14:textId="77777777" w:rsidR="00D05C9A" w:rsidRPr="00B16F52" w:rsidRDefault="00D05C9A" w:rsidP="00E63F9C">
            <w:pPr>
              <w:jc w:val="center"/>
              <w:rPr>
                <w:rFonts w:cs="Arial"/>
                <w:b/>
                <w:szCs w:val="20"/>
              </w:rPr>
            </w:pPr>
            <w:r w:rsidRPr="00B16F52">
              <w:rPr>
                <w:rFonts w:cs="Arial"/>
                <w:b/>
                <w:szCs w:val="20"/>
              </w:rPr>
              <w:t>Date</w:t>
            </w:r>
          </w:p>
        </w:tc>
      </w:tr>
      <w:tr w:rsidR="00D05C9A" w:rsidRPr="00612011" w14:paraId="3E05CC51" w14:textId="77777777" w:rsidTr="00E63F9C">
        <w:tc>
          <w:tcPr>
            <w:tcW w:w="1406" w:type="dxa"/>
            <w:vAlign w:val="center"/>
          </w:tcPr>
          <w:p w14:paraId="1A78E73A" w14:textId="77777777" w:rsidR="00D05C9A" w:rsidRPr="00A21526" w:rsidRDefault="00D05C9A" w:rsidP="00E63F9C">
            <w:pPr>
              <w:rPr>
                <w:rFonts w:cs="Arial"/>
                <w:szCs w:val="20"/>
              </w:rPr>
            </w:pPr>
            <w:r w:rsidRPr="00A21526">
              <w:rPr>
                <w:rFonts w:cs="Arial"/>
                <w:szCs w:val="20"/>
              </w:rPr>
              <w:t>ABS</w:t>
            </w:r>
          </w:p>
        </w:tc>
        <w:tc>
          <w:tcPr>
            <w:tcW w:w="5285" w:type="dxa"/>
            <w:vAlign w:val="center"/>
          </w:tcPr>
          <w:p w14:paraId="2B4B576A" w14:textId="77777777" w:rsidR="00D05C9A" w:rsidRPr="00A21526" w:rsidRDefault="00D05C9A" w:rsidP="00E63F9C">
            <w:pPr>
              <w:rPr>
                <w:rFonts w:cs="Arial"/>
                <w:szCs w:val="20"/>
              </w:rPr>
            </w:pPr>
            <w:r w:rsidRPr="00A21526">
              <w:rPr>
                <w:rFonts w:cs="Arial"/>
                <w:szCs w:val="20"/>
              </w:rPr>
              <w:t>CPI released</w:t>
            </w:r>
          </w:p>
        </w:tc>
        <w:tc>
          <w:tcPr>
            <w:tcW w:w="2127" w:type="dxa"/>
            <w:vAlign w:val="center"/>
          </w:tcPr>
          <w:p w14:paraId="046551F5" w14:textId="77777777" w:rsidR="00D05C9A" w:rsidRPr="00A21526" w:rsidRDefault="00D05C9A" w:rsidP="00706E0B">
            <w:pPr>
              <w:jc w:val="center"/>
              <w:rPr>
                <w:rFonts w:cs="Arial"/>
                <w:szCs w:val="20"/>
              </w:rPr>
            </w:pPr>
            <w:r w:rsidRPr="00A21526">
              <w:rPr>
                <w:rFonts w:cs="Arial"/>
                <w:szCs w:val="20"/>
              </w:rPr>
              <w:t>2</w:t>
            </w:r>
            <w:r w:rsidR="00706E0B">
              <w:rPr>
                <w:rFonts w:cs="Arial"/>
                <w:szCs w:val="20"/>
              </w:rPr>
              <w:t>6</w:t>
            </w:r>
            <w:r w:rsidRPr="00A21526">
              <w:rPr>
                <w:rFonts w:cs="Arial"/>
                <w:szCs w:val="20"/>
              </w:rPr>
              <w:t xml:space="preserve"> April 202</w:t>
            </w:r>
            <w:r w:rsidR="00706E0B">
              <w:rPr>
                <w:rFonts w:cs="Arial"/>
                <w:szCs w:val="20"/>
              </w:rPr>
              <w:t>3</w:t>
            </w:r>
          </w:p>
        </w:tc>
      </w:tr>
      <w:tr w:rsidR="00D05C9A" w:rsidRPr="00612011" w14:paraId="760E5D22" w14:textId="77777777" w:rsidTr="00E63F9C">
        <w:tc>
          <w:tcPr>
            <w:tcW w:w="1406" w:type="dxa"/>
            <w:vAlign w:val="center"/>
          </w:tcPr>
          <w:p w14:paraId="7F7C0E9F" w14:textId="77777777" w:rsidR="00D05C9A" w:rsidRPr="00A21526" w:rsidRDefault="00D05C9A" w:rsidP="00E63F9C">
            <w:pPr>
              <w:rPr>
                <w:rFonts w:cs="Arial"/>
                <w:szCs w:val="20"/>
              </w:rPr>
            </w:pPr>
            <w:r w:rsidRPr="00A21526">
              <w:rPr>
                <w:rFonts w:cs="Arial"/>
                <w:szCs w:val="20"/>
              </w:rPr>
              <w:t>Board</w:t>
            </w:r>
          </w:p>
        </w:tc>
        <w:tc>
          <w:tcPr>
            <w:tcW w:w="5285" w:type="dxa"/>
            <w:vAlign w:val="center"/>
          </w:tcPr>
          <w:p w14:paraId="5549E9BD" w14:textId="77777777" w:rsidR="00D05C9A" w:rsidRPr="00A21526" w:rsidRDefault="00703835" w:rsidP="000D7147">
            <w:pPr>
              <w:rPr>
                <w:rFonts w:cs="Arial"/>
                <w:szCs w:val="20"/>
              </w:rPr>
            </w:pPr>
            <w:r>
              <w:rPr>
                <w:rFonts w:cs="Arial"/>
                <w:szCs w:val="20"/>
              </w:rPr>
              <w:t>Approved 23</w:t>
            </w:r>
            <w:r w:rsidR="00D05C9A" w:rsidRPr="00A21526">
              <w:rPr>
                <w:rFonts w:cs="Arial"/>
                <w:szCs w:val="20"/>
              </w:rPr>
              <w:t>/2</w:t>
            </w:r>
            <w:r>
              <w:rPr>
                <w:rFonts w:cs="Arial"/>
                <w:szCs w:val="20"/>
              </w:rPr>
              <w:t>4</w:t>
            </w:r>
            <w:r w:rsidR="000D7147">
              <w:rPr>
                <w:rFonts w:cs="Arial"/>
                <w:szCs w:val="20"/>
              </w:rPr>
              <w:t xml:space="preserve"> Annual Price Review</w:t>
            </w:r>
          </w:p>
        </w:tc>
        <w:tc>
          <w:tcPr>
            <w:tcW w:w="2127" w:type="dxa"/>
            <w:vAlign w:val="center"/>
          </w:tcPr>
          <w:p w14:paraId="0F98DACB" w14:textId="77777777" w:rsidR="00D05C9A" w:rsidRPr="00A21526" w:rsidRDefault="00D05C9A" w:rsidP="00193780">
            <w:pPr>
              <w:jc w:val="center"/>
              <w:rPr>
                <w:rFonts w:cs="Arial"/>
                <w:szCs w:val="20"/>
              </w:rPr>
            </w:pPr>
            <w:r w:rsidRPr="00A21526">
              <w:rPr>
                <w:rFonts w:cs="Arial"/>
                <w:szCs w:val="20"/>
              </w:rPr>
              <w:t xml:space="preserve"> </w:t>
            </w:r>
            <w:r w:rsidRPr="00506D1F">
              <w:rPr>
                <w:rFonts w:cs="Arial"/>
                <w:szCs w:val="20"/>
              </w:rPr>
              <w:t>2</w:t>
            </w:r>
            <w:r w:rsidR="00BE458C" w:rsidRPr="00506D1F">
              <w:rPr>
                <w:rFonts w:cs="Arial"/>
                <w:szCs w:val="20"/>
              </w:rPr>
              <w:t>6</w:t>
            </w:r>
            <w:r w:rsidRPr="00506D1F">
              <w:rPr>
                <w:rFonts w:cs="Arial"/>
                <w:szCs w:val="20"/>
              </w:rPr>
              <w:t xml:space="preserve"> April 202</w:t>
            </w:r>
            <w:r w:rsidR="00193780" w:rsidRPr="00506D1F">
              <w:rPr>
                <w:rFonts w:cs="Arial"/>
                <w:szCs w:val="20"/>
              </w:rPr>
              <w:t>3</w:t>
            </w:r>
          </w:p>
        </w:tc>
      </w:tr>
      <w:tr w:rsidR="00D05C9A" w:rsidRPr="00612011" w14:paraId="6C7EBACB" w14:textId="77777777" w:rsidTr="00E63F9C">
        <w:tc>
          <w:tcPr>
            <w:tcW w:w="1406" w:type="dxa"/>
            <w:vAlign w:val="center"/>
          </w:tcPr>
          <w:p w14:paraId="2017D4D1" w14:textId="77777777" w:rsidR="00D05C9A" w:rsidRPr="00A21526" w:rsidRDefault="00D05C9A" w:rsidP="00E63F9C">
            <w:pPr>
              <w:rPr>
                <w:rFonts w:cs="Arial"/>
                <w:szCs w:val="20"/>
              </w:rPr>
            </w:pPr>
            <w:r w:rsidRPr="00A21526">
              <w:rPr>
                <w:rFonts w:cs="Arial"/>
                <w:szCs w:val="20"/>
              </w:rPr>
              <w:t xml:space="preserve">GMW </w:t>
            </w:r>
          </w:p>
        </w:tc>
        <w:tc>
          <w:tcPr>
            <w:tcW w:w="5285" w:type="dxa"/>
            <w:vAlign w:val="center"/>
          </w:tcPr>
          <w:p w14:paraId="4D4C2C51" w14:textId="77777777" w:rsidR="00D05C9A" w:rsidRPr="00A21526" w:rsidRDefault="00D05C9A" w:rsidP="00E63F9C">
            <w:pPr>
              <w:rPr>
                <w:rFonts w:cs="Arial"/>
                <w:szCs w:val="20"/>
              </w:rPr>
            </w:pPr>
            <w:r w:rsidRPr="00A21526">
              <w:rPr>
                <w:rFonts w:cs="Arial"/>
                <w:szCs w:val="20"/>
              </w:rPr>
              <w:t>Consult WSCs on APR, based on draft proposal</w:t>
            </w:r>
          </w:p>
        </w:tc>
        <w:tc>
          <w:tcPr>
            <w:tcW w:w="2127" w:type="dxa"/>
            <w:vAlign w:val="center"/>
          </w:tcPr>
          <w:p w14:paraId="7E4D09D2" w14:textId="77777777" w:rsidR="00D05C9A" w:rsidRPr="00A21526" w:rsidRDefault="002811FB" w:rsidP="002811FB">
            <w:pPr>
              <w:jc w:val="center"/>
              <w:rPr>
                <w:rFonts w:cs="Arial"/>
                <w:szCs w:val="20"/>
              </w:rPr>
            </w:pPr>
            <w:r>
              <w:rPr>
                <w:rFonts w:cs="Arial"/>
                <w:szCs w:val="20"/>
              </w:rPr>
              <w:t>4</w:t>
            </w:r>
            <w:r w:rsidR="00506D1F" w:rsidRPr="00506D1F">
              <w:rPr>
                <w:rFonts w:cs="Arial"/>
                <w:szCs w:val="20"/>
              </w:rPr>
              <w:t xml:space="preserve"> May </w:t>
            </w:r>
            <w:r w:rsidR="00D05C9A" w:rsidRPr="00506D1F">
              <w:rPr>
                <w:rFonts w:cs="Arial"/>
                <w:szCs w:val="20"/>
              </w:rPr>
              <w:t>202</w:t>
            </w:r>
            <w:r w:rsidR="00193780" w:rsidRPr="00506D1F">
              <w:rPr>
                <w:rFonts w:cs="Arial"/>
                <w:szCs w:val="20"/>
              </w:rPr>
              <w:t>3</w:t>
            </w:r>
          </w:p>
        </w:tc>
      </w:tr>
      <w:tr w:rsidR="00D05C9A" w:rsidRPr="00612011" w14:paraId="73BF2586" w14:textId="77777777" w:rsidTr="00E63F9C">
        <w:tc>
          <w:tcPr>
            <w:tcW w:w="1406" w:type="dxa"/>
            <w:vAlign w:val="center"/>
          </w:tcPr>
          <w:p w14:paraId="54D0E12D" w14:textId="77777777" w:rsidR="00D05C9A" w:rsidRPr="00A21526" w:rsidRDefault="00D05C9A" w:rsidP="00E63F9C">
            <w:pPr>
              <w:rPr>
                <w:rFonts w:cs="Arial"/>
                <w:szCs w:val="20"/>
              </w:rPr>
            </w:pPr>
            <w:r w:rsidRPr="00A21526">
              <w:rPr>
                <w:rFonts w:cs="Arial"/>
                <w:szCs w:val="20"/>
              </w:rPr>
              <w:t xml:space="preserve">GMW </w:t>
            </w:r>
          </w:p>
        </w:tc>
        <w:tc>
          <w:tcPr>
            <w:tcW w:w="5285" w:type="dxa"/>
            <w:vAlign w:val="center"/>
          </w:tcPr>
          <w:p w14:paraId="6C5B56AF" w14:textId="77777777" w:rsidR="00D05C9A" w:rsidRPr="00A21526" w:rsidRDefault="00D05C9A" w:rsidP="00E63F9C">
            <w:pPr>
              <w:rPr>
                <w:rFonts w:cs="Arial"/>
                <w:szCs w:val="20"/>
              </w:rPr>
            </w:pPr>
            <w:r w:rsidRPr="00A21526">
              <w:rPr>
                <w:rFonts w:cs="Arial"/>
                <w:szCs w:val="20"/>
              </w:rPr>
              <w:t>Submit Annual Price Review application to ESC</w:t>
            </w:r>
          </w:p>
        </w:tc>
        <w:tc>
          <w:tcPr>
            <w:tcW w:w="2127" w:type="dxa"/>
            <w:vAlign w:val="center"/>
          </w:tcPr>
          <w:p w14:paraId="07196187" w14:textId="77777777" w:rsidR="00D05C9A" w:rsidRPr="00A21526" w:rsidRDefault="00D05C9A" w:rsidP="00A3116A">
            <w:pPr>
              <w:jc w:val="center"/>
              <w:rPr>
                <w:rFonts w:cs="Arial"/>
                <w:szCs w:val="20"/>
              </w:rPr>
            </w:pPr>
            <w:r w:rsidRPr="00A21526">
              <w:rPr>
                <w:rFonts w:cs="Arial"/>
                <w:szCs w:val="20"/>
              </w:rPr>
              <w:t>4 May 202</w:t>
            </w:r>
            <w:r w:rsidR="00A3116A">
              <w:rPr>
                <w:rFonts w:cs="Arial"/>
                <w:szCs w:val="20"/>
              </w:rPr>
              <w:t>3</w:t>
            </w:r>
          </w:p>
        </w:tc>
      </w:tr>
      <w:tr w:rsidR="00D05C9A" w:rsidRPr="00612011" w14:paraId="7F52DFB0" w14:textId="77777777" w:rsidTr="00E63F9C">
        <w:tc>
          <w:tcPr>
            <w:tcW w:w="1406" w:type="dxa"/>
            <w:vAlign w:val="center"/>
          </w:tcPr>
          <w:p w14:paraId="070F6957" w14:textId="77777777" w:rsidR="00D05C9A" w:rsidRPr="00A21526" w:rsidRDefault="00D05C9A" w:rsidP="00E63F9C">
            <w:pPr>
              <w:rPr>
                <w:rFonts w:cs="Arial"/>
                <w:szCs w:val="20"/>
              </w:rPr>
            </w:pPr>
            <w:r w:rsidRPr="00A21526">
              <w:rPr>
                <w:rFonts w:cs="Arial"/>
                <w:szCs w:val="20"/>
              </w:rPr>
              <w:t>ESC</w:t>
            </w:r>
          </w:p>
        </w:tc>
        <w:tc>
          <w:tcPr>
            <w:tcW w:w="5285" w:type="dxa"/>
            <w:vAlign w:val="center"/>
          </w:tcPr>
          <w:p w14:paraId="7548D232" w14:textId="77777777" w:rsidR="00D05C9A" w:rsidRPr="00A21526" w:rsidRDefault="00D05C9A" w:rsidP="00E63F9C">
            <w:pPr>
              <w:rPr>
                <w:rFonts w:cs="Arial"/>
                <w:szCs w:val="20"/>
              </w:rPr>
            </w:pPr>
            <w:r w:rsidRPr="00A21526">
              <w:rPr>
                <w:rFonts w:cs="Arial"/>
                <w:szCs w:val="20"/>
              </w:rPr>
              <w:t>ESC approval of Annual Price Review (Target)</w:t>
            </w:r>
          </w:p>
        </w:tc>
        <w:tc>
          <w:tcPr>
            <w:tcW w:w="2127" w:type="dxa"/>
            <w:vAlign w:val="center"/>
          </w:tcPr>
          <w:p w14:paraId="05B4ACB9" w14:textId="77777777" w:rsidR="00D05C9A" w:rsidRPr="001B44EF" w:rsidRDefault="000D7147" w:rsidP="000D7147">
            <w:pPr>
              <w:jc w:val="center"/>
              <w:rPr>
                <w:rFonts w:cs="Arial"/>
                <w:szCs w:val="20"/>
              </w:rPr>
            </w:pPr>
            <w:r>
              <w:rPr>
                <w:rFonts w:cs="Arial"/>
                <w:szCs w:val="20"/>
              </w:rPr>
              <w:t>22</w:t>
            </w:r>
            <w:r w:rsidR="00D05C9A" w:rsidRPr="001B44EF">
              <w:rPr>
                <w:rFonts w:cs="Arial"/>
                <w:szCs w:val="20"/>
              </w:rPr>
              <w:t xml:space="preserve"> May 202</w:t>
            </w:r>
            <w:r w:rsidR="00A3116A" w:rsidRPr="001B44EF">
              <w:rPr>
                <w:rFonts w:cs="Arial"/>
                <w:szCs w:val="20"/>
              </w:rPr>
              <w:t>3</w:t>
            </w:r>
          </w:p>
        </w:tc>
      </w:tr>
      <w:tr w:rsidR="00D05C9A" w:rsidRPr="00612011" w14:paraId="052A8E13" w14:textId="77777777" w:rsidTr="00E63F9C">
        <w:tc>
          <w:tcPr>
            <w:tcW w:w="1406" w:type="dxa"/>
            <w:vAlign w:val="center"/>
          </w:tcPr>
          <w:p w14:paraId="295C62C4" w14:textId="77777777" w:rsidR="00D05C9A" w:rsidRPr="00A21526" w:rsidRDefault="00D05C9A" w:rsidP="00E63F9C">
            <w:pPr>
              <w:rPr>
                <w:rFonts w:cs="Arial"/>
                <w:szCs w:val="20"/>
              </w:rPr>
            </w:pPr>
            <w:r w:rsidRPr="00A21526">
              <w:rPr>
                <w:rFonts w:cs="Arial"/>
                <w:szCs w:val="20"/>
              </w:rPr>
              <w:t>GMW</w:t>
            </w:r>
          </w:p>
        </w:tc>
        <w:tc>
          <w:tcPr>
            <w:tcW w:w="5285" w:type="dxa"/>
            <w:vAlign w:val="center"/>
          </w:tcPr>
          <w:p w14:paraId="5845CE8C" w14:textId="77777777" w:rsidR="00D05C9A" w:rsidRPr="00A21526" w:rsidRDefault="00D05C9A" w:rsidP="00E63F9C">
            <w:pPr>
              <w:rPr>
                <w:rFonts w:cs="Arial"/>
                <w:szCs w:val="20"/>
              </w:rPr>
            </w:pPr>
            <w:r w:rsidRPr="00A21526">
              <w:rPr>
                <w:rFonts w:cs="Arial"/>
                <w:szCs w:val="20"/>
              </w:rPr>
              <w:t xml:space="preserve">Provide artwork to printers and mail house </w:t>
            </w:r>
            <w:proofErr w:type="gramStart"/>
            <w:r w:rsidRPr="00A21526">
              <w:rPr>
                <w:rFonts w:cs="Arial"/>
                <w:szCs w:val="20"/>
              </w:rPr>
              <w:t>in order to</w:t>
            </w:r>
            <w:proofErr w:type="gramEnd"/>
            <w:r w:rsidRPr="00A21526">
              <w:rPr>
                <w:rFonts w:cs="Arial"/>
                <w:szCs w:val="20"/>
              </w:rPr>
              <w:t xml:space="preserve"> meet deadline to provide Price Lists to Customers</w:t>
            </w:r>
          </w:p>
        </w:tc>
        <w:tc>
          <w:tcPr>
            <w:tcW w:w="2127" w:type="dxa"/>
            <w:vAlign w:val="center"/>
          </w:tcPr>
          <w:p w14:paraId="0911A66E" w14:textId="77777777" w:rsidR="00D05C9A" w:rsidRPr="001B44EF" w:rsidRDefault="00A3116A" w:rsidP="00E63F9C">
            <w:pPr>
              <w:jc w:val="center"/>
              <w:rPr>
                <w:rFonts w:cs="Arial"/>
                <w:szCs w:val="20"/>
              </w:rPr>
            </w:pPr>
            <w:r w:rsidRPr="001B44EF">
              <w:rPr>
                <w:rFonts w:cs="Arial"/>
                <w:szCs w:val="20"/>
              </w:rPr>
              <w:t>23 May 2023</w:t>
            </w:r>
          </w:p>
        </w:tc>
      </w:tr>
      <w:tr w:rsidR="00D05C9A" w:rsidRPr="00612011" w14:paraId="15F78B0E" w14:textId="77777777" w:rsidTr="00E63F9C">
        <w:tc>
          <w:tcPr>
            <w:tcW w:w="1406" w:type="dxa"/>
            <w:vAlign w:val="center"/>
          </w:tcPr>
          <w:p w14:paraId="4C9926A6" w14:textId="77777777" w:rsidR="00D05C9A" w:rsidRPr="00A21526" w:rsidRDefault="00D05C9A" w:rsidP="00E63F9C">
            <w:pPr>
              <w:rPr>
                <w:rFonts w:cs="Arial"/>
                <w:szCs w:val="20"/>
              </w:rPr>
            </w:pPr>
            <w:r w:rsidRPr="00A21526">
              <w:rPr>
                <w:rFonts w:cs="Arial"/>
                <w:szCs w:val="20"/>
              </w:rPr>
              <w:t xml:space="preserve">GMW </w:t>
            </w:r>
          </w:p>
        </w:tc>
        <w:tc>
          <w:tcPr>
            <w:tcW w:w="5285" w:type="dxa"/>
            <w:vAlign w:val="center"/>
          </w:tcPr>
          <w:p w14:paraId="2A6C8D8A" w14:textId="77777777" w:rsidR="00D05C9A" w:rsidRPr="00A21526" w:rsidRDefault="00D05C9A" w:rsidP="00E63F9C">
            <w:pPr>
              <w:rPr>
                <w:rFonts w:cs="Arial"/>
                <w:szCs w:val="20"/>
              </w:rPr>
            </w:pPr>
            <w:r w:rsidRPr="00A21526">
              <w:rPr>
                <w:rFonts w:cs="Arial"/>
                <w:szCs w:val="20"/>
              </w:rPr>
              <w:t xml:space="preserve">Send Price Lists to customers, </w:t>
            </w:r>
            <w:proofErr w:type="gramStart"/>
            <w:r w:rsidRPr="00A21526">
              <w:rPr>
                <w:rFonts w:cs="Arial"/>
                <w:szCs w:val="20"/>
              </w:rPr>
              <w:t>Publish</w:t>
            </w:r>
            <w:proofErr w:type="gramEnd"/>
            <w:r w:rsidRPr="00A21526">
              <w:rPr>
                <w:rFonts w:cs="Arial"/>
                <w:szCs w:val="20"/>
              </w:rPr>
              <w:t xml:space="preserve"> tariffs in newspapers, Update GMW website and press release </w:t>
            </w:r>
          </w:p>
        </w:tc>
        <w:tc>
          <w:tcPr>
            <w:tcW w:w="2127" w:type="dxa"/>
            <w:vAlign w:val="center"/>
          </w:tcPr>
          <w:p w14:paraId="217EBBCE" w14:textId="77777777" w:rsidR="00D05C9A" w:rsidRPr="001B44EF" w:rsidRDefault="00A3116A" w:rsidP="00E63F9C">
            <w:pPr>
              <w:jc w:val="center"/>
              <w:rPr>
                <w:rFonts w:cs="Arial"/>
                <w:szCs w:val="20"/>
              </w:rPr>
            </w:pPr>
            <w:r w:rsidRPr="001B44EF">
              <w:rPr>
                <w:rFonts w:cs="Arial"/>
                <w:szCs w:val="20"/>
              </w:rPr>
              <w:t>By 26 May 2023</w:t>
            </w:r>
            <w:r w:rsidR="00D05C9A" w:rsidRPr="001B44EF">
              <w:rPr>
                <w:rFonts w:cs="Arial"/>
                <w:szCs w:val="20"/>
              </w:rPr>
              <w:t xml:space="preserve"> </w:t>
            </w:r>
          </w:p>
        </w:tc>
      </w:tr>
      <w:tr w:rsidR="00D05C9A" w:rsidRPr="00482D71" w14:paraId="54196EFB" w14:textId="77777777" w:rsidTr="00E63F9C">
        <w:tc>
          <w:tcPr>
            <w:tcW w:w="1406" w:type="dxa"/>
            <w:vAlign w:val="center"/>
          </w:tcPr>
          <w:p w14:paraId="549E5AEC" w14:textId="77777777" w:rsidR="00D05C9A" w:rsidRPr="00A21526" w:rsidRDefault="00D05C9A" w:rsidP="00E63F9C">
            <w:pPr>
              <w:rPr>
                <w:rFonts w:cs="Arial"/>
                <w:szCs w:val="20"/>
              </w:rPr>
            </w:pPr>
            <w:r w:rsidRPr="00A21526">
              <w:rPr>
                <w:rFonts w:cs="Arial"/>
                <w:szCs w:val="20"/>
              </w:rPr>
              <w:t xml:space="preserve">GMW </w:t>
            </w:r>
          </w:p>
        </w:tc>
        <w:tc>
          <w:tcPr>
            <w:tcW w:w="5285" w:type="dxa"/>
            <w:vAlign w:val="center"/>
          </w:tcPr>
          <w:p w14:paraId="5A12EA79" w14:textId="77777777" w:rsidR="00D05C9A" w:rsidRPr="00A21526" w:rsidRDefault="00D05C9A" w:rsidP="00E63F9C">
            <w:pPr>
              <w:rPr>
                <w:rFonts w:cs="Arial"/>
                <w:szCs w:val="20"/>
              </w:rPr>
            </w:pPr>
            <w:r w:rsidRPr="00A21526">
              <w:rPr>
                <w:rFonts w:cs="Arial"/>
                <w:szCs w:val="20"/>
              </w:rPr>
              <w:t>New charges come into effect</w:t>
            </w:r>
          </w:p>
        </w:tc>
        <w:tc>
          <w:tcPr>
            <w:tcW w:w="2127" w:type="dxa"/>
            <w:vAlign w:val="center"/>
          </w:tcPr>
          <w:p w14:paraId="22B9FC86" w14:textId="77777777" w:rsidR="00D05C9A" w:rsidRPr="001B44EF" w:rsidRDefault="00D05C9A" w:rsidP="00A3116A">
            <w:pPr>
              <w:jc w:val="center"/>
              <w:rPr>
                <w:rFonts w:cs="Arial"/>
                <w:szCs w:val="20"/>
              </w:rPr>
            </w:pPr>
            <w:r w:rsidRPr="001B44EF">
              <w:rPr>
                <w:rFonts w:cs="Arial"/>
                <w:szCs w:val="20"/>
              </w:rPr>
              <w:t>1 July 202</w:t>
            </w:r>
            <w:r w:rsidR="00A3116A" w:rsidRPr="001B44EF">
              <w:rPr>
                <w:rFonts w:cs="Arial"/>
                <w:szCs w:val="20"/>
              </w:rPr>
              <w:t>3</w:t>
            </w:r>
          </w:p>
        </w:tc>
      </w:tr>
    </w:tbl>
    <w:p w14:paraId="6EC365E7" w14:textId="77777777" w:rsidR="00306D8F" w:rsidRPr="004A0AF4" w:rsidRDefault="00306D8F" w:rsidP="00306D8F">
      <w:pPr>
        <w:rPr>
          <w:rFonts w:cs="Arial"/>
        </w:rPr>
      </w:pPr>
    </w:p>
    <w:sectPr w:rsidR="00306D8F" w:rsidRPr="004A0AF4" w:rsidSect="00CC1525">
      <w:footerReference w:type="default" r:id="rId22"/>
      <w:type w:val="continuous"/>
      <w:pgSz w:w="11906" w:h="16838"/>
      <w:pgMar w:top="1440" w:right="1800" w:bottom="1440" w:left="1800" w:header="72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EDA5" w14:textId="77777777" w:rsidR="007C7D05" w:rsidRDefault="007C7D05" w:rsidP="00290D6C">
      <w:pPr>
        <w:spacing w:after="0" w:line="240" w:lineRule="auto"/>
      </w:pPr>
      <w:r>
        <w:separator/>
      </w:r>
    </w:p>
  </w:endnote>
  <w:endnote w:type="continuationSeparator" w:id="0">
    <w:p w14:paraId="052F7012" w14:textId="77777777" w:rsidR="007C7D05" w:rsidRDefault="007C7D05" w:rsidP="0029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5692" w14:textId="77777777" w:rsidR="002811FB" w:rsidRDefault="00281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2B3D" w14:textId="77777777" w:rsidR="002811FB" w:rsidRDefault="00281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BC6A" w14:textId="77777777" w:rsidR="002811FB" w:rsidRDefault="002811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3F9F" w14:textId="77777777" w:rsidR="00DE0D26" w:rsidRDefault="00DE0D26">
    <w:pPr>
      <w:pStyle w:val="Footer"/>
      <w:jc w:val="center"/>
      <w:rPr>
        <w:color w:val="4F81BD" w:themeColor="accent1"/>
      </w:rPr>
    </w:pPr>
    <w:r>
      <w:rPr>
        <w:color w:val="4F81BD" w:themeColor="accent1"/>
      </w:rPr>
      <w:tab/>
    </w:r>
    <w:r>
      <w:rPr>
        <w:color w:val="4F81BD" w:themeColor="accent1"/>
      </w:rPr>
      <w:tab/>
    </w:r>
    <w:r w:rsidRPr="00CC1525">
      <w:t xml:space="preserve">Page </w:t>
    </w:r>
    <w:r w:rsidRPr="00CC1525">
      <w:fldChar w:fldCharType="begin"/>
    </w:r>
    <w:r w:rsidRPr="00CC1525">
      <w:instrText xml:space="preserve"> PAGE  \* Arabic  \* MERGEFORMAT </w:instrText>
    </w:r>
    <w:r w:rsidRPr="00CC1525">
      <w:fldChar w:fldCharType="separate"/>
    </w:r>
    <w:r w:rsidR="002811FB">
      <w:rPr>
        <w:noProof/>
      </w:rPr>
      <w:t>5</w:t>
    </w:r>
    <w:r w:rsidRPr="00CC1525">
      <w:fldChar w:fldCharType="end"/>
    </w:r>
    <w:r w:rsidRPr="00CC1525">
      <w:t xml:space="preserve"> of </w:t>
    </w:r>
    <w:fldSimple w:instr=" NUMPAGES  \* Arabic  \* MERGEFORMAT ">
      <w:r w:rsidR="002811FB">
        <w:rPr>
          <w:noProof/>
        </w:rPr>
        <w:t>24</w:t>
      </w:r>
    </w:fldSimple>
  </w:p>
  <w:p w14:paraId="219EA908" w14:textId="77777777" w:rsidR="00DE0D26" w:rsidRPr="008C3E8D" w:rsidRDefault="00DE0D26" w:rsidP="008C3E8D">
    <w:pPr>
      <w:pStyle w:val="Footer"/>
      <w:ind w:right="-1056"/>
      <w:jc w:val="right"/>
      <w:rPr>
        <w:rFonts w:ascii="Calibri" w:hAnsi="Calibri" w:cs="Calibri"/>
        <w:color w:val="404040" w:themeColor="text1" w:themeTint="B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490D" w14:textId="77777777" w:rsidR="00DE0D26" w:rsidRPr="00CC1525" w:rsidRDefault="00DE0D26">
    <w:pPr>
      <w:pStyle w:val="Footer"/>
      <w:jc w:val="center"/>
    </w:pPr>
    <w:r>
      <w:rPr>
        <w:color w:val="4F81BD" w:themeColor="accent1"/>
      </w:rPr>
      <w:tab/>
    </w:r>
    <w:r>
      <w:rPr>
        <w:color w:val="4F81BD" w:themeColor="accent1"/>
      </w:rPr>
      <w:tab/>
    </w:r>
    <w:r w:rsidRPr="00CC1525">
      <w:t xml:space="preserve">Page </w:t>
    </w:r>
    <w:r w:rsidRPr="00CC1525">
      <w:fldChar w:fldCharType="begin"/>
    </w:r>
    <w:r w:rsidRPr="00CC1525">
      <w:instrText xml:space="preserve"> PAGE  \* Arabic  \* MERGEFORMAT </w:instrText>
    </w:r>
    <w:r w:rsidRPr="00CC1525">
      <w:fldChar w:fldCharType="separate"/>
    </w:r>
    <w:r w:rsidR="002811FB">
      <w:rPr>
        <w:noProof/>
      </w:rPr>
      <w:t>21</w:t>
    </w:r>
    <w:r w:rsidRPr="00CC1525">
      <w:fldChar w:fldCharType="end"/>
    </w:r>
    <w:r w:rsidRPr="00CC1525">
      <w:t xml:space="preserve"> of </w:t>
    </w:r>
    <w:fldSimple w:instr=" NUMPAGES  \* Arabic  \* MERGEFORMAT ">
      <w:r w:rsidR="002811FB">
        <w:rPr>
          <w:noProof/>
        </w:rPr>
        <w:t>24</w:t>
      </w:r>
    </w:fldSimple>
  </w:p>
  <w:p w14:paraId="17CE2954" w14:textId="77777777" w:rsidR="00DE0D26" w:rsidRPr="008C3E8D" w:rsidRDefault="00DE0D26" w:rsidP="008C3E8D">
    <w:pPr>
      <w:pStyle w:val="Footer"/>
      <w:ind w:right="-1056"/>
      <w:jc w:val="right"/>
      <w:rPr>
        <w:rFonts w:ascii="Calibri" w:hAnsi="Calibri" w:cs="Calibri"/>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F5A8" w14:textId="77777777" w:rsidR="007C7D05" w:rsidRDefault="007C7D05" w:rsidP="00290D6C">
      <w:pPr>
        <w:spacing w:after="0" w:line="240" w:lineRule="auto"/>
      </w:pPr>
      <w:r>
        <w:separator/>
      </w:r>
    </w:p>
  </w:footnote>
  <w:footnote w:type="continuationSeparator" w:id="0">
    <w:p w14:paraId="458E675A" w14:textId="77777777" w:rsidR="007C7D05" w:rsidRDefault="007C7D05" w:rsidP="00290D6C">
      <w:pPr>
        <w:spacing w:after="0" w:line="240" w:lineRule="auto"/>
      </w:pPr>
      <w:r>
        <w:continuationSeparator/>
      </w:r>
    </w:p>
  </w:footnote>
  <w:footnote w:id="1">
    <w:p w14:paraId="0B891688" w14:textId="77777777" w:rsidR="00DE0D26" w:rsidRPr="00352AB8" w:rsidRDefault="00DE0D26" w:rsidP="00C21B35">
      <w:pPr>
        <w:pStyle w:val="FootnoteText"/>
        <w:rPr>
          <w:rFonts w:ascii="Arial" w:hAnsi="Arial" w:cs="Arial"/>
          <w:sz w:val="16"/>
          <w:szCs w:val="16"/>
        </w:rPr>
      </w:pPr>
      <w:r w:rsidRPr="00CC7DCA">
        <w:rPr>
          <w:rStyle w:val="FootnoteReference"/>
          <w:rFonts w:ascii="Arial" w:hAnsi="Arial" w:cs="Arial"/>
          <w:sz w:val="22"/>
          <w:szCs w:val="22"/>
        </w:rPr>
        <w:footnoteRef/>
      </w:r>
      <w:r w:rsidRPr="00CC7DCA">
        <w:rPr>
          <w:rFonts w:ascii="Arial" w:hAnsi="Arial" w:cs="Arial"/>
          <w:sz w:val="22"/>
          <w:szCs w:val="22"/>
        </w:rPr>
        <w:t xml:space="preserve"> </w:t>
      </w:r>
      <w:r>
        <w:rPr>
          <w:rFonts w:ascii="Arial" w:hAnsi="Arial" w:cs="Arial"/>
          <w:sz w:val="16"/>
          <w:szCs w:val="16"/>
        </w:rPr>
        <w:t>1 July 2020 amended to Water Charge Rules 2010.</w:t>
      </w:r>
    </w:p>
  </w:footnote>
  <w:footnote w:id="2">
    <w:p w14:paraId="2532101D" w14:textId="77777777" w:rsidR="00DE0D26" w:rsidRPr="001303A0" w:rsidRDefault="00DE0D26">
      <w:pPr>
        <w:pStyle w:val="FootnoteText"/>
        <w:rPr>
          <w:sz w:val="16"/>
          <w:szCs w:val="16"/>
        </w:rPr>
      </w:pPr>
      <w:r>
        <w:rPr>
          <w:rStyle w:val="FootnoteReference"/>
        </w:rPr>
        <w:footnoteRef/>
      </w:r>
      <w:r>
        <w:t xml:space="preserve"> </w:t>
      </w:r>
      <w:r w:rsidRPr="001303A0">
        <w:rPr>
          <w:sz w:val="16"/>
          <w:szCs w:val="16"/>
        </w:rPr>
        <w:t>These reductions are calculated on a revenue weighted average of price movements.</w:t>
      </w:r>
    </w:p>
  </w:footnote>
  <w:footnote w:id="3">
    <w:p w14:paraId="0CA0DE90" w14:textId="77777777" w:rsidR="00DE0D26" w:rsidRPr="003640EA" w:rsidRDefault="00DE0D26" w:rsidP="00306D8F">
      <w:pPr>
        <w:pStyle w:val="FootnoteText"/>
        <w:rPr>
          <w:rFonts w:ascii="Arial" w:hAnsi="Arial" w:cs="Arial"/>
          <w:sz w:val="16"/>
          <w:szCs w:val="16"/>
        </w:rPr>
      </w:pPr>
      <w:r w:rsidRPr="00223E9D">
        <w:rPr>
          <w:rStyle w:val="FootnoteReference"/>
          <w:rFonts w:ascii="Arial" w:hAnsi="Arial" w:cs="Arial"/>
          <w:sz w:val="22"/>
          <w:szCs w:val="16"/>
        </w:rPr>
        <w:footnoteRef/>
      </w:r>
      <w:r w:rsidRPr="00223E9D">
        <w:rPr>
          <w:rFonts w:ascii="Arial" w:hAnsi="Arial" w:cs="Arial"/>
          <w:sz w:val="22"/>
          <w:szCs w:val="16"/>
        </w:rPr>
        <w:t xml:space="preserve"> </w:t>
      </w:r>
      <w:r>
        <w:rPr>
          <w:rFonts w:ascii="Arial" w:hAnsi="Arial" w:cs="Arial"/>
          <w:sz w:val="16"/>
          <w:szCs w:val="16"/>
        </w:rPr>
        <w:t>Cu</w:t>
      </w:r>
      <w:r w:rsidRPr="003640EA">
        <w:rPr>
          <w:rFonts w:ascii="Arial" w:hAnsi="Arial" w:cs="Arial"/>
          <w:sz w:val="16"/>
          <w:szCs w:val="16"/>
        </w:rPr>
        <w:t xml:space="preserve">stomers must be informed </w:t>
      </w:r>
      <w:r>
        <w:rPr>
          <w:rFonts w:ascii="Arial" w:hAnsi="Arial" w:cs="Arial"/>
          <w:sz w:val="16"/>
          <w:szCs w:val="16"/>
        </w:rPr>
        <w:t xml:space="preserve">25 business days </w:t>
      </w:r>
      <w:r w:rsidRPr="003640EA">
        <w:rPr>
          <w:rFonts w:ascii="Arial" w:hAnsi="Arial" w:cs="Arial"/>
          <w:sz w:val="16"/>
          <w:szCs w:val="16"/>
        </w:rPr>
        <w:t>prior to the new charges taking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2B22" w14:textId="77777777" w:rsidR="002811FB" w:rsidRDefault="00281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C88" w14:textId="77777777" w:rsidR="00DE0D26" w:rsidRDefault="00000000">
    <w:pPr>
      <w:pStyle w:val="Header"/>
    </w:pPr>
    <w:sdt>
      <w:sdtPr>
        <w:id w:val="1668520782"/>
        <w:docPartObj>
          <w:docPartGallery w:val="Watermarks"/>
          <w:docPartUnique/>
        </w:docPartObj>
      </w:sdtPr>
      <w:sdtContent>
        <w:r>
          <w:rPr>
            <w:noProof/>
            <w:lang w:val="en-US"/>
          </w:rPr>
          <w:pict w14:anchorId="548AC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0D26">
      <w:rPr>
        <w:noProof/>
        <w:lang w:eastAsia="en-AU"/>
      </w:rPr>
      <mc:AlternateContent>
        <mc:Choice Requires="wps">
          <w:drawing>
            <wp:anchor distT="0" distB="0" distL="114300" distR="114300" simplePos="0" relativeHeight="251658240" behindDoc="0" locked="1" layoutInCell="0" allowOverlap="1" wp14:anchorId="6AE5CDC9" wp14:editId="4A5219C8">
              <wp:simplePos x="0" y="0"/>
              <wp:positionH relativeFrom="margin">
                <wp:align>center</wp:align>
              </wp:positionH>
              <wp:positionV relativeFrom="bottomMargin">
                <wp:align>bottom</wp:align>
              </wp:positionV>
              <wp:extent cx="892175" cy="426085"/>
              <wp:effectExtent l="0" t="0" r="0" b="0"/>
              <wp:wrapNone/>
              <wp:docPr id="24" name="janusSEAL SC Footer"/>
              <wp:cNvGraphicFramePr/>
              <a:graphic xmlns:a="http://schemas.openxmlformats.org/drawingml/2006/main">
                <a:graphicData uri="http://schemas.microsoft.com/office/word/2010/wordprocessingShape">
                  <wps:wsp>
                    <wps:cNvSpPr txBox="1"/>
                    <wps:spPr>
                      <a:xfrm>
                        <a:off x="0" y="0"/>
                        <a:ext cx="89217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21C79" w14:textId="77777777" w:rsidR="00DE0D26" w:rsidRPr="002811FB" w:rsidRDefault="002811FB" w:rsidP="002811FB">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OFFICIAL</w:t>
                          </w:r>
                          <w:r>
                            <w:rPr>
                              <w:rFonts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E5CDC9" id="_x0000_t202" coordsize="21600,21600" o:spt="202" path="m,l,21600r21600,l21600,xe">
              <v:stroke joinstyle="miter"/>
              <v:path gradientshapeok="t" o:connecttype="rect"/>
            </v:shapetype>
            <v:shape id="janusSEAL SC Footer" o:spid="_x0000_s1027" type="#_x0000_t202" style="position:absolute;margin-left:0;margin-top:0;width:70.25pt;height:33.55pt;z-index:251658240;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" o:allowincell="f" filled="f" stroked="f" strokeweight=".5pt">
              <v:textbox style="mso-fit-shape-to-text:t">
                <w:txbxContent>
                  <w:p w:rsidR="00DE0D26" w:rsidRPr="002811FB" w:rsidRDefault="002811FB" w:rsidP="002811FB">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OFFICIAL</w:t>
                    </w:r>
                    <w:r>
                      <w:rPr>
                        <w:rFonts w:cs="Arial"/>
                        <w:b/>
                        <w:color w:val="FF0000"/>
                        <w:sz w:val="24"/>
                      </w:rPr>
                      <w:fldChar w:fldCharType="end"/>
                    </w:r>
                  </w:p>
                </w:txbxContent>
              </v:textbox>
              <w10:wrap anchorx="margin" anchory="margin"/>
              <w10:anchorlock/>
            </v:shape>
          </w:pict>
        </mc:Fallback>
      </mc:AlternateContent>
    </w:r>
    <w:r w:rsidR="00DE0D26">
      <w:rPr>
        <w:noProof/>
        <w:lang w:eastAsia="en-AU"/>
      </w:rPr>
      <mc:AlternateContent>
        <mc:Choice Requires="wps">
          <w:drawing>
            <wp:anchor distT="0" distB="0" distL="114300" distR="114300" simplePos="0" relativeHeight="251657216" behindDoc="0" locked="1" layoutInCell="0" allowOverlap="1" wp14:anchorId="689C85D6" wp14:editId="6A0E95BB">
              <wp:simplePos x="0" y="0"/>
              <wp:positionH relativeFrom="margin">
                <wp:align>center</wp:align>
              </wp:positionH>
              <wp:positionV relativeFrom="topMargin">
                <wp:posOffset>127000</wp:posOffset>
              </wp:positionV>
              <wp:extent cx="892175" cy="426085"/>
              <wp:effectExtent l="0" t="0" r="0" b="0"/>
              <wp:wrapNone/>
              <wp:docPr id="22" name="janusSEAL SC Header"/>
              <wp:cNvGraphicFramePr/>
              <a:graphic xmlns:a="http://schemas.openxmlformats.org/drawingml/2006/main">
                <a:graphicData uri="http://schemas.microsoft.com/office/word/2010/wordprocessingShape">
                  <wps:wsp>
                    <wps:cNvSpPr txBox="1"/>
                    <wps:spPr>
                      <a:xfrm>
                        <a:off x="0" y="0"/>
                        <a:ext cx="89217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B149F" w14:textId="77777777" w:rsidR="00DE0D26" w:rsidRPr="002811FB" w:rsidRDefault="002811FB" w:rsidP="002811FB">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OFFICIAL</w:t>
                          </w:r>
                          <w:r>
                            <w:rPr>
                              <w:rFonts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9C85D6" id="janusSEAL SC Header" o:spid="_x0000_s1028" type="#_x0000_t202" style="position:absolute;margin-left:0;margin-top:10pt;width:70.25pt;height:33.55pt;z-index:25165721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" o:allowincell="f" filled="f" stroked="f" strokeweight=".5pt">
              <v:textbox style="mso-fit-shape-to-text:t">
                <w:txbxContent>
                  <w:p w:rsidR="00DE0D26" w:rsidRPr="002811FB" w:rsidRDefault="002811FB" w:rsidP="002811FB">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OFFICIAL</w:t>
                    </w:r>
                    <w:r>
                      <w:rPr>
                        <w:rFonts w:cs="Arial"/>
                        <w:b/>
                        <w:color w:val="FF0000"/>
                        <w:sz w:val="24"/>
                      </w:rPr>
                      <w:fldChar w:fldCharType="end"/>
                    </w:r>
                  </w:p>
                </w:txbxContent>
              </v:textbox>
              <w10:wrap anchorx="margin" anchory="margin"/>
              <w10:anchorlock/>
            </v:shape>
          </w:pict>
        </mc:Fallback>
      </mc:AlternateContent>
    </w:r>
    <w:r w:rsidR="00DE0D26">
      <w:rPr>
        <w:noProof/>
        <w:lang w:eastAsia="en-AU"/>
      </w:rPr>
      <w:drawing>
        <wp:anchor distT="0" distB="0" distL="114300" distR="114300" simplePos="0" relativeHeight="251656192" behindDoc="0" locked="0" layoutInCell="1" allowOverlap="1" wp14:anchorId="143D7158" wp14:editId="1431F16C">
          <wp:simplePos x="0" y="0"/>
          <wp:positionH relativeFrom="column">
            <wp:posOffset>-914400</wp:posOffset>
          </wp:positionH>
          <wp:positionV relativeFrom="page">
            <wp:posOffset>0</wp:posOffset>
          </wp:positionV>
          <wp:extent cx="7552690" cy="106813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2690" cy="106813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1096" w14:textId="77777777" w:rsidR="002811FB" w:rsidRDefault="002811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9A74" w14:textId="77777777" w:rsidR="00DE0D26" w:rsidRDefault="00DE0D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790E" w14:textId="77777777" w:rsidR="00DE0D26" w:rsidRDefault="002811FB" w:rsidP="005214EA">
    <w:pPr>
      <w:pStyle w:val="Header"/>
      <w:tabs>
        <w:tab w:val="clear" w:pos="4513"/>
        <w:tab w:val="clear" w:pos="9026"/>
        <w:tab w:val="left" w:pos="8154"/>
      </w:tabs>
    </w:pPr>
    <w:r>
      <w:rPr>
        <w:noProof/>
        <w:lang w:eastAsia="en-AU"/>
      </w:rPr>
      <mc:AlternateContent>
        <mc:Choice Requires="wps">
          <w:drawing>
            <wp:anchor distT="0" distB="0" distL="114300" distR="114300" simplePos="0" relativeHeight="251659264" behindDoc="0" locked="1" layoutInCell="0" allowOverlap="1" wp14:anchorId="7B9C1E09" wp14:editId="2F392F70">
              <wp:simplePos x="0" y="0"/>
              <wp:positionH relativeFrom="margin">
                <wp:align>center</wp:align>
              </wp:positionH>
              <wp:positionV relativeFrom="bottomMargin">
                <wp:align>bottom</wp:align>
              </wp:positionV>
              <wp:extent cx="892175" cy="426085"/>
              <wp:effectExtent l="0" t="0" r="0" b="0"/>
              <wp:wrapNone/>
              <wp:docPr id="5" name="janusSEAL SC Footer_S_3"/>
              <wp:cNvGraphicFramePr/>
              <a:graphic xmlns:a="http://schemas.openxmlformats.org/drawingml/2006/main">
                <a:graphicData uri="http://schemas.microsoft.com/office/word/2010/wordprocessingShape">
                  <wps:wsp>
                    <wps:cNvSpPr txBox="1"/>
                    <wps:spPr>
                      <a:xfrm>
                        <a:off x="0" y="0"/>
                        <a:ext cx="89217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75B6F" w14:textId="77777777" w:rsidR="002811FB" w:rsidRPr="002811FB" w:rsidRDefault="002811FB" w:rsidP="002811FB">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OFFICIAL</w:t>
                          </w:r>
                          <w:r>
                            <w:rPr>
                              <w:rFonts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Footer_S_3" o:spid="_x0000_s1029" type="#_x0000_t202" style="position:absolute;margin-left:0;margin-top:0;width:70.25pt;height:33.55pt;z-index:251661312;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" o:allowincell="f" filled="f" stroked="f" strokeweight=".5pt">
              <v:fill o:detectmouseclick="t"/>
              <v:textbox style="mso-fit-shape-to-text:t">
                <w:txbxContent>
                  <w:p w:rsidR="002811FB" w:rsidRPr="002811FB" w:rsidRDefault="002811FB" w:rsidP="002811FB">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OFFICIAL</w:t>
                    </w:r>
                    <w:r>
                      <w:rPr>
                        <w:rFonts w:cs="Arial"/>
                        <w:b/>
                        <w:color w:val="FF0000"/>
                        <w:sz w:val="24"/>
                      </w:rPr>
                      <w:fldChar w:fldCharType="end"/>
                    </w:r>
                  </w:p>
                </w:txbxContent>
              </v:textbox>
              <w10:wrap anchorx="margin" anchory="margin"/>
              <w10:anchorlock/>
            </v:shape>
          </w:pict>
        </mc:Fallback>
      </mc:AlternateContent>
    </w:r>
    <w:r w:rsidR="00DE0D26">
      <w:rPr>
        <w:noProof/>
        <w:lang w:eastAsia="en-AU"/>
      </w:rPr>
      <w:drawing>
        <wp:anchor distT="0" distB="0" distL="114300" distR="114300" simplePos="0" relativeHeight="251655168" behindDoc="1" locked="0" layoutInCell="1" allowOverlap="1" wp14:anchorId="6FD61076" wp14:editId="4CCC15F2">
          <wp:simplePos x="0" y="0"/>
          <wp:positionH relativeFrom="column">
            <wp:posOffset>-902970</wp:posOffset>
          </wp:positionH>
          <wp:positionV relativeFrom="page">
            <wp:posOffset>0</wp:posOffset>
          </wp:positionV>
          <wp:extent cx="7552690" cy="80708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jpg"/>
                  <pic:cNvPicPr/>
                </pic:nvPicPr>
                <pic:blipFill rotWithShape="1">
                  <a:blip r:embed="rId1">
                    <a:extLst>
                      <a:ext uri="{28A0092B-C50C-407E-A947-70E740481C1C}">
                        <a14:useLocalDpi xmlns:a14="http://schemas.microsoft.com/office/drawing/2010/main" val="0"/>
                      </a:ext>
                    </a:extLst>
                  </a:blip>
                  <a:srcRect t="13453" b="78987"/>
                  <a:stretch/>
                </pic:blipFill>
                <pic:spPr bwMode="auto">
                  <a:xfrm>
                    <a:off x="0" y="0"/>
                    <a:ext cx="7552690" cy="80708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E0D2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8004" w14:textId="77777777" w:rsidR="00DE0D26" w:rsidRDefault="00DE0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4B0"/>
    <w:multiLevelType w:val="hybridMultilevel"/>
    <w:tmpl w:val="220EC82C"/>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B67E51"/>
    <w:multiLevelType w:val="hybridMultilevel"/>
    <w:tmpl w:val="79ECE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BC6D16"/>
    <w:multiLevelType w:val="hybridMultilevel"/>
    <w:tmpl w:val="A8EA8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1C42EE"/>
    <w:multiLevelType w:val="hybridMultilevel"/>
    <w:tmpl w:val="C2605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24F5D"/>
    <w:multiLevelType w:val="hybridMultilevel"/>
    <w:tmpl w:val="DC10E276"/>
    <w:lvl w:ilvl="0" w:tplc="7B4C97C4">
      <w:start w:val="1"/>
      <w:numFmt w:val="bullet"/>
      <w:lvlText w:val="•"/>
      <w:lvlJc w:val="left"/>
      <w:pPr>
        <w:tabs>
          <w:tab w:val="num" w:pos="720"/>
        </w:tabs>
        <w:ind w:left="720" w:hanging="360"/>
      </w:pPr>
      <w:rPr>
        <w:rFonts w:ascii="Arial" w:hAnsi="Arial" w:hint="default"/>
      </w:rPr>
    </w:lvl>
    <w:lvl w:ilvl="1" w:tplc="D780EE6E" w:tentative="1">
      <w:start w:val="1"/>
      <w:numFmt w:val="bullet"/>
      <w:lvlText w:val="•"/>
      <w:lvlJc w:val="left"/>
      <w:pPr>
        <w:tabs>
          <w:tab w:val="num" w:pos="1440"/>
        </w:tabs>
        <w:ind w:left="1440" w:hanging="360"/>
      </w:pPr>
      <w:rPr>
        <w:rFonts w:ascii="Arial" w:hAnsi="Arial" w:hint="default"/>
      </w:rPr>
    </w:lvl>
    <w:lvl w:ilvl="2" w:tplc="A0B25D46" w:tentative="1">
      <w:start w:val="1"/>
      <w:numFmt w:val="bullet"/>
      <w:lvlText w:val="•"/>
      <w:lvlJc w:val="left"/>
      <w:pPr>
        <w:tabs>
          <w:tab w:val="num" w:pos="2160"/>
        </w:tabs>
        <w:ind w:left="2160" w:hanging="360"/>
      </w:pPr>
      <w:rPr>
        <w:rFonts w:ascii="Arial" w:hAnsi="Arial" w:hint="default"/>
      </w:rPr>
    </w:lvl>
    <w:lvl w:ilvl="3" w:tplc="DB26C9A6" w:tentative="1">
      <w:start w:val="1"/>
      <w:numFmt w:val="bullet"/>
      <w:lvlText w:val="•"/>
      <w:lvlJc w:val="left"/>
      <w:pPr>
        <w:tabs>
          <w:tab w:val="num" w:pos="2880"/>
        </w:tabs>
        <w:ind w:left="2880" w:hanging="360"/>
      </w:pPr>
      <w:rPr>
        <w:rFonts w:ascii="Arial" w:hAnsi="Arial" w:hint="default"/>
      </w:rPr>
    </w:lvl>
    <w:lvl w:ilvl="4" w:tplc="6F94ECD0" w:tentative="1">
      <w:start w:val="1"/>
      <w:numFmt w:val="bullet"/>
      <w:lvlText w:val="•"/>
      <w:lvlJc w:val="left"/>
      <w:pPr>
        <w:tabs>
          <w:tab w:val="num" w:pos="3600"/>
        </w:tabs>
        <w:ind w:left="3600" w:hanging="360"/>
      </w:pPr>
      <w:rPr>
        <w:rFonts w:ascii="Arial" w:hAnsi="Arial" w:hint="default"/>
      </w:rPr>
    </w:lvl>
    <w:lvl w:ilvl="5" w:tplc="6C5A3936" w:tentative="1">
      <w:start w:val="1"/>
      <w:numFmt w:val="bullet"/>
      <w:lvlText w:val="•"/>
      <w:lvlJc w:val="left"/>
      <w:pPr>
        <w:tabs>
          <w:tab w:val="num" w:pos="4320"/>
        </w:tabs>
        <w:ind w:left="4320" w:hanging="360"/>
      </w:pPr>
      <w:rPr>
        <w:rFonts w:ascii="Arial" w:hAnsi="Arial" w:hint="default"/>
      </w:rPr>
    </w:lvl>
    <w:lvl w:ilvl="6" w:tplc="4CB2AC46" w:tentative="1">
      <w:start w:val="1"/>
      <w:numFmt w:val="bullet"/>
      <w:lvlText w:val="•"/>
      <w:lvlJc w:val="left"/>
      <w:pPr>
        <w:tabs>
          <w:tab w:val="num" w:pos="5040"/>
        </w:tabs>
        <w:ind w:left="5040" w:hanging="360"/>
      </w:pPr>
      <w:rPr>
        <w:rFonts w:ascii="Arial" w:hAnsi="Arial" w:hint="default"/>
      </w:rPr>
    </w:lvl>
    <w:lvl w:ilvl="7" w:tplc="A3B4DF72" w:tentative="1">
      <w:start w:val="1"/>
      <w:numFmt w:val="bullet"/>
      <w:lvlText w:val="•"/>
      <w:lvlJc w:val="left"/>
      <w:pPr>
        <w:tabs>
          <w:tab w:val="num" w:pos="5760"/>
        </w:tabs>
        <w:ind w:left="5760" w:hanging="360"/>
      </w:pPr>
      <w:rPr>
        <w:rFonts w:ascii="Arial" w:hAnsi="Arial" w:hint="default"/>
      </w:rPr>
    </w:lvl>
    <w:lvl w:ilvl="8" w:tplc="BF04A3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7D4170"/>
    <w:multiLevelType w:val="hybridMultilevel"/>
    <w:tmpl w:val="29168C0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E9B7097"/>
    <w:multiLevelType w:val="hybridMultilevel"/>
    <w:tmpl w:val="2CD8E4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1228E"/>
    <w:multiLevelType w:val="hybridMultilevel"/>
    <w:tmpl w:val="99E2DF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26B42BA"/>
    <w:multiLevelType w:val="hybridMultilevel"/>
    <w:tmpl w:val="597A38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A73048"/>
    <w:multiLevelType w:val="hybridMultilevel"/>
    <w:tmpl w:val="E5324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E149A"/>
    <w:multiLevelType w:val="hybridMultilevel"/>
    <w:tmpl w:val="80664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211792"/>
    <w:multiLevelType w:val="hybridMultilevel"/>
    <w:tmpl w:val="C9986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BB69F0"/>
    <w:multiLevelType w:val="multilevel"/>
    <w:tmpl w:val="D0F6E3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5832859"/>
    <w:multiLevelType w:val="hybridMultilevel"/>
    <w:tmpl w:val="3F249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EA0178"/>
    <w:multiLevelType w:val="hybridMultilevel"/>
    <w:tmpl w:val="18526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283844"/>
    <w:multiLevelType w:val="hybridMultilevel"/>
    <w:tmpl w:val="7A6AC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4D56D2"/>
    <w:multiLevelType w:val="hybridMultilevel"/>
    <w:tmpl w:val="F534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B690F"/>
    <w:multiLevelType w:val="hybridMultilevel"/>
    <w:tmpl w:val="5FD0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9D662A"/>
    <w:multiLevelType w:val="hybridMultilevel"/>
    <w:tmpl w:val="611CF66A"/>
    <w:lvl w:ilvl="0" w:tplc="C43845B4">
      <w:start w:val="1"/>
      <w:numFmt w:val="bullet"/>
      <w:lvlText w:val="‒"/>
      <w:lvlJc w:val="left"/>
      <w:pPr>
        <w:tabs>
          <w:tab w:val="num" w:pos="720"/>
        </w:tabs>
        <w:ind w:left="720" w:hanging="360"/>
      </w:pPr>
      <w:rPr>
        <w:rFonts w:ascii="Arial" w:hAnsi="Arial" w:hint="default"/>
      </w:rPr>
    </w:lvl>
    <w:lvl w:ilvl="1" w:tplc="84FC4DD0" w:tentative="1">
      <w:start w:val="1"/>
      <w:numFmt w:val="bullet"/>
      <w:lvlText w:val="‒"/>
      <w:lvlJc w:val="left"/>
      <w:pPr>
        <w:tabs>
          <w:tab w:val="num" w:pos="1440"/>
        </w:tabs>
        <w:ind w:left="1440" w:hanging="360"/>
      </w:pPr>
      <w:rPr>
        <w:rFonts w:ascii="Arial" w:hAnsi="Arial" w:hint="default"/>
      </w:rPr>
    </w:lvl>
    <w:lvl w:ilvl="2" w:tplc="960260D6" w:tentative="1">
      <w:start w:val="1"/>
      <w:numFmt w:val="bullet"/>
      <w:lvlText w:val="‒"/>
      <w:lvlJc w:val="left"/>
      <w:pPr>
        <w:tabs>
          <w:tab w:val="num" w:pos="2160"/>
        </w:tabs>
        <w:ind w:left="2160" w:hanging="360"/>
      </w:pPr>
      <w:rPr>
        <w:rFonts w:ascii="Arial" w:hAnsi="Arial" w:hint="default"/>
      </w:rPr>
    </w:lvl>
    <w:lvl w:ilvl="3" w:tplc="5B10E0EE" w:tentative="1">
      <w:start w:val="1"/>
      <w:numFmt w:val="bullet"/>
      <w:lvlText w:val="‒"/>
      <w:lvlJc w:val="left"/>
      <w:pPr>
        <w:tabs>
          <w:tab w:val="num" w:pos="2880"/>
        </w:tabs>
        <w:ind w:left="2880" w:hanging="360"/>
      </w:pPr>
      <w:rPr>
        <w:rFonts w:ascii="Arial" w:hAnsi="Arial" w:hint="default"/>
      </w:rPr>
    </w:lvl>
    <w:lvl w:ilvl="4" w:tplc="ABC2D47E" w:tentative="1">
      <w:start w:val="1"/>
      <w:numFmt w:val="bullet"/>
      <w:lvlText w:val="‒"/>
      <w:lvlJc w:val="left"/>
      <w:pPr>
        <w:tabs>
          <w:tab w:val="num" w:pos="3600"/>
        </w:tabs>
        <w:ind w:left="3600" w:hanging="360"/>
      </w:pPr>
      <w:rPr>
        <w:rFonts w:ascii="Arial" w:hAnsi="Arial" w:hint="default"/>
      </w:rPr>
    </w:lvl>
    <w:lvl w:ilvl="5" w:tplc="748EEFB8" w:tentative="1">
      <w:start w:val="1"/>
      <w:numFmt w:val="bullet"/>
      <w:lvlText w:val="‒"/>
      <w:lvlJc w:val="left"/>
      <w:pPr>
        <w:tabs>
          <w:tab w:val="num" w:pos="4320"/>
        </w:tabs>
        <w:ind w:left="4320" w:hanging="360"/>
      </w:pPr>
      <w:rPr>
        <w:rFonts w:ascii="Arial" w:hAnsi="Arial" w:hint="default"/>
      </w:rPr>
    </w:lvl>
    <w:lvl w:ilvl="6" w:tplc="F8BCF018" w:tentative="1">
      <w:start w:val="1"/>
      <w:numFmt w:val="bullet"/>
      <w:lvlText w:val="‒"/>
      <w:lvlJc w:val="left"/>
      <w:pPr>
        <w:tabs>
          <w:tab w:val="num" w:pos="5040"/>
        </w:tabs>
        <w:ind w:left="5040" w:hanging="360"/>
      </w:pPr>
      <w:rPr>
        <w:rFonts w:ascii="Arial" w:hAnsi="Arial" w:hint="default"/>
      </w:rPr>
    </w:lvl>
    <w:lvl w:ilvl="7" w:tplc="5A689F20" w:tentative="1">
      <w:start w:val="1"/>
      <w:numFmt w:val="bullet"/>
      <w:lvlText w:val="‒"/>
      <w:lvlJc w:val="left"/>
      <w:pPr>
        <w:tabs>
          <w:tab w:val="num" w:pos="5760"/>
        </w:tabs>
        <w:ind w:left="5760" w:hanging="360"/>
      </w:pPr>
      <w:rPr>
        <w:rFonts w:ascii="Arial" w:hAnsi="Arial" w:hint="default"/>
      </w:rPr>
    </w:lvl>
    <w:lvl w:ilvl="8" w:tplc="39805C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B73B62"/>
    <w:multiLevelType w:val="hybridMultilevel"/>
    <w:tmpl w:val="12AEE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5B74BA"/>
    <w:multiLevelType w:val="hybridMultilevel"/>
    <w:tmpl w:val="E13068A2"/>
    <w:lvl w:ilvl="0" w:tplc="1424FD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11238C"/>
    <w:multiLevelType w:val="hybridMultilevel"/>
    <w:tmpl w:val="B64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956739"/>
    <w:multiLevelType w:val="multilevel"/>
    <w:tmpl w:val="D0F6E3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4420C1A"/>
    <w:multiLevelType w:val="hybridMultilevel"/>
    <w:tmpl w:val="E756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E75A46"/>
    <w:multiLevelType w:val="hybridMultilevel"/>
    <w:tmpl w:val="F0F6A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E32EFB"/>
    <w:multiLevelType w:val="hybridMultilevel"/>
    <w:tmpl w:val="317A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BE1F36"/>
    <w:multiLevelType w:val="hybridMultilevel"/>
    <w:tmpl w:val="15746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AD3DA2"/>
    <w:multiLevelType w:val="hybridMultilevel"/>
    <w:tmpl w:val="057CD694"/>
    <w:lvl w:ilvl="0" w:tplc="861A042A">
      <w:start w:val="1"/>
      <w:numFmt w:val="bullet"/>
      <w:pStyle w:val="Bullets"/>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39952302">
    <w:abstractNumId w:val="27"/>
  </w:num>
  <w:num w:numId="2" w16cid:durableId="1964195430">
    <w:abstractNumId w:val="13"/>
  </w:num>
  <w:num w:numId="3" w16cid:durableId="1141340596">
    <w:abstractNumId w:val="22"/>
  </w:num>
  <w:num w:numId="4" w16cid:durableId="1354258370">
    <w:abstractNumId w:val="0"/>
  </w:num>
  <w:num w:numId="5" w16cid:durableId="383793367">
    <w:abstractNumId w:val="15"/>
  </w:num>
  <w:num w:numId="6" w16cid:durableId="2106027719">
    <w:abstractNumId w:val="14"/>
  </w:num>
  <w:num w:numId="7" w16cid:durableId="900293584">
    <w:abstractNumId w:val="11"/>
  </w:num>
  <w:num w:numId="8" w16cid:durableId="422342041">
    <w:abstractNumId w:val="6"/>
  </w:num>
  <w:num w:numId="9" w16cid:durableId="1484933022">
    <w:abstractNumId w:val="3"/>
  </w:num>
  <w:num w:numId="10" w16cid:durableId="880634995">
    <w:abstractNumId w:val="10"/>
  </w:num>
  <w:num w:numId="11" w16cid:durableId="1354652809">
    <w:abstractNumId w:val="23"/>
  </w:num>
  <w:num w:numId="12" w16cid:durableId="1470315">
    <w:abstractNumId w:val="19"/>
  </w:num>
  <w:num w:numId="13" w16cid:durableId="682630565">
    <w:abstractNumId w:val="20"/>
  </w:num>
  <w:num w:numId="14" w16cid:durableId="1151941227">
    <w:abstractNumId w:val="21"/>
  </w:num>
  <w:num w:numId="15" w16cid:durableId="1121608021">
    <w:abstractNumId w:val="24"/>
  </w:num>
  <w:num w:numId="16" w16cid:durableId="984048299">
    <w:abstractNumId w:val="16"/>
  </w:num>
  <w:num w:numId="17" w16cid:durableId="1329596770">
    <w:abstractNumId w:val="17"/>
  </w:num>
  <w:num w:numId="18" w16cid:durableId="848566716">
    <w:abstractNumId w:val="7"/>
  </w:num>
  <w:num w:numId="19" w16cid:durableId="1144930224">
    <w:abstractNumId w:val="26"/>
  </w:num>
  <w:num w:numId="20" w16cid:durableId="858736400">
    <w:abstractNumId w:val="4"/>
  </w:num>
  <w:num w:numId="21" w16cid:durableId="66149155">
    <w:abstractNumId w:val="18"/>
  </w:num>
  <w:num w:numId="22" w16cid:durableId="989208596">
    <w:abstractNumId w:val="1"/>
  </w:num>
  <w:num w:numId="23" w16cid:durableId="1384672851">
    <w:abstractNumId w:val="5"/>
  </w:num>
  <w:num w:numId="24" w16cid:durableId="1133596238">
    <w:abstractNumId w:val="12"/>
  </w:num>
  <w:num w:numId="25" w16cid:durableId="1260137189">
    <w:abstractNumId w:val="8"/>
  </w:num>
  <w:num w:numId="26" w16cid:durableId="795224596">
    <w:abstractNumId w:val="9"/>
  </w:num>
  <w:num w:numId="27" w16cid:durableId="82994339">
    <w:abstractNumId w:val="25"/>
  </w:num>
  <w:num w:numId="28" w16cid:durableId="119256757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EBA"/>
    <w:rsid w:val="000125D8"/>
    <w:rsid w:val="000138B3"/>
    <w:rsid w:val="00016D49"/>
    <w:rsid w:val="00021440"/>
    <w:rsid w:val="00025F0B"/>
    <w:rsid w:val="00025F77"/>
    <w:rsid w:val="00027711"/>
    <w:rsid w:val="0003390F"/>
    <w:rsid w:val="00034CE7"/>
    <w:rsid w:val="000378E4"/>
    <w:rsid w:val="00037FF0"/>
    <w:rsid w:val="000447EE"/>
    <w:rsid w:val="000457D3"/>
    <w:rsid w:val="00050E40"/>
    <w:rsid w:val="000557C5"/>
    <w:rsid w:val="00056A5B"/>
    <w:rsid w:val="00061969"/>
    <w:rsid w:val="00061FD0"/>
    <w:rsid w:val="00066217"/>
    <w:rsid w:val="0006707D"/>
    <w:rsid w:val="000708C1"/>
    <w:rsid w:val="00071E67"/>
    <w:rsid w:val="00073CF2"/>
    <w:rsid w:val="00083B80"/>
    <w:rsid w:val="00087E75"/>
    <w:rsid w:val="00090145"/>
    <w:rsid w:val="00092604"/>
    <w:rsid w:val="00092962"/>
    <w:rsid w:val="000A0DF7"/>
    <w:rsid w:val="000A695B"/>
    <w:rsid w:val="000A73AD"/>
    <w:rsid w:val="000B43A1"/>
    <w:rsid w:val="000B4B32"/>
    <w:rsid w:val="000B60A8"/>
    <w:rsid w:val="000B726D"/>
    <w:rsid w:val="000B75F8"/>
    <w:rsid w:val="000C084E"/>
    <w:rsid w:val="000C1162"/>
    <w:rsid w:val="000C4366"/>
    <w:rsid w:val="000C4B9F"/>
    <w:rsid w:val="000C5BE2"/>
    <w:rsid w:val="000C7D16"/>
    <w:rsid w:val="000D272B"/>
    <w:rsid w:val="000D2866"/>
    <w:rsid w:val="000D2E3B"/>
    <w:rsid w:val="000D5D69"/>
    <w:rsid w:val="000D7147"/>
    <w:rsid w:val="000D78F5"/>
    <w:rsid w:val="000E0B4B"/>
    <w:rsid w:val="000E0F33"/>
    <w:rsid w:val="000E4D08"/>
    <w:rsid w:val="000E7493"/>
    <w:rsid w:val="000E7E76"/>
    <w:rsid w:val="0010045F"/>
    <w:rsid w:val="0011383D"/>
    <w:rsid w:val="0012629F"/>
    <w:rsid w:val="00127C2B"/>
    <w:rsid w:val="001303A0"/>
    <w:rsid w:val="00132C61"/>
    <w:rsid w:val="00133698"/>
    <w:rsid w:val="001339B5"/>
    <w:rsid w:val="00135864"/>
    <w:rsid w:val="00143880"/>
    <w:rsid w:val="00144A78"/>
    <w:rsid w:val="0014517A"/>
    <w:rsid w:val="0014552D"/>
    <w:rsid w:val="00150372"/>
    <w:rsid w:val="00150651"/>
    <w:rsid w:val="0015689A"/>
    <w:rsid w:val="0016326A"/>
    <w:rsid w:val="00170215"/>
    <w:rsid w:val="001731B5"/>
    <w:rsid w:val="001735BA"/>
    <w:rsid w:val="001743C3"/>
    <w:rsid w:val="00176680"/>
    <w:rsid w:val="001822D4"/>
    <w:rsid w:val="001828A7"/>
    <w:rsid w:val="00184F68"/>
    <w:rsid w:val="00191142"/>
    <w:rsid w:val="00193780"/>
    <w:rsid w:val="0019401A"/>
    <w:rsid w:val="001A2B80"/>
    <w:rsid w:val="001A3237"/>
    <w:rsid w:val="001A5BD4"/>
    <w:rsid w:val="001A5C81"/>
    <w:rsid w:val="001A6794"/>
    <w:rsid w:val="001B44EF"/>
    <w:rsid w:val="001B540C"/>
    <w:rsid w:val="001C2883"/>
    <w:rsid w:val="001C3D42"/>
    <w:rsid w:val="001C5FBB"/>
    <w:rsid w:val="001D3CFB"/>
    <w:rsid w:val="001D4A98"/>
    <w:rsid w:val="001D52DF"/>
    <w:rsid w:val="001E2AAB"/>
    <w:rsid w:val="001E45AC"/>
    <w:rsid w:val="001E7D5E"/>
    <w:rsid w:val="001F16BC"/>
    <w:rsid w:val="001F3A23"/>
    <w:rsid w:val="001F3AA7"/>
    <w:rsid w:val="00202587"/>
    <w:rsid w:val="0020298F"/>
    <w:rsid w:val="00202A5F"/>
    <w:rsid w:val="00214794"/>
    <w:rsid w:val="00215EF3"/>
    <w:rsid w:val="00222A8D"/>
    <w:rsid w:val="00223B69"/>
    <w:rsid w:val="0022402F"/>
    <w:rsid w:val="00225F10"/>
    <w:rsid w:val="00226BF7"/>
    <w:rsid w:val="00236DD1"/>
    <w:rsid w:val="00237AFE"/>
    <w:rsid w:val="002528A8"/>
    <w:rsid w:val="002545EE"/>
    <w:rsid w:val="00254765"/>
    <w:rsid w:val="00254B95"/>
    <w:rsid w:val="00255480"/>
    <w:rsid w:val="0025552A"/>
    <w:rsid w:val="0025671A"/>
    <w:rsid w:val="00256BBF"/>
    <w:rsid w:val="00256E5D"/>
    <w:rsid w:val="00267CAB"/>
    <w:rsid w:val="00273337"/>
    <w:rsid w:val="00280F3A"/>
    <w:rsid w:val="002811FB"/>
    <w:rsid w:val="002834F0"/>
    <w:rsid w:val="0028415D"/>
    <w:rsid w:val="00286B1E"/>
    <w:rsid w:val="002903F0"/>
    <w:rsid w:val="00290D6C"/>
    <w:rsid w:val="00295B68"/>
    <w:rsid w:val="002960BC"/>
    <w:rsid w:val="002A016A"/>
    <w:rsid w:val="002A0229"/>
    <w:rsid w:val="002A2679"/>
    <w:rsid w:val="002A6213"/>
    <w:rsid w:val="002B7E6B"/>
    <w:rsid w:val="002C0FE5"/>
    <w:rsid w:val="002C1A4B"/>
    <w:rsid w:val="002C2675"/>
    <w:rsid w:val="002C2CA4"/>
    <w:rsid w:val="002D117A"/>
    <w:rsid w:val="002D4B4B"/>
    <w:rsid w:val="002D4EFA"/>
    <w:rsid w:val="002E1EF8"/>
    <w:rsid w:val="002E271A"/>
    <w:rsid w:val="002E2F49"/>
    <w:rsid w:val="002E4087"/>
    <w:rsid w:val="002E52E8"/>
    <w:rsid w:val="002E72C7"/>
    <w:rsid w:val="002F0231"/>
    <w:rsid w:val="002F0773"/>
    <w:rsid w:val="002F3179"/>
    <w:rsid w:val="002F7B95"/>
    <w:rsid w:val="003002D7"/>
    <w:rsid w:val="00306D8F"/>
    <w:rsid w:val="00307DD8"/>
    <w:rsid w:val="0031079D"/>
    <w:rsid w:val="00316018"/>
    <w:rsid w:val="00323B10"/>
    <w:rsid w:val="003263E8"/>
    <w:rsid w:val="00330126"/>
    <w:rsid w:val="00341273"/>
    <w:rsid w:val="003416D8"/>
    <w:rsid w:val="003466C5"/>
    <w:rsid w:val="00353D61"/>
    <w:rsid w:val="00355909"/>
    <w:rsid w:val="003632B8"/>
    <w:rsid w:val="00363EAB"/>
    <w:rsid w:val="0036540D"/>
    <w:rsid w:val="003660DA"/>
    <w:rsid w:val="00370140"/>
    <w:rsid w:val="003732E4"/>
    <w:rsid w:val="00373510"/>
    <w:rsid w:val="003763A9"/>
    <w:rsid w:val="00377BAA"/>
    <w:rsid w:val="00381538"/>
    <w:rsid w:val="00381F8C"/>
    <w:rsid w:val="00387107"/>
    <w:rsid w:val="00393A00"/>
    <w:rsid w:val="003A040D"/>
    <w:rsid w:val="003A4FD8"/>
    <w:rsid w:val="003B0870"/>
    <w:rsid w:val="003C265C"/>
    <w:rsid w:val="003C28FB"/>
    <w:rsid w:val="003C3F55"/>
    <w:rsid w:val="003C4932"/>
    <w:rsid w:val="003C59F1"/>
    <w:rsid w:val="003D49D6"/>
    <w:rsid w:val="003D73D3"/>
    <w:rsid w:val="003E1347"/>
    <w:rsid w:val="003E3AC1"/>
    <w:rsid w:val="003E59BE"/>
    <w:rsid w:val="003F065A"/>
    <w:rsid w:val="003F0B0D"/>
    <w:rsid w:val="003F2D12"/>
    <w:rsid w:val="004006CE"/>
    <w:rsid w:val="00401B49"/>
    <w:rsid w:val="00403AD6"/>
    <w:rsid w:val="0040477A"/>
    <w:rsid w:val="004069DD"/>
    <w:rsid w:val="00407D2E"/>
    <w:rsid w:val="00412970"/>
    <w:rsid w:val="00413490"/>
    <w:rsid w:val="0041401A"/>
    <w:rsid w:val="0041752C"/>
    <w:rsid w:val="0042162D"/>
    <w:rsid w:val="00432776"/>
    <w:rsid w:val="00433FBF"/>
    <w:rsid w:val="00434284"/>
    <w:rsid w:val="0044753A"/>
    <w:rsid w:val="0045027B"/>
    <w:rsid w:val="00455094"/>
    <w:rsid w:val="0045548D"/>
    <w:rsid w:val="0045686E"/>
    <w:rsid w:val="00465F93"/>
    <w:rsid w:val="00466A01"/>
    <w:rsid w:val="00480F18"/>
    <w:rsid w:val="00483265"/>
    <w:rsid w:val="00483A2C"/>
    <w:rsid w:val="0048523A"/>
    <w:rsid w:val="0048546B"/>
    <w:rsid w:val="00490384"/>
    <w:rsid w:val="00493ACC"/>
    <w:rsid w:val="00493C4E"/>
    <w:rsid w:val="00494666"/>
    <w:rsid w:val="004A0AF4"/>
    <w:rsid w:val="004A6B3C"/>
    <w:rsid w:val="004B0A4E"/>
    <w:rsid w:val="004B1219"/>
    <w:rsid w:val="004C025E"/>
    <w:rsid w:val="004C4F7E"/>
    <w:rsid w:val="004C7245"/>
    <w:rsid w:val="004C7825"/>
    <w:rsid w:val="004C7A87"/>
    <w:rsid w:val="004D07C0"/>
    <w:rsid w:val="004D4CD0"/>
    <w:rsid w:val="004D51DD"/>
    <w:rsid w:val="004E0787"/>
    <w:rsid w:val="004E1D91"/>
    <w:rsid w:val="004F3F1D"/>
    <w:rsid w:val="004F4B61"/>
    <w:rsid w:val="004F720E"/>
    <w:rsid w:val="00501B94"/>
    <w:rsid w:val="00506D1F"/>
    <w:rsid w:val="00507B0D"/>
    <w:rsid w:val="00513BEA"/>
    <w:rsid w:val="00514568"/>
    <w:rsid w:val="00515BFE"/>
    <w:rsid w:val="005170D4"/>
    <w:rsid w:val="005214EA"/>
    <w:rsid w:val="00524C08"/>
    <w:rsid w:val="00530C2E"/>
    <w:rsid w:val="00533DF1"/>
    <w:rsid w:val="0053734D"/>
    <w:rsid w:val="00545B5C"/>
    <w:rsid w:val="00557CD4"/>
    <w:rsid w:val="00563D8F"/>
    <w:rsid w:val="005712BF"/>
    <w:rsid w:val="00571937"/>
    <w:rsid w:val="0057200A"/>
    <w:rsid w:val="005720B0"/>
    <w:rsid w:val="0058321D"/>
    <w:rsid w:val="00583DD0"/>
    <w:rsid w:val="00584B96"/>
    <w:rsid w:val="00585C15"/>
    <w:rsid w:val="005878A9"/>
    <w:rsid w:val="00590AF5"/>
    <w:rsid w:val="00593E22"/>
    <w:rsid w:val="00594600"/>
    <w:rsid w:val="005A227E"/>
    <w:rsid w:val="005A62F9"/>
    <w:rsid w:val="005A6364"/>
    <w:rsid w:val="005A6BEA"/>
    <w:rsid w:val="005A7431"/>
    <w:rsid w:val="005B0D2A"/>
    <w:rsid w:val="005B147F"/>
    <w:rsid w:val="005B1ABB"/>
    <w:rsid w:val="005B3126"/>
    <w:rsid w:val="005B7821"/>
    <w:rsid w:val="005B794C"/>
    <w:rsid w:val="005C3896"/>
    <w:rsid w:val="005C47EB"/>
    <w:rsid w:val="005C5E01"/>
    <w:rsid w:val="005D04BA"/>
    <w:rsid w:val="005D376C"/>
    <w:rsid w:val="005D4D13"/>
    <w:rsid w:val="005D6451"/>
    <w:rsid w:val="005E1243"/>
    <w:rsid w:val="005E32D7"/>
    <w:rsid w:val="005E699F"/>
    <w:rsid w:val="005F18FB"/>
    <w:rsid w:val="00600974"/>
    <w:rsid w:val="00600A03"/>
    <w:rsid w:val="0060488A"/>
    <w:rsid w:val="0060531E"/>
    <w:rsid w:val="0060791D"/>
    <w:rsid w:val="00612011"/>
    <w:rsid w:val="00612380"/>
    <w:rsid w:val="00612B73"/>
    <w:rsid w:val="00615E2A"/>
    <w:rsid w:val="00621E79"/>
    <w:rsid w:val="00632528"/>
    <w:rsid w:val="00634968"/>
    <w:rsid w:val="006405D7"/>
    <w:rsid w:val="006408E7"/>
    <w:rsid w:val="00644A11"/>
    <w:rsid w:val="0064584B"/>
    <w:rsid w:val="00646630"/>
    <w:rsid w:val="0064674B"/>
    <w:rsid w:val="00652750"/>
    <w:rsid w:val="0065275F"/>
    <w:rsid w:val="00654FE7"/>
    <w:rsid w:val="0066068E"/>
    <w:rsid w:val="00664351"/>
    <w:rsid w:val="00665A3A"/>
    <w:rsid w:val="00667A70"/>
    <w:rsid w:val="00670B13"/>
    <w:rsid w:val="0069017C"/>
    <w:rsid w:val="006944B2"/>
    <w:rsid w:val="006A5B6B"/>
    <w:rsid w:val="006A7C5C"/>
    <w:rsid w:val="006B01F4"/>
    <w:rsid w:val="006C07DC"/>
    <w:rsid w:val="006C292A"/>
    <w:rsid w:val="006C5ED7"/>
    <w:rsid w:val="006C6E25"/>
    <w:rsid w:val="006C741A"/>
    <w:rsid w:val="006C79F8"/>
    <w:rsid w:val="006D03B5"/>
    <w:rsid w:val="006E399F"/>
    <w:rsid w:val="006E47E0"/>
    <w:rsid w:val="006E4E3B"/>
    <w:rsid w:val="006E5DDB"/>
    <w:rsid w:val="006F5E23"/>
    <w:rsid w:val="00701BDB"/>
    <w:rsid w:val="00701C8F"/>
    <w:rsid w:val="00702235"/>
    <w:rsid w:val="00703835"/>
    <w:rsid w:val="00705483"/>
    <w:rsid w:val="00706E0B"/>
    <w:rsid w:val="00711751"/>
    <w:rsid w:val="00711D5F"/>
    <w:rsid w:val="007151F7"/>
    <w:rsid w:val="00717287"/>
    <w:rsid w:val="00717B6D"/>
    <w:rsid w:val="00720E25"/>
    <w:rsid w:val="00725804"/>
    <w:rsid w:val="00731BEF"/>
    <w:rsid w:val="00731FD7"/>
    <w:rsid w:val="007344D3"/>
    <w:rsid w:val="00744264"/>
    <w:rsid w:val="0074462C"/>
    <w:rsid w:val="00750649"/>
    <w:rsid w:val="00753343"/>
    <w:rsid w:val="0075423E"/>
    <w:rsid w:val="007604D4"/>
    <w:rsid w:val="00760A34"/>
    <w:rsid w:val="00760C64"/>
    <w:rsid w:val="00760E5E"/>
    <w:rsid w:val="007644CF"/>
    <w:rsid w:val="007701ED"/>
    <w:rsid w:val="00770A15"/>
    <w:rsid w:val="00772C2C"/>
    <w:rsid w:val="007764E3"/>
    <w:rsid w:val="00781791"/>
    <w:rsid w:val="00781885"/>
    <w:rsid w:val="007823F3"/>
    <w:rsid w:val="00787D2D"/>
    <w:rsid w:val="0079141D"/>
    <w:rsid w:val="0079376B"/>
    <w:rsid w:val="00796B4B"/>
    <w:rsid w:val="007A0C56"/>
    <w:rsid w:val="007A28E2"/>
    <w:rsid w:val="007A6204"/>
    <w:rsid w:val="007A665B"/>
    <w:rsid w:val="007A739D"/>
    <w:rsid w:val="007B0E13"/>
    <w:rsid w:val="007B1451"/>
    <w:rsid w:val="007B4D25"/>
    <w:rsid w:val="007C0260"/>
    <w:rsid w:val="007C1093"/>
    <w:rsid w:val="007C3985"/>
    <w:rsid w:val="007C7D05"/>
    <w:rsid w:val="007D0FE6"/>
    <w:rsid w:val="007D4DBA"/>
    <w:rsid w:val="007D61DE"/>
    <w:rsid w:val="007E1F6E"/>
    <w:rsid w:val="007E7F71"/>
    <w:rsid w:val="007F2D67"/>
    <w:rsid w:val="007F6A89"/>
    <w:rsid w:val="008004F4"/>
    <w:rsid w:val="0081085B"/>
    <w:rsid w:val="00810CC6"/>
    <w:rsid w:val="00810EDB"/>
    <w:rsid w:val="0081260D"/>
    <w:rsid w:val="008163BF"/>
    <w:rsid w:val="008172C9"/>
    <w:rsid w:val="008200F8"/>
    <w:rsid w:val="00823A2E"/>
    <w:rsid w:val="008243D1"/>
    <w:rsid w:val="00827964"/>
    <w:rsid w:val="00827B91"/>
    <w:rsid w:val="008350C3"/>
    <w:rsid w:val="00836322"/>
    <w:rsid w:val="00846218"/>
    <w:rsid w:val="00850200"/>
    <w:rsid w:val="008528FF"/>
    <w:rsid w:val="0085603F"/>
    <w:rsid w:val="00860170"/>
    <w:rsid w:val="008719C6"/>
    <w:rsid w:val="008730D2"/>
    <w:rsid w:val="00876284"/>
    <w:rsid w:val="00881CF4"/>
    <w:rsid w:val="00886E38"/>
    <w:rsid w:val="008874C2"/>
    <w:rsid w:val="00891AFB"/>
    <w:rsid w:val="00891FAE"/>
    <w:rsid w:val="00895083"/>
    <w:rsid w:val="00897A53"/>
    <w:rsid w:val="008A4EDE"/>
    <w:rsid w:val="008A53CA"/>
    <w:rsid w:val="008A6556"/>
    <w:rsid w:val="008A7DC2"/>
    <w:rsid w:val="008B03DE"/>
    <w:rsid w:val="008C10C6"/>
    <w:rsid w:val="008C3E8D"/>
    <w:rsid w:val="008D1530"/>
    <w:rsid w:val="008D3ACD"/>
    <w:rsid w:val="008D4C8D"/>
    <w:rsid w:val="008E1349"/>
    <w:rsid w:val="008E3626"/>
    <w:rsid w:val="00900C1E"/>
    <w:rsid w:val="009046BC"/>
    <w:rsid w:val="009063D6"/>
    <w:rsid w:val="00906500"/>
    <w:rsid w:val="009072B6"/>
    <w:rsid w:val="0091299F"/>
    <w:rsid w:val="00915B62"/>
    <w:rsid w:val="009216DE"/>
    <w:rsid w:val="009247D7"/>
    <w:rsid w:val="0092560D"/>
    <w:rsid w:val="00927C61"/>
    <w:rsid w:val="0093735D"/>
    <w:rsid w:val="00944933"/>
    <w:rsid w:val="00951451"/>
    <w:rsid w:val="00955786"/>
    <w:rsid w:val="009629F6"/>
    <w:rsid w:val="00962D73"/>
    <w:rsid w:val="009678BD"/>
    <w:rsid w:val="00972287"/>
    <w:rsid w:val="00972E88"/>
    <w:rsid w:val="009777AC"/>
    <w:rsid w:val="009819E4"/>
    <w:rsid w:val="0098510A"/>
    <w:rsid w:val="009879AC"/>
    <w:rsid w:val="00993EF4"/>
    <w:rsid w:val="009971DA"/>
    <w:rsid w:val="009A03AF"/>
    <w:rsid w:val="009A1782"/>
    <w:rsid w:val="009A31C4"/>
    <w:rsid w:val="009A37BB"/>
    <w:rsid w:val="009A3D77"/>
    <w:rsid w:val="009A3F8D"/>
    <w:rsid w:val="009A4430"/>
    <w:rsid w:val="009A570E"/>
    <w:rsid w:val="009B4147"/>
    <w:rsid w:val="009B4F7B"/>
    <w:rsid w:val="009B779A"/>
    <w:rsid w:val="009C1BE6"/>
    <w:rsid w:val="009C34ED"/>
    <w:rsid w:val="009D266B"/>
    <w:rsid w:val="009D29EB"/>
    <w:rsid w:val="009D595F"/>
    <w:rsid w:val="009E198B"/>
    <w:rsid w:val="009E1C20"/>
    <w:rsid w:val="009E236E"/>
    <w:rsid w:val="009E42F3"/>
    <w:rsid w:val="009E46B0"/>
    <w:rsid w:val="009F4399"/>
    <w:rsid w:val="009F589A"/>
    <w:rsid w:val="009F59C6"/>
    <w:rsid w:val="009F6974"/>
    <w:rsid w:val="00A00214"/>
    <w:rsid w:val="00A008DB"/>
    <w:rsid w:val="00A14697"/>
    <w:rsid w:val="00A14E00"/>
    <w:rsid w:val="00A21526"/>
    <w:rsid w:val="00A23401"/>
    <w:rsid w:val="00A252E7"/>
    <w:rsid w:val="00A27302"/>
    <w:rsid w:val="00A3026B"/>
    <w:rsid w:val="00A3116A"/>
    <w:rsid w:val="00A317C1"/>
    <w:rsid w:val="00A32A29"/>
    <w:rsid w:val="00A33822"/>
    <w:rsid w:val="00A346E8"/>
    <w:rsid w:val="00A359B3"/>
    <w:rsid w:val="00A40164"/>
    <w:rsid w:val="00A45DA1"/>
    <w:rsid w:val="00A50577"/>
    <w:rsid w:val="00A51773"/>
    <w:rsid w:val="00A62D72"/>
    <w:rsid w:val="00A62ED3"/>
    <w:rsid w:val="00A63BD4"/>
    <w:rsid w:val="00A64CB7"/>
    <w:rsid w:val="00A666D0"/>
    <w:rsid w:val="00A76C4E"/>
    <w:rsid w:val="00A8158C"/>
    <w:rsid w:val="00A82984"/>
    <w:rsid w:val="00A84246"/>
    <w:rsid w:val="00A8439B"/>
    <w:rsid w:val="00A8681F"/>
    <w:rsid w:val="00A87AA4"/>
    <w:rsid w:val="00A905B1"/>
    <w:rsid w:val="00A966D2"/>
    <w:rsid w:val="00AA09FC"/>
    <w:rsid w:val="00AA0B07"/>
    <w:rsid w:val="00AA3620"/>
    <w:rsid w:val="00AC6D71"/>
    <w:rsid w:val="00AC7B72"/>
    <w:rsid w:val="00AD1DFF"/>
    <w:rsid w:val="00AD45D8"/>
    <w:rsid w:val="00AD7311"/>
    <w:rsid w:val="00AE09F7"/>
    <w:rsid w:val="00AE3CED"/>
    <w:rsid w:val="00AE5338"/>
    <w:rsid w:val="00AF7C7A"/>
    <w:rsid w:val="00B01F40"/>
    <w:rsid w:val="00B143B1"/>
    <w:rsid w:val="00B16F52"/>
    <w:rsid w:val="00B1712E"/>
    <w:rsid w:val="00B23083"/>
    <w:rsid w:val="00B346E9"/>
    <w:rsid w:val="00B3552A"/>
    <w:rsid w:val="00B47C4F"/>
    <w:rsid w:val="00B53D16"/>
    <w:rsid w:val="00B53EE9"/>
    <w:rsid w:val="00B55361"/>
    <w:rsid w:val="00B6319A"/>
    <w:rsid w:val="00B739F9"/>
    <w:rsid w:val="00B749A2"/>
    <w:rsid w:val="00B761F1"/>
    <w:rsid w:val="00B80A74"/>
    <w:rsid w:val="00B90050"/>
    <w:rsid w:val="00B933E7"/>
    <w:rsid w:val="00B936D6"/>
    <w:rsid w:val="00B93842"/>
    <w:rsid w:val="00B95AC8"/>
    <w:rsid w:val="00BA23E0"/>
    <w:rsid w:val="00BA24F8"/>
    <w:rsid w:val="00BA70B6"/>
    <w:rsid w:val="00BB21E4"/>
    <w:rsid w:val="00BC103B"/>
    <w:rsid w:val="00BC20CE"/>
    <w:rsid w:val="00BC3798"/>
    <w:rsid w:val="00BD1EFA"/>
    <w:rsid w:val="00BE0124"/>
    <w:rsid w:val="00BE2001"/>
    <w:rsid w:val="00BE3418"/>
    <w:rsid w:val="00BE458C"/>
    <w:rsid w:val="00BE6DF0"/>
    <w:rsid w:val="00BF39B8"/>
    <w:rsid w:val="00C0598C"/>
    <w:rsid w:val="00C07838"/>
    <w:rsid w:val="00C13F19"/>
    <w:rsid w:val="00C14D6A"/>
    <w:rsid w:val="00C158F8"/>
    <w:rsid w:val="00C21B35"/>
    <w:rsid w:val="00C25C69"/>
    <w:rsid w:val="00C33EB6"/>
    <w:rsid w:val="00C41EDC"/>
    <w:rsid w:val="00C444E2"/>
    <w:rsid w:val="00C51239"/>
    <w:rsid w:val="00C534A1"/>
    <w:rsid w:val="00C55204"/>
    <w:rsid w:val="00C60415"/>
    <w:rsid w:val="00C64697"/>
    <w:rsid w:val="00C65EB9"/>
    <w:rsid w:val="00C702D6"/>
    <w:rsid w:val="00C735B1"/>
    <w:rsid w:val="00C74A9D"/>
    <w:rsid w:val="00C812DB"/>
    <w:rsid w:val="00C8130A"/>
    <w:rsid w:val="00C83903"/>
    <w:rsid w:val="00C9473C"/>
    <w:rsid w:val="00C9602A"/>
    <w:rsid w:val="00CA19AC"/>
    <w:rsid w:val="00CA3B1E"/>
    <w:rsid w:val="00CA7A23"/>
    <w:rsid w:val="00CB001F"/>
    <w:rsid w:val="00CC1525"/>
    <w:rsid w:val="00CC4247"/>
    <w:rsid w:val="00CC78DD"/>
    <w:rsid w:val="00CD12D6"/>
    <w:rsid w:val="00CD4D54"/>
    <w:rsid w:val="00CD6FE6"/>
    <w:rsid w:val="00CE1158"/>
    <w:rsid w:val="00CF1F08"/>
    <w:rsid w:val="00CF44D7"/>
    <w:rsid w:val="00CF5369"/>
    <w:rsid w:val="00D055D6"/>
    <w:rsid w:val="00D05C9A"/>
    <w:rsid w:val="00D07BCA"/>
    <w:rsid w:val="00D13803"/>
    <w:rsid w:val="00D21983"/>
    <w:rsid w:val="00D243A6"/>
    <w:rsid w:val="00D32FEF"/>
    <w:rsid w:val="00D34761"/>
    <w:rsid w:val="00D52B48"/>
    <w:rsid w:val="00D55631"/>
    <w:rsid w:val="00D569F5"/>
    <w:rsid w:val="00D632A9"/>
    <w:rsid w:val="00D63ABD"/>
    <w:rsid w:val="00D66E19"/>
    <w:rsid w:val="00D7209E"/>
    <w:rsid w:val="00D72F37"/>
    <w:rsid w:val="00D80429"/>
    <w:rsid w:val="00D83E48"/>
    <w:rsid w:val="00D843B6"/>
    <w:rsid w:val="00D878CD"/>
    <w:rsid w:val="00D91CAF"/>
    <w:rsid w:val="00D9238D"/>
    <w:rsid w:val="00D97369"/>
    <w:rsid w:val="00DB1445"/>
    <w:rsid w:val="00DB6C04"/>
    <w:rsid w:val="00DB7FA6"/>
    <w:rsid w:val="00DC27BF"/>
    <w:rsid w:val="00DC78F1"/>
    <w:rsid w:val="00DD0A8F"/>
    <w:rsid w:val="00DE0D26"/>
    <w:rsid w:val="00DE510F"/>
    <w:rsid w:val="00DE5EBA"/>
    <w:rsid w:val="00DE6B0B"/>
    <w:rsid w:val="00DF00C9"/>
    <w:rsid w:val="00DF0E8A"/>
    <w:rsid w:val="00DF6F32"/>
    <w:rsid w:val="00E00640"/>
    <w:rsid w:val="00E021D4"/>
    <w:rsid w:val="00E06392"/>
    <w:rsid w:val="00E0748D"/>
    <w:rsid w:val="00E07916"/>
    <w:rsid w:val="00E2588E"/>
    <w:rsid w:val="00E3139C"/>
    <w:rsid w:val="00E32DD0"/>
    <w:rsid w:val="00E34CD3"/>
    <w:rsid w:val="00E41E7C"/>
    <w:rsid w:val="00E432A3"/>
    <w:rsid w:val="00E4398E"/>
    <w:rsid w:val="00E45FD3"/>
    <w:rsid w:val="00E53F1B"/>
    <w:rsid w:val="00E5400C"/>
    <w:rsid w:val="00E561D3"/>
    <w:rsid w:val="00E63F9C"/>
    <w:rsid w:val="00E72551"/>
    <w:rsid w:val="00E7633A"/>
    <w:rsid w:val="00E81567"/>
    <w:rsid w:val="00E86061"/>
    <w:rsid w:val="00E86B79"/>
    <w:rsid w:val="00EA17E9"/>
    <w:rsid w:val="00EA350B"/>
    <w:rsid w:val="00EA64AC"/>
    <w:rsid w:val="00EB6845"/>
    <w:rsid w:val="00EB737C"/>
    <w:rsid w:val="00EC276A"/>
    <w:rsid w:val="00EC282C"/>
    <w:rsid w:val="00ED4C6F"/>
    <w:rsid w:val="00ED6D6D"/>
    <w:rsid w:val="00EE438C"/>
    <w:rsid w:val="00EE6C8B"/>
    <w:rsid w:val="00EE79DC"/>
    <w:rsid w:val="00EF4803"/>
    <w:rsid w:val="00EF5638"/>
    <w:rsid w:val="00EF64A3"/>
    <w:rsid w:val="00EF665B"/>
    <w:rsid w:val="00F0573C"/>
    <w:rsid w:val="00F14C54"/>
    <w:rsid w:val="00F166E1"/>
    <w:rsid w:val="00F305AA"/>
    <w:rsid w:val="00F31D4C"/>
    <w:rsid w:val="00F333C4"/>
    <w:rsid w:val="00F35449"/>
    <w:rsid w:val="00F354EA"/>
    <w:rsid w:val="00F358C5"/>
    <w:rsid w:val="00F3659F"/>
    <w:rsid w:val="00F41083"/>
    <w:rsid w:val="00F4155C"/>
    <w:rsid w:val="00F44059"/>
    <w:rsid w:val="00F464FA"/>
    <w:rsid w:val="00F50A36"/>
    <w:rsid w:val="00F601ED"/>
    <w:rsid w:val="00F72444"/>
    <w:rsid w:val="00F72BDF"/>
    <w:rsid w:val="00F74776"/>
    <w:rsid w:val="00F748CF"/>
    <w:rsid w:val="00F776C6"/>
    <w:rsid w:val="00F808D6"/>
    <w:rsid w:val="00F83553"/>
    <w:rsid w:val="00F90234"/>
    <w:rsid w:val="00F9112E"/>
    <w:rsid w:val="00F94B37"/>
    <w:rsid w:val="00FA195F"/>
    <w:rsid w:val="00FA1B0A"/>
    <w:rsid w:val="00FA1E97"/>
    <w:rsid w:val="00FB1A33"/>
    <w:rsid w:val="00FC2E5B"/>
    <w:rsid w:val="00FC3666"/>
    <w:rsid w:val="00FC6504"/>
    <w:rsid w:val="00FC68D9"/>
    <w:rsid w:val="00FD08D2"/>
    <w:rsid w:val="00FD1BD0"/>
    <w:rsid w:val="00FD23C0"/>
    <w:rsid w:val="00FD4663"/>
    <w:rsid w:val="00FD54B7"/>
    <w:rsid w:val="00FE16AA"/>
    <w:rsid w:val="00FE21FB"/>
    <w:rsid w:val="00FE511C"/>
    <w:rsid w:val="00FE5A80"/>
    <w:rsid w:val="00FF6558"/>
    <w:rsid w:val="00FF7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5E187"/>
  <w15:docId w15:val="{9F1884FD-9A1F-4101-BFD6-69FA5022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CD3"/>
    <w:rPr>
      <w:rFonts w:ascii="Arial" w:hAnsi="Arial"/>
      <w:sz w:val="20"/>
    </w:rPr>
  </w:style>
  <w:style w:type="paragraph" w:styleId="Heading1">
    <w:name w:val="heading 1"/>
    <w:basedOn w:val="Normal"/>
    <w:next w:val="Normal"/>
    <w:link w:val="Heading1Char"/>
    <w:uiPriority w:val="9"/>
    <w:qFormat/>
    <w:rsid w:val="009E42F3"/>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290D6C"/>
    <w:pPr>
      <w:keepNext/>
      <w:keepLines/>
      <w:spacing w:before="200" w:after="0"/>
      <w:outlineLvl w:val="1"/>
    </w:pPr>
    <w:rPr>
      <w:rFonts w:eastAsiaTheme="majorEastAsia" w:cstheme="majorBidi"/>
      <w:b/>
      <w:bCs/>
      <w:color w:val="009EE0"/>
      <w:sz w:val="28"/>
      <w:szCs w:val="26"/>
    </w:rPr>
  </w:style>
  <w:style w:type="paragraph" w:styleId="Heading3">
    <w:name w:val="heading 3"/>
    <w:basedOn w:val="Normal"/>
    <w:next w:val="Normal"/>
    <w:link w:val="Heading3Char"/>
    <w:uiPriority w:val="9"/>
    <w:unhideWhenUsed/>
    <w:qFormat/>
    <w:rsid w:val="00323B10"/>
    <w:pPr>
      <w:keepNext/>
      <w:keepLines/>
      <w:spacing w:before="200" w:after="0"/>
      <w:outlineLvl w:val="2"/>
    </w:pPr>
    <w:rPr>
      <w:rFonts w:eastAsiaTheme="majorEastAsia" w:cstheme="majorBidi"/>
      <w:b/>
      <w:bCs/>
      <w:color w:val="313231"/>
      <w:sz w:val="24"/>
    </w:rPr>
  </w:style>
  <w:style w:type="paragraph" w:styleId="Heading4">
    <w:name w:val="heading 4"/>
    <w:basedOn w:val="Normal"/>
    <w:next w:val="Normal"/>
    <w:link w:val="Heading4Char"/>
    <w:uiPriority w:val="9"/>
    <w:unhideWhenUsed/>
    <w:qFormat/>
    <w:rsid w:val="00323B10"/>
    <w:pPr>
      <w:keepNext/>
      <w:keepLines/>
      <w:spacing w:before="200" w:after="0"/>
      <w:outlineLvl w:val="3"/>
    </w:pPr>
    <w:rPr>
      <w:rFonts w:eastAsiaTheme="majorEastAsia" w:cstheme="majorBidi"/>
      <w:b/>
      <w:bCs/>
      <w:i/>
      <w:iCs/>
      <w:color w:val="7F7F7F" w:themeColor="text1" w:themeTint="80"/>
    </w:rPr>
  </w:style>
  <w:style w:type="paragraph" w:styleId="Heading5">
    <w:name w:val="heading 5"/>
    <w:basedOn w:val="Normal"/>
    <w:next w:val="Normal"/>
    <w:link w:val="Heading5Char"/>
    <w:unhideWhenUsed/>
    <w:qFormat/>
    <w:rsid w:val="00290D6C"/>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3D73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5E1243"/>
    <w:pPr>
      <w:tabs>
        <w:tab w:val="num" w:pos="1296"/>
      </w:tabs>
      <w:spacing w:before="240" w:after="60" w:line="240" w:lineRule="auto"/>
      <w:ind w:left="1296" w:hanging="1296"/>
      <w:outlineLvl w:val="6"/>
    </w:pPr>
    <w:rPr>
      <w:rFonts w:eastAsia="Times New Roman" w:cs="Times New Roman"/>
      <w:sz w:val="22"/>
      <w:szCs w:val="20"/>
    </w:rPr>
  </w:style>
  <w:style w:type="paragraph" w:styleId="Heading8">
    <w:name w:val="heading 8"/>
    <w:basedOn w:val="Normal"/>
    <w:next w:val="Normal"/>
    <w:link w:val="Heading8Char"/>
    <w:qFormat/>
    <w:rsid w:val="005E1243"/>
    <w:pPr>
      <w:tabs>
        <w:tab w:val="num" w:pos="1440"/>
      </w:tabs>
      <w:spacing w:before="240" w:after="60" w:line="240" w:lineRule="auto"/>
      <w:ind w:left="1440" w:hanging="1440"/>
      <w:outlineLvl w:val="7"/>
    </w:pPr>
    <w:rPr>
      <w:rFonts w:eastAsia="Times New Roman" w:cs="Times New Roman"/>
      <w:i/>
      <w:sz w:val="22"/>
      <w:szCs w:val="20"/>
    </w:rPr>
  </w:style>
  <w:style w:type="paragraph" w:styleId="Heading9">
    <w:name w:val="heading 9"/>
    <w:basedOn w:val="Normal"/>
    <w:next w:val="Normal"/>
    <w:link w:val="Heading9Char"/>
    <w:qFormat/>
    <w:rsid w:val="005E1243"/>
    <w:pPr>
      <w:tabs>
        <w:tab w:val="num" w:pos="1584"/>
      </w:tabs>
      <w:spacing w:before="240" w:after="60" w:line="240" w:lineRule="auto"/>
      <w:ind w:left="1584" w:hanging="1584"/>
      <w:outlineLvl w:val="8"/>
    </w:pPr>
    <w:rPr>
      <w:rFonts w:eastAsia="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2F3"/>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290D6C"/>
    <w:rPr>
      <w:rFonts w:ascii="Arial" w:eastAsiaTheme="majorEastAsia" w:hAnsi="Arial" w:cstheme="majorBidi"/>
      <w:b/>
      <w:bCs/>
      <w:color w:val="009EE0"/>
      <w:sz w:val="28"/>
      <w:szCs w:val="26"/>
    </w:rPr>
  </w:style>
  <w:style w:type="character" w:customStyle="1" w:styleId="Heading3Char">
    <w:name w:val="Heading 3 Char"/>
    <w:basedOn w:val="DefaultParagraphFont"/>
    <w:link w:val="Heading3"/>
    <w:uiPriority w:val="9"/>
    <w:rsid w:val="00323B10"/>
    <w:rPr>
      <w:rFonts w:ascii="Arial" w:eastAsiaTheme="majorEastAsia" w:hAnsi="Arial" w:cstheme="majorBidi"/>
      <w:b/>
      <w:bCs/>
      <w:color w:val="313231"/>
      <w:sz w:val="24"/>
    </w:rPr>
  </w:style>
  <w:style w:type="character" w:customStyle="1" w:styleId="Heading4Char">
    <w:name w:val="Heading 4 Char"/>
    <w:basedOn w:val="DefaultParagraphFont"/>
    <w:link w:val="Heading4"/>
    <w:uiPriority w:val="9"/>
    <w:rsid w:val="00323B10"/>
    <w:rPr>
      <w:rFonts w:ascii="Arial" w:eastAsiaTheme="majorEastAsia" w:hAnsi="Arial" w:cstheme="majorBidi"/>
      <w:b/>
      <w:bCs/>
      <w:i/>
      <w:iCs/>
      <w:color w:val="7F7F7F" w:themeColor="text1" w:themeTint="80"/>
      <w:sz w:val="20"/>
    </w:rPr>
  </w:style>
  <w:style w:type="paragraph" w:styleId="Title">
    <w:name w:val="Title"/>
    <w:basedOn w:val="Normal"/>
    <w:next w:val="Normal"/>
    <w:link w:val="TitleChar"/>
    <w:uiPriority w:val="10"/>
    <w:qFormat/>
    <w:rsid w:val="00DE5E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5EB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Table,6. Table"/>
    <w:basedOn w:val="Normal"/>
    <w:link w:val="ListParagraphChar"/>
    <w:uiPriority w:val="34"/>
    <w:qFormat/>
    <w:rsid w:val="00DE5EBA"/>
    <w:pPr>
      <w:ind w:left="720"/>
      <w:contextualSpacing/>
    </w:pPr>
  </w:style>
  <w:style w:type="table" w:styleId="TableGrid">
    <w:name w:val="Table Grid"/>
    <w:basedOn w:val="TableNormal"/>
    <w:uiPriority w:val="59"/>
    <w:rsid w:val="007D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47EB"/>
    <w:pPr>
      <w:outlineLvl w:val="9"/>
    </w:pPr>
    <w:rPr>
      <w:rFonts w:asciiTheme="majorHAnsi" w:hAnsiTheme="majorHAnsi"/>
      <w:sz w:val="28"/>
      <w:lang w:val="en-US" w:eastAsia="ja-JP"/>
    </w:rPr>
  </w:style>
  <w:style w:type="paragraph" w:styleId="TOC1">
    <w:name w:val="toc 1"/>
    <w:basedOn w:val="Normal"/>
    <w:next w:val="Normal"/>
    <w:autoRedefine/>
    <w:uiPriority w:val="39"/>
    <w:unhideWhenUsed/>
    <w:qFormat/>
    <w:rsid w:val="005C47EB"/>
    <w:pPr>
      <w:spacing w:after="100"/>
    </w:pPr>
  </w:style>
  <w:style w:type="paragraph" w:styleId="TOC2">
    <w:name w:val="toc 2"/>
    <w:basedOn w:val="Normal"/>
    <w:next w:val="Normal"/>
    <w:autoRedefine/>
    <w:uiPriority w:val="39"/>
    <w:unhideWhenUsed/>
    <w:qFormat/>
    <w:rsid w:val="005C47EB"/>
    <w:pPr>
      <w:spacing w:after="100"/>
      <w:ind w:left="220"/>
    </w:pPr>
  </w:style>
  <w:style w:type="paragraph" w:styleId="TOC3">
    <w:name w:val="toc 3"/>
    <w:basedOn w:val="Normal"/>
    <w:next w:val="Normal"/>
    <w:autoRedefine/>
    <w:uiPriority w:val="39"/>
    <w:unhideWhenUsed/>
    <w:qFormat/>
    <w:rsid w:val="004C7825"/>
    <w:pPr>
      <w:tabs>
        <w:tab w:val="left" w:pos="1134"/>
        <w:tab w:val="right" w:leader="dot" w:pos="9182"/>
      </w:tabs>
      <w:spacing w:after="100"/>
      <w:ind w:left="440"/>
    </w:pPr>
  </w:style>
  <w:style w:type="paragraph" w:styleId="BalloonText">
    <w:name w:val="Balloon Text"/>
    <w:basedOn w:val="Normal"/>
    <w:link w:val="BalloonTextChar"/>
    <w:uiPriority w:val="99"/>
    <w:semiHidden/>
    <w:unhideWhenUsed/>
    <w:rsid w:val="005C4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7EB"/>
    <w:rPr>
      <w:rFonts w:ascii="Tahoma" w:hAnsi="Tahoma" w:cs="Tahoma"/>
      <w:sz w:val="16"/>
      <w:szCs w:val="16"/>
    </w:rPr>
  </w:style>
  <w:style w:type="character" w:styleId="Hyperlink">
    <w:name w:val="Hyperlink"/>
    <w:basedOn w:val="DefaultParagraphFont"/>
    <w:uiPriority w:val="99"/>
    <w:unhideWhenUsed/>
    <w:rsid w:val="005C47EB"/>
    <w:rPr>
      <w:color w:val="0000FF" w:themeColor="hyperlink"/>
      <w:u w:val="single"/>
    </w:rPr>
  </w:style>
  <w:style w:type="paragraph" w:styleId="Header">
    <w:name w:val="header"/>
    <w:basedOn w:val="Normal"/>
    <w:link w:val="HeaderChar"/>
    <w:uiPriority w:val="99"/>
    <w:unhideWhenUsed/>
    <w:rsid w:val="00290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D6C"/>
    <w:rPr>
      <w:rFonts w:ascii="Arial" w:hAnsi="Arial"/>
      <w:sz w:val="20"/>
    </w:rPr>
  </w:style>
  <w:style w:type="paragraph" w:styleId="Footer">
    <w:name w:val="footer"/>
    <w:basedOn w:val="Normal"/>
    <w:link w:val="FooterChar"/>
    <w:uiPriority w:val="99"/>
    <w:unhideWhenUsed/>
    <w:rsid w:val="00290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D6C"/>
    <w:rPr>
      <w:rFonts w:ascii="Arial" w:hAnsi="Arial"/>
      <w:sz w:val="20"/>
    </w:rPr>
  </w:style>
  <w:style w:type="character" w:customStyle="1" w:styleId="Heading5Char">
    <w:name w:val="Heading 5 Char"/>
    <w:basedOn w:val="DefaultParagraphFont"/>
    <w:link w:val="Heading5"/>
    <w:uiPriority w:val="9"/>
    <w:rsid w:val="00290D6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3D73D3"/>
    <w:rPr>
      <w:rFonts w:asciiTheme="majorHAnsi" w:eastAsiaTheme="majorEastAsia" w:hAnsiTheme="majorHAnsi" w:cstheme="majorBidi"/>
      <w:i/>
      <w:iCs/>
      <w:color w:val="243F60" w:themeColor="accent1" w:themeShade="7F"/>
      <w:sz w:val="20"/>
    </w:rPr>
  </w:style>
  <w:style w:type="paragraph" w:customStyle="1" w:styleId="TableContents">
    <w:name w:val="Table Contents"/>
    <w:basedOn w:val="BodyText2"/>
    <w:rsid w:val="005E1243"/>
    <w:pPr>
      <w:spacing w:after="0" w:line="240" w:lineRule="auto"/>
    </w:pPr>
    <w:rPr>
      <w:rFonts w:eastAsia="Times New Roman" w:cs="Times New Roman"/>
      <w:sz w:val="18"/>
      <w:szCs w:val="18"/>
      <w:lang w:val="en-GB"/>
    </w:rPr>
  </w:style>
  <w:style w:type="paragraph" w:styleId="BodyText2">
    <w:name w:val="Body Text 2"/>
    <w:basedOn w:val="Normal"/>
    <w:link w:val="BodyText2Char"/>
    <w:unhideWhenUsed/>
    <w:rsid w:val="005E1243"/>
    <w:pPr>
      <w:spacing w:after="120" w:line="480" w:lineRule="auto"/>
    </w:pPr>
  </w:style>
  <w:style w:type="character" w:customStyle="1" w:styleId="BodyText2Char">
    <w:name w:val="Body Text 2 Char"/>
    <w:basedOn w:val="DefaultParagraphFont"/>
    <w:link w:val="BodyText2"/>
    <w:uiPriority w:val="99"/>
    <w:semiHidden/>
    <w:rsid w:val="005E1243"/>
    <w:rPr>
      <w:rFonts w:ascii="Arial" w:hAnsi="Arial"/>
      <w:sz w:val="20"/>
    </w:rPr>
  </w:style>
  <w:style w:type="paragraph" w:customStyle="1" w:styleId="Title1">
    <w:name w:val="Title 1"/>
    <w:basedOn w:val="Normal"/>
    <w:rsid w:val="005E1243"/>
    <w:pPr>
      <w:spacing w:after="240" w:line="240" w:lineRule="auto"/>
    </w:pPr>
    <w:rPr>
      <w:rFonts w:eastAsia="Times New Roman" w:cs="Times New Roman"/>
      <w:b/>
      <w:sz w:val="24"/>
      <w:szCs w:val="20"/>
    </w:rPr>
  </w:style>
  <w:style w:type="paragraph" w:styleId="BodyText">
    <w:name w:val="Body Text"/>
    <w:basedOn w:val="Normal"/>
    <w:link w:val="BodyTextChar"/>
    <w:unhideWhenUsed/>
    <w:rsid w:val="005E1243"/>
    <w:pPr>
      <w:spacing w:after="120"/>
    </w:pPr>
  </w:style>
  <w:style w:type="character" w:customStyle="1" w:styleId="BodyTextChar">
    <w:name w:val="Body Text Char"/>
    <w:basedOn w:val="DefaultParagraphFont"/>
    <w:link w:val="BodyText"/>
    <w:uiPriority w:val="99"/>
    <w:semiHidden/>
    <w:rsid w:val="005E1243"/>
    <w:rPr>
      <w:rFonts w:ascii="Arial" w:hAnsi="Arial"/>
      <w:sz w:val="20"/>
    </w:rPr>
  </w:style>
  <w:style w:type="paragraph" w:styleId="BodyText3">
    <w:name w:val="Body Text 3"/>
    <w:basedOn w:val="Normal"/>
    <w:link w:val="BodyText3Char"/>
    <w:unhideWhenUsed/>
    <w:rsid w:val="005E1243"/>
    <w:pPr>
      <w:spacing w:after="120"/>
    </w:pPr>
    <w:rPr>
      <w:sz w:val="16"/>
      <w:szCs w:val="16"/>
    </w:rPr>
  </w:style>
  <w:style w:type="character" w:customStyle="1" w:styleId="BodyText3Char">
    <w:name w:val="Body Text 3 Char"/>
    <w:basedOn w:val="DefaultParagraphFont"/>
    <w:link w:val="BodyText3"/>
    <w:uiPriority w:val="99"/>
    <w:semiHidden/>
    <w:rsid w:val="005E1243"/>
    <w:rPr>
      <w:rFonts w:ascii="Arial" w:hAnsi="Arial"/>
      <w:sz w:val="16"/>
      <w:szCs w:val="16"/>
    </w:rPr>
  </w:style>
  <w:style w:type="character" w:customStyle="1" w:styleId="Heading7Char">
    <w:name w:val="Heading 7 Char"/>
    <w:basedOn w:val="DefaultParagraphFont"/>
    <w:link w:val="Heading7"/>
    <w:rsid w:val="005E1243"/>
    <w:rPr>
      <w:rFonts w:ascii="Arial" w:eastAsia="Times New Roman" w:hAnsi="Arial" w:cs="Times New Roman"/>
      <w:szCs w:val="20"/>
    </w:rPr>
  </w:style>
  <w:style w:type="character" w:customStyle="1" w:styleId="Heading8Char">
    <w:name w:val="Heading 8 Char"/>
    <w:basedOn w:val="DefaultParagraphFont"/>
    <w:link w:val="Heading8"/>
    <w:rsid w:val="005E1243"/>
    <w:rPr>
      <w:rFonts w:ascii="Arial" w:eastAsia="Times New Roman" w:hAnsi="Arial" w:cs="Times New Roman"/>
      <w:i/>
      <w:szCs w:val="20"/>
    </w:rPr>
  </w:style>
  <w:style w:type="character" w:customStyle="1" w:styleId="Heading9Char">
    <w:name w:val="Heading 9 Char"/>
    <w:basedOn w:val="DefaultParagraphFont"/>
    <w:link w:val="Heading9"/>
    <w:rsid w:val="005E1243"/>
    <w:rPr>
      <w:rFonts w:ascii="Arial" w:eastAsia="Times New Roman" w:hAnsi="Arial" w:cs="Times New Roman"/>
      <w:b/>
      <w:i/>
      <w:sz w:val="18"/>
      <w:szCs w:val="20"/>
    </w:rPr>
  </w:style>
  <w:style w:type="character" w:styleId="PageNumber">
    <w:name w:val="page number"/>
    <w:basedOn w:val="DefaultParagraphFont"/>
    <w:rsid w:val="005E1243"/>
  </w:style>
  <w:style w:type="paragraph" w:styleId="TOC4">
    <w:name w:val="toc 4"/>
    <w:basedOn w:val="Normal"/>
    <w:next w:val="Normal"/>
    <w:autoRedefine/>
    <w:semiHidden/>
    <w:rsid w:val="005E1243"/>
    <w:pPr>
      <w:spacing w:after="0" w:line="240" w:lineRule="auto"/>
      <w:ind w:left="600"/>
    </w:pPr>
    <w:rPr>
      <w:rFonts w:eastAsia="Times New Roman" w:cs="Times New Roman"/>
      <w:sz w:val="18"/>
      <w:szCs w:val="18"/>
    </w:rPr>
  </w:style>
  <w:style w:type="paragraph" w:styleId="TOC5">
    <w:name w:val="toc 5"/>
    <w:basedOn w:val="Normal"/>
    <w:next w:val="Normal"/>
    <w:autoRedefine/>
    <w:semiHidden/>
    <w:rsid w:val="005E1243"/>
    <w:pPr>
      <w:spacing w:after="0" w:line="240" w:lineRule="auto"/>
      <w:ind w:left="800"/>
    </w:pPr>
    <w:rPr>
      <w:rFonts w:eastAsia="Times New Roman" w:cs="Times New Roman"/>
      <w:sz w:val="18"/>
      <w:szCs w:val="18"/>
    </w:rPr>
  </w:style>
  <w:style w:type="paragraph" w:styleId="TOC6">
    <w:name w:val="toc 6"/>
    <w:basedOn w:val="Normal"/>
    <w:next w:val="Normal"/>
    <w:autoRedefine/>
    <w:semiHidden/>
    <w:rsid w:val="005E1243"/>
    <w:pPr>
      <w:spacing w:after="0" w:line="240" w:lineRule="auto"/>
      <w:ind w:left="1000"/>
    </w:pPr>
    <w:rPr>
      <w:rFonts w:eastAsia="Times New Roman" w:cs="Times New Roman"/>
      <w:sz w:val="18"/>
      <w:szCs w:val="18"/>
    </w:rPr>
  </w:style>
  <w:style w:type="paragraph" w:styleId="TOC7">
    <w:name w:val="toc 7"/>
    <w:basedOn w:val="Normal"/>
    <w:next w:val="Normal"/>
    <w:autoRedefine/>
    <w:semiHidden/>
    <w:rsid w:val="005E1243"/>
    <w:pPr>
      <w:spacing w:after="0" w:line="240" w:lineRule="auto"/>
      <w:ind w:left="1200"/>
    </w:pPr>
    <w:rPr>
      <w:rFonts w:eastAsia="Times New Roman" w:cs="Times New Roman"/>
      <w:sz w:val="18"/>
      <w:szCs w:val="18"/>
    </w:rPr>
  </w:style>
  <w:style w:type="paragraph" w:styleId="TOC8">
    <w:name w:val="toc 8"/>
    <w:basedOn w:val="Normal"/>
    <w:next w:val="Normal"/>
    <w:autoRedefine/>
    <w:semiHidden/>
    <w:rsid w:val="005E1243"/>
    <w:pPr>
      <w:spacing w:after="0" w:line="240" w:lineRule="auto"/>
      <w:ind w:left="1400"/>
    </w:pPr>
    <w:rPr>
      <w:rFonts w:eastAsia="Times New Roman" w:cs="Times New Roman"/>
      <w:sz w:val="18"/>
      <w:szCs w:val="18"/>
    </w:rPr>
  </w:style>
  <w:style w:type="paragraph" w:styleId="TOC9">
    <w:name w:val="toc 9"/>
    <w:basedOn w:val="Normal"/>
    <w:next w:val="Normal"/>
    <w:autoRedefine/>
    <w:semiHidden/>
    <w:rsid w:val="005E1243"/>
    <w:pPr>
      <w:spacing w:after="0" w:line="240" w:lineRule="auto"/>
      <w:ind w:left="1600"/>
    </w:pPr>
    <w:rPr>
      <w:rFonts w:eastAsia="Times New Roman" w:cs="Times New Roman"/>
      <w:sz w:val="18"/>
      <w:szCs w:val="18"/>
    </w:rPr>
  </w:style>
  <w:style w:type="paragraph" w:customStyle="1" w:styleId="TableHeader">
    <w:name w:val="Table Header"/>
    <w:basedOn w:val="BodyText2"/>
    <w:rsid w:val="005E1243"/>
    <w:pPr>
      <w:spacing w:after="0" w:line="240" w:lineRule="auto"/>
    </w:pPr>
    <w:rPr>
      <w:rFonts w:eastAsia="Times New Roman" w:cs="Times New Roman"/>
      <w:b/>
      <w:bCs/>
      <w:lang w:val="en-GB"/>
    </w:rPr>
  </w:style>
  <w:style w:type="paragraph" w:styleId="Caption">
    <w:name w:val="caption"/>
    <w:basedOn w:val="Normal"/>
    <w:next w:val="Normal"/>
    <w:qFormat/>
    <w:rsid w:val="005E1243"/>
    <w:pPr>
      <w:spacing w:before="120" w:after="120" w:line="240" w:lineRule="auto"/>
    </w:pPr>
    <w:rPr>
      <w:rFonts w:eastAsia="Times New Roman" w:cs="Times New Roman"/>
      <w:b/>
      <w:bCs/>
      <w:sz w:val="22"/>
      <w:szCs w:val="20"/>
    </w:rPr>
  </w:style>
  <w:style w:type="paragraph" w:customStyle="1" w:styleId="GMWCaption">
    <w:name w:val="GMW Caption"/>
    <w:basedOn w:val="Caption"/>
    <w:rsid w:val="005E1243"/>
    <w:pPr>
      <w:spacing w:before="0"/>
      <w:ind w:left="720"/>
    </w:pPr>
    <w:rPr>
      <w:b w:val="0"/>
      <w:bCs w:val="0"/>
      <w:i/>
      <w:iCs/>
      <w:sz w:val="18"/>
    </w:rPr>
  </w:style>
  <w:style w:type="paragraph" w:customStyle="1" w:styleId="Image">
    <w:name w:val="Image"/>
    <w:basedOn w:val="BodyText3"/>
    <w:rsid w:val="005E1243"/>
    <w:pPr>
      <w:keepNext/>
      <w:spacing w:line="240" w:lineRule="auto"/>
      <w:ind w:left="720"/>
    </w:pPr>
    <w:rPr>
      <w:rFonts w:eastAsia="Times New Roman" w:cs="Times New Roman"/>
      <w:sz w:val="22"/>
      <w:szCs w:val="22"/>
      <w:lang w:val="en-US"/>
    </w:rPr>
  </w:style>
  <w:style w:type="paragraph" w:customStyle="1" w:styleId="Bullets">
    <w:name w:val="Bullets"/>
    <w:basedOn w:val="BodyText3"/>
    <w:rsid w:val="005E1243"/>
    <w:pPr>
      <w:numPr>
        <w:numId w:val="1"/>
      </w:numPr>
      <w:spacing w:line="240" w:lineRule="auto"/>
    </w:pPr>
    <w:rPr>
      <w:rFonts w:eastAsia="Times New Roman" w:cs="Times New Roman"/>
      <w:sz w:val="22"/>
      <w:szCs w:val="22"/>
      <w:lang w:val="en-GB"/>
    </w:rPr>
  </w:style>
  <w:style w:type="paragraph" w:customStyle="1" w:styleId="Title2">
    <w:name w:val="Title 2"/>
    <w:basedOn w:val="Normal"/>
    <w:rsid w:val="005E1243"/>
    <w:pPr>
      <w:spacing w:after="0" w:line="240" w:lineRule="auto"/>
    </w:pPr>
    <w:rPr>
      <w:rFonts w:eastAsia="Times New Roman" w:cs="Times New Roman"/>
      <w:sz w:val="24"/>
      <w:szCs w:val="20"/>
    </w:rPr>
  </w:style>
  <w:style w:type="paragraph" w:customStyle="1" w:styleId="Cover1">
    <w:name w:val="Cover 1"/>
    <w:basedOn w:val="Title1"/>
    <w:rsid w:val="005E1243"/>
    <w:pPr>
      <w:jc w:val="center"/>
    </w:pPr>
    <w:rPr>
      <w:b w:val="0"/>
      <w:sz w:val="28"/>
      <w:szCs w:val="28"/>
    </w:rPr>
  </w:style>
  <w:style w:type="paragraph" w:customStyle="1" w:styleId="Default">
    <w:name w:val="Default"/>
    <w:rsid w:val="005E1243"/>
    <w:pPr>
      <w:autoSpaceDE w:val="0"/>
      <w:autoSpaceDN w:val="0"/>
      <w:adjustRightInd w:val="0"/>
      <w:spacing w:after="0" w:line="240" w:lineRule="auto"/>
    </w:pPr>
    <w:rPr>
      <w:rFonts w:ascii="Calibri" w:eastAsia="Times New Roman" w:hAnsi="Calibri" w:cs="Calibri"/>
      <w:color w:val="000000"/>
      <w:sz w:val="24"/>
      <w:szCs w:val="24"/>
      <w:lang w:val="en-US" w:eastAsia="en-AU"/>
    </w:rPr>
  </w:style>
  <w:style w:type="paragraph" w:styleId="FootnoteText">
    <w:name w:val="footnote text"/>
    <w:basedOn w:val="Normal"/>
    <w:link w:val="FootnoteTextChar"/>
    <w:semiHidden/>
    <w:rsid w:val="00306D8F"/>
    <w:pPr>
      <w:keepNext/>
      <w:tabs>
        <w:tab w:val="left" w:pos="720"/>
        <w:tab w:val="left" w:pos="1440"/>
        <w:tab w:val="left" w:pos="2160"/>
        <w:tab w:val="left" w:pos="2880"/>
        <w:tab w:val="left" w:pos="3600"/>
        <w:tab w:val="left" w:pos="4321"/>
        <w:tab w:val="left" w:pos="5041"/>
        <w:tab w:val="left" w:pos="5761"/>
        <w:tab w:val="left" w:pos="6481"/>
        <w:tab w:val="left" w:pos="7201"/>
      </w:tabs>
      <w:spacing w:after="0" w:line="360" w:lineRule="auto"/>
    </w:pPr>
    <w:rPr>
      <w:rFonts w:ascii="Trebuchet MS" w:eastAsia="Times New Roman" w:hAnsi="Trebuchet MS" w:cs="Times New Roman"/>
      <w:szCs w:val="20"/>
    </w:rPr>
  </w:style>
  <w:style w:type="character" w:customStyle="1" w:styleId="FootnoteTextChar">
    <w:name w:val="Footnote Text Char"/>
    <w:basedOn w:val="DefaultParagraphFont"/>
    <w:link w:val="FootnoteText"/>
    <w:semiHidden/>
    <w:rsid w:val="00306D8F"/>
    <w:rPr>
      <w:rFonts w:ascii="Trebuchet MS" w:eastAsia="Times New Roman" w:hAnsi="Trebuchet MS" w:cs="Times New Roman"/>
      <w:sz w:val="20"/>
      <w:szCs w:val="20"/>
    </w:rPr>
  </w:style>
  <w:style w:type="character" w:styleId="FootnoteReference">
    <w:name w:val="footnote reference"/>
    <w:basedOn w:val="DefaultParagraphFont"/>
    <w:semiHidden/>
    <w:rsid w:val="00306D8F"/>
    <w:rPr>
      <w:vertAlign w:val="superscript"/>
    </w:rPr>
  </w:style>
  <w:style w:type="paragraph" w:styleId="NoSpacing">
    <w:name w:val="No Spacing"/>
    <w:uiPriority w:val="1"/>
    <w:qFormat/>
    <w:rsid w:val="00306D8F"/>
    <w:pPr>
      <w:keepNext/>
      <w:tabs>
        <w:tab w:val="left" w:pos="720"/>
        <w:tab w:val="left" w:pos="1440"/>
        <w:tab w:val="left" w:pos="2160"/>
        <w:tab w:val="left" w:pos="2880"/>
        <w:tab w:val="left" w:pos="3600"/>
        <w:tab w:val="left" w:pos="4321"/>
        <w:tab w:val="left" w:pos="5041"/>
        <w:tab w:val="left" w:pos="5761"/>
        <w:tab w:val="left" w:pos="6481"/>
        <w:tab w:val="left" w:pos="7201"/>
      </w:tabs>
      <w:spacing w:after="0" w:line="240" w:lineRule="auto"/>
    </w:pPr>
    <w:rPr>
      <w:rFonts w:ascii="Trebuchet MS" w:eastAsia="Times New Roman" w:hAnsi="Trebuchet MS" w:cs="Times New Roman"/>
      <w:sz w:val="18"/>
      <w:szCs w:val="18"/>
    </w:rPr>
  </w:style>
  <w:style w:type="character" w:styleId="CommentReference">
    <w:name w:val="annotation reference"/>
    <w:basedOn w:val="DefaultParagraphFont"/>
    <w:uiPriority w:val="99"/>
    <w:semiHidden/>
    <w:unhideWhenUsed/>
    <w:rsid w:val="00306D8F"/>
    <w:rPr>
      <w:sz w:val="16"/>
      <w:szCs w:val="16"/>
    </w:rPr>
  </w:style>
  <w:style w:type="paragraph" w:styleId="CommentText">
    <w:name w:val="annotation text"/>
    <w:basedOn w:val="Normal"/>
    <w:link w:val="CommentTextChar"/>
    <w:uiPriority w:val="99"/>
    <w:semiHidden/>
    <w:unhideWhenUsed/>
    <w:rsid w:val="00306D8F"/>
    <w:pPr>
      <w:spacing w:after="0" w:line="240" w:lineRule="auto"/>
    </w:pPr>
    <w:rPr>
      <w:szCs w:val="20"/>
      <w:lang w:val="en-US"/>
    </w:rPr>
  </w:style>
  <w:style w:type="character" w:customStyle="1" w:styleId="CommentTextChar">
    <w:name w:val="Comment Text Char"/>
    <w:basedOn w:val="DefaultParagraphFont"/>
    <w:link w:val="CommentText"/>
    <w:uiPriority w:val="99"/>
    <w:semiHidden/>
    <w:rsid w:val="00306D8F"/>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306D8F"/>
    <w:rPr>
      <w:b/>
      <w:bCs/>
    </w:rPr>
  </w:style>
  <w:style w:type="character" w:customStyle="1" w:styleId="CommentSubjectChar">
    <w:name w:val="Comment Subject Char"/>
    <w:basedOn w:val="CommentTextChar"/>
    <w:link w:val="CommentSubject"/>
    <w:uiPriority w:val="99"/>
    <w:semiHidden/>
    <w:rsid w:val="00306D8F"/>
    <w:rPr>
      <w:rFonts w:ascii="Arial" w:hAnsi="Arial"/>
      <w:b/>
      <w:bCs/>
      <w:sz w:val="20"/>
      <w:szCs w:val="20"/>
      <w:lang w:val="en-US"/>
    </w:rPr>
  </w:style>
  <w:style w:type="paragraph" w:styleId="PlainText">
    <w:name w:val="Plain Text"/>
    <w:basedOn w:val="Normal"/>
    <w:link w:val="PlainTextChar"/>
    <w:uiPriority w:val="99"/>
    <w:semiHidden/>
    <w:unhideWhenUsed/>
    <w:rsid w:val="00306D8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06D8F"/>
    <w:rPr>
      <w:rFonts w:ascii="Consolas" w:hAnsi="Consolas" w:cs="Consolas"/>
      <w:sz w:val="21"/>
      <w:szCs w:val="21"/>
    </w:rPr>
  </w:style>
  <w:style w:type="paragraph" w:styleId="Revision">
    <w:name w:val="Revision"/>
    <w:hidden/>
    <w:uiPriority w:val="99"/>
    <w:semiHidden/>
    <w:rsid w:val="00306D8F"/>
    <w:pPr>
      <w:spacing w:after="0" w:line="240" w:lineRule="auto"/>
    </w:pPr>
    <w:rPr>
      <w:rFonts w:ascii="Arial" w:hAnsi="Arial"/>
      <w:lang w:val="en-US"/>
    </w:rPr>
  </w:style>
  <w:style w:type="paragraph" w:styleId="DocumentMap">
    <w:name w:val="Document Map"/>
    <w:basedOn w:val="Normal"/>
    <w:link w:val="DocumentMapChar"/>
    <w:uiPriority w:val="99"/>
    <w:semiHidden/>
    <w:unhideWhenUsed/>
    <w:rsid w:val="00306D8F"/>
    <w:pPr>
      <w:spacing w:after="0" w:line="240" w:lineRule="auto"/>
    </w:pPr>
    <w:rPr>
      <w:rFonts w:ascii="Lucida Grande" w:hAnsi="Lucida Grande"/>
      <w:sz w:val="24"/>
      <w:szCs w:val="24"/>
      <w:lang w:val="en-US"/>
    </w:rPr>
  </w:style>
  <w:style w:type="character" w:customStyle="1" w:styleId="DocumentMapChar">
    <w:name w:val="Document Map Char"/>
    <w:basedOn w:val="DefaultParagraphFont"/>
    <w:link w:val="DocumentMap"/>
    <w:uiPriority w:val="99"/>
    <w:semiHidden/>
    <w:rsid w:val="00306D8F"/>
    <w:rPr>
      <w:rFonts w:ascii="Lucida Grande" w:hAnsi="Lucida Grande"/>
      <w:sz w:val="24"/>
      <w:szCs w:val="24"/>
      <w:lang w:val="en-US"/>
    </w:rPr>
  </w:style>
  <w:style w:type="table" w:customStyle="1" w:styleId="TableGrid1">
    <w:name w:val="Table Grid1"/>
    <w:basedOn w:val="TableNormal"/>
    <w:next w:val="TableGrid"/>
    <w:uiPriority w:val="59"/>
    <w:rsid w:val="00306D8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6D8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D8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Char,6. Table Char"/>
    <w:basedOn w:val="DefaultParagraphFont"/>
    <w:link w:val="ListParagraph"/>
    <w:uiPriority w:val="34"/>
    <w:locked/>
    <w:rsid w:val="00037FF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548">
      <w:bodyDiv w:val="1"/>
      <w:marLeft w:val="0"/>
      <w:marRight w:val="0"/>
      <w:marTop w:val="0"/>
      <w:marBottom w:val="0"/>
      <w:divBdr>
        <w:top w:val="none" w:sz="0" w:space="0" w:color="auto"/>
        <w:left w:val="none" w:sz="0" w:space="0" w:color="auto"/>
        <w:bottom w:val="none" w:sz="0" w:space="0" w:color="auto"/>
        <w:right w:val="none" w:sz="0" w:space="0" w:color="auto"/>
      </w:divBdr>
    </w:div>
    <w:div w:id="193351144">
      <w:bodyDiv w:val="1"/>
      <w:marLeft w:val="0"/>
      <w:marRight w:val="0"/>
      <w:marTop w:val="0"/>
      <w:marBottom w:val="0"/>
      <w:divBdr>
        <w:top w:val="none" w:sz="0" w:space="0" w:color="auto"/>
        <w:left w:val="none" w:sz="0" w:space="0" w:color="auto"/>
        <w:bottom w:val="none" w:sz="0" w:space="0" w:color="auto"/>
        <w:right w:val="none" w:sz="0" w:space="0" w:color="auto"/>
      </w:divBdr>
    </w:div>
    <w:div w:id="411463646">
      <w:bodyDiv w:val="1"/>
      <w:marLeft w:val="0"/>
      <w:marRight w:val="0"/>
      <w:marTop w:val="0"/>
      <w:marBottom w:val="0"/>
      <w:divBdr>
        <w:top w:val="none" w:sz="0" w:space="0" w:color="auto"/>
        <w:left w:val="none" w:sz="0" w:space="0" w:color="auto"/>
        <w:bottom w:val="none" w:sz="0" w:space="0" w:color="auto"/>
        <w:right w:val="none" w:sz="0" w:space="0" w:color="auto"/>
      </w:divBdr>
    </w:div>
    <w:div w:id="463305539">
      <w:bodyDiv w:val="1"/>
      <w:marLeft w:val="0"/>
      <w:marRight w:val="0"/>
      <w:marTop w:val="0"/>
      <w:marBottom w:val="0"/>
      <w:divBdr>
        <w:top w:val="none" w:sz="0" w:space="0" w:color="auto"/>
        <w:left w:val="none" w:sz="0" w:space="0" w:color="auto"/>
        <w:bottom w:val="none" w:sz="0" w:space="0" w:color="auto"/>
        <w:right w:val="none" w:sz="0" w:space="0" w:color="auto"/>
      </w:divBdr>
    </w:div>
    <w:div w:id="473721528">
      <w:bodyDiv w:val="1"/>
      <w:marLeft w:val="0"/>
      <w:marRight w:val="0"/>
      <w:marTop w:val="0"/>
      <w:marBottom w:val="0"/>
      <w:divBdr>
        <w:top w:val="none" w:sz="0" w:space="0" w:color="auto"/>
        <w:left w:val="none" w:sz="0" w:space="0" w:color="auto"/>
        <w:bottom w:val="none" w:sz="0" w:space="0" w:color="auto"/>
        <w:right w:val="none" w:sz="0" w:space="0" w:color="auto"/>
      </w:divBdr>
      <w:divsChild>
        <w:div w:id="1372000302">
          <w:marLeft w:val="446"/>
          <w:marRight w:val="0"/>
          <w:marTop w:val="120"/>
          <w:marBottom w:val="120"/>
          <w:divBdr>
            <w:top w:val="none" w:sz="0" w:space="0" w:color="auto"/>
            <w:left w:val="none" w:sz="0" w:space="0" w:color="auto"/>
            <w:bottom w:val="none" w:sz="0" w:space="0" w:color="auto"/>
            <w:right w:val="none" w:sz="0" w:space="0" w:color="auto"/>
          </w:divBdr>
        </w:div>
        <w:div w:id="2091195300">
          <w:marLeft w:val="446"/>
          <w:marRight w:val="0"/>
          <w:marTop w:val="120"/>
          <w:marBottom w:val="120"/>
          <w:divBdr>
            <w:top w:val="none" w:sz="0" w:space="0" w:color="auto"/>
            <w:left w:val="none" w:sz="0" w:space="0" w:color="auto"/>
            <w:bottom w:val="none" w:sz="0" w:space="0" w:color="auto"/>
            <w:right w:val="none" w:sz="0" w:space="0" w:color="auto"/>
          </w:divBdr>
        </w:div>
        <w:div w:id="708142399">
          <w:marLeft w:val="446"/>
          <w:marRight w:val="0"/>
          <w:marTop w:val="120"/>
          <w:marBottom w:val="120"/>
          <w:divBdr>
            <w:top w:val="none" w:sz="0" w:space="0" w:color="auto"/>
            <w:left w:val="none" w:sz="0" w:space="0" w:color="auto"/>
            <w:bottom w:val="none" w:sz="0" w:space="0" w:color="auto"/>
            <w:right w:val="none" w:sz="0" w:space="0" w:color="auto"/>
          </w:divBdr>
        </w:div>
        <w:div w:id="1023937213">
          <w:marLeft w:val="446"/>
          <w:marRight w:val="0"/>
          <w:marTop w:val="120"/>
          <w:marBottom w:val="120"/>
          <w:divBdr>
            <w:top w:val="none" w:sz="0" w:space="0" w:color="auto"/>
            <w:left w:val="none" w:sz="0" w:space="0" w:color="auto"/>
            <w:bottom w:val="none" w:sz="0" w:space="0" w:color="auto"/>
            <w:right w:val="none" w:sz="0" w:space="0" w:color="auto"/>
          </w:divBdr>
        </w:div>
        <w:div w:id="933785638">
          <w:marLeft w:val="446"/>
          <w:marRight w:val="0"/>
          <w:marTop w:val="120"/>
          <w:marBottom w:val="120"/>
          <w:divBdr>
            <w:top w:val="none" w:sz="0" w:space="0" w:color="auto"/>
            <w:left w:val="none" w:sz="0" w:space="0" w:color="auto"/>
            <w:bottom w:val="none" w:sz="0" w:space="0" w:color="auto"/>
            <w:right w:val="none" w:sz="0" w:space="0" w:color="auto"/>
          </w:divBdr>
        </w:div>
        <w:div w:id="982657896">
          <w:marLeft w:val="446"/>
          <w:marRight w:val="0"/>
          <w:marTop w:val="0"/>
          <w:marBottom w:val="0"/>
          <w:divBdr>
            <w:top w:val="none" w:sz="0" w:space="0" w:color="auto"/>
            <w:left w:val="none" w:sz="0" w:space="0" w:color="auto"/>
            <w:bottom w:val="none" w:sz="0" w:space="0" w:color="auto"/>
            <w:right w:val="none" w:sz="0" w:space="0" w:color="auto"/>
          </w:divBdr>
        </w:div>
        <w:div w:id="730078338">
          <w:marLeft w:val="850"/>
          <w:marRight w:val="0"/>
          <w:marTop w:val="0"/>
          <w:marBottom w:val="0"/>
          <w:divBdr>
            <w:top w:val="none" w:sz="0" w:space="0" w:color="auto"/>
            <w:left w:val="none" w:sz="0" w:space="0" w:color="auto"/>
            <w:bottom w:val="none" w:sz="0" w:space="0" w:color="auto"/>
            <w:right w:val="none" w:sz="0" w:space="0" w:color="auto"/>
          </w:divBdr>
        </w:div>
        <w:div w:id="946736207">
          <w:marLeft w:val="850"/>
          <w:marRight w:val="0"/>
          <w:marTop w:val="120"/>
          <w:marBottom w:val="0"/>
          <w:divBdr>
            <w:top w:val="none" w:sz="0" w:space="0" w:color="auto"/>
            <w:left w:val="none" w:sz="0" w:space="0" w:color="auto"/>
            <w:bottom w:val="none" w:sz="0" w:space="0" w:color="auto"/>
            <w:right w:val="none" w:sz="0" w:space="0" w:color="auto"/>
          </w:divBdr>
        </w:div>
        <w:div w:id="1501432580">
          <w:marLeft w:val="850"/>
          <w:marRight w:val="0"/>
          <w:marTop w:val="120"/>
          <w:marBottom w:val="0"/>
          <w:divBdr>
            <w:top w:val="none" w:sz="0" w:space="0" w:color="auto"/>
            <w:left w:val="none" w:sz="0" w:space="0" w:color="auto"/>
            <w:bottom w:val="none" w:sz="0" w:space="0" w:color="auto"/>
            <w:right w:val="none" w:sz="0" w:space="0" w:color="auto"/>
          </w:divBdr>
        </w:div>
      </w:divsChild>
    </w:div>
    <w:div w:id="494230029">
      <w:bodyDiv w:val="1"/>
      <w:marLeft w:val="0"/>
      <w:marRight w:val="0"/>
      <w:marTop w:val="0"/>
      <w:marBottom w:val="0"/>
      <w:divBdr>
        <w:top w:val="none" w:sz="0" w:space="0" w:color="auto"/>
        <w:left w:val="none" w:sz="0" w:space="0" w:color="auto"/>
        <w:bottom w:val="none" w:sz="0" w:space="0" w:color="auto"/>
        <w:right w:val="none" w:sz="0" w:space="0" w:color="auto"/>
      </w:divBdr>
      <w:divsChild>
        <w:div w:id="667248177">
          <w:marLeft w:val="274"/>
          <w:marRight w:val="0"/>
          <w:marTop w:val="0"/>
          <w:marBottom w:val="0"/>
          <w:divBdr>
            <w:top w:val="none" w:sz="0" w:space="0" w:color="auto"/>
            <w:left w:val="none" w:sz="0" w:space="0" w:color="auto"/>
            <w:bottom w:val="none" w:sz="0" w:space="0" w:color="auto"/>
            <w:right w:val="none" w:sz="0" w:space="0" w:color="auto"/>
          </w:divBdr>
        </w:div>
        <w:div w:id="1667130944">
          <w:marLeft w:val="274"/>
          <w:marRight w:val="0"/>
          <w:marTop w:val="0"/>
          <w:marBottom w:val="0"/>
          <w:divBdr>
            <w:top w:val="none" w:sz="0" w:space="0" w:color="auto"/>
            <w:left w:val="none" w:sz="0" w:space="0" w:color="auto"/>
            <w:bottom w:val="none" w:sz="0" w:space="0" w:color="auto"/>
            <w:right w:val="none" w:sz="0" w:space="0" w:color="auto"/>
          </w:divBdr>
        </w:div>
        <w:div w:id="160775373">
          <w:marLeft w:val="274"/>
          <w:marRight w:val="0"/>
          <w:marTop w:val="0"/>
          <w:marBottom w:val="0"/>
          <w:divBdr>
            <w:top w:val="none" w:sz="0" w:space="0" w:color="auto"/>
            <w:left w:val="none" w:sz="0" w:space="0" w:color="auto"/>
            <w:bottom w:val="none" w:sz="0" w:space="0" w:color="auto"/>
            <w:right w:val="none" w:sz="0" w:space="0" w:color="auto"/>
          </w:divBdr>
        </w:div>
        <w:div w:id="404496283">
          <w:marLeft w:val="274"/>
          <w:marRight w:val="0"/>
          <w:marTop w:val="0"/>
          <w:marBottom w:val="0"/>
          <w:divBdr>
            <w:top w:val="none" w:sz="0" w:space="0" w:color="auto"/>
            <w:left w:val="none" w:sz="0" w:space="0" w:color="auto"/>
            <w:bottom w:val="none" w:sz="0" w:space="0" w:color="auto"/>
            <w:right w:val="none" w:sz="0" w:space="0" w:color="auto"/>
          </w:divBdr>
        </w:div>
        <w:div w:id="969751039">
          <w:marLeft w:val="274"/>
          <w:marRight w:val="0"/>
          <w:marTop w:val="0"/>
          <w:marBottom w:val="0"/>
          <w:divBdr>
            <w:top w:val="none" w:sz="0" w:space="0" w:color="auto"/>
            <w:left w:val="none" w:sz="0" w:space="0" w:color="auto"/>
            <w:bottom w:val="none" w:sz="0" w:space="0" w:color="auto"/>
            <w:right w:val="none" w:sz="0" w:space="0" w:color="auto"/>
          </w:divBdr>
        </w:div>
        <w:div w:id="242418454">
          <w:marLeft w:val="274"/>
          <w:marRight w:val="0"/>
          <w:marTop w:val="0"/>
          <w:marBottom w:val="0"/>
          <w:divBdr>
            <w:top w:val="none" w:sz="0" w:space="0" w:color="auto"/>
            <w:left w:val="none" w:sz="0" w:space="0" w:color="auto"/>
            <w:bottom w:val="none" w:sz="0" w:space="0" w:color="auto"/>
            <w:right w:val="none" w:sz="0" w:space="0" w:color="auto"/>
          </w:divBdr>
        </w:div>
        <w:div w:id="1351567038">
          <w:marLeft w:val="274"/>
          <w:marRight w:val="0"/>
          <w:marTop w:val="0"/>
          <w:marBottom w:val="0"/>
          <w:divBdr>
            <w:top w:val="none" w:sz="0" w:space="0" w:color="auto"/>
            <w:left w:val="none" w:sz="0" w:space="0" w:color="auto"/>
            <w:bottom w:val="none" w:sz="0" w:space="0" w:color="auto"/>
            <w:right w:val="none" w:sz="0" w:space="0" w:color="auto"/>
          </w:divBdr>
        </w:div>
        <w:div w:id="1500341392">
          <w:marLeft w:val="274"/>
          <w:marRight w:val="0"/>
          <w:marTop w:val="0"/>
          <w:marBottom w:val="0"/>
          <w:divBdr>
            <w:top w:val="none" w:sz="0" w:space="0" w:color="auto"/>
            <w:left w:val="none" w:sz="0" w:space="0" w:color="auto"/>
            <w:bottom w:val="none" w:sz="0" w:space="0" w:color="auto"/>
            <w:right w:val="none" w:sz="0" w:space="0" w:color="auto"/>
          </w:divBdr>
        </w:div>
        <w:div w:id="1324892826">
          <w:marLeft w:val="274"/>
          <w:marRight w:val="0"/>
          <w:marTop w:val="0"/>
          <w:marBottom w:val="0"/>
          <w:divBdr>
            <w:top w:val="none" w:sz="0" w:space="0" w:color="auto"/>
            <w:left w:val="none" w:sz="0" w:space="0" w:color="auto"/>
            <w:bottom w:val="none" w:sz="0" w:space="0" w:color="auto"/>
            <w:right w:val="none" w:sz="0" w:space="0" w:color="auto"/>
          </w:divBdr>
        </w:div>
        <w:div w:id="2041008521">
          <w:marLeft w:val="274"/>
          <w:marRight w:val="0"/>
          <w:marTop w:val="0"/>
          <w:marBottom w:val="0"/>
          <w:divBdr>
            <w:top w:val="none" w:sz="0" w:space="0" w:color="auto"/>
            <w:left w:val="none" w:sz="0" w:space="0" w:color="auto"/>
            <w:bottom w:val="none" w:sz="0" w:space="0" w:color="auto"/>
            <w:right w:val="none" w:sz="0" w:space="0" w:color="auto"/>
          </w:divBdr>
        </w:div>
        <w:div w:id="1831864352">
          <w:marLeft w:val="274"/>
          <w:marRight w:val="0"/>
          <w:marTop w:val="0"/>
          <w:marBottom w:val="0"/>
          <w:divBdr>
            <w:top w:val="none" w:sz="0" w:space="0" w:color="auto"/>
            <w:left w:val="none" w:sz="0" w:space="0" w:color="auto"/>
            <w:bottom w:val="none" w:sz="0" w:space="0" w:color="auto"/>
            <w:right w:val="none" w:sz="0" w:space="0" w:color="auto"/>
          </w:divBdr>
        </w:div>
        <w:div w:id="1927810946">
          <w:marLeft w:val="274"/>
          <w:marRight w:val="0"/>
          <w:marTop w:val="0"/>
          <w:marBottom w:val="0"/>
          <w:divBdr>
            <w:top w:val="none" w:sz="0" w:space="0" w:color="auto"/>
            <w:left w:val="none" w:sz="0" w:space="0" w:color="auto"/>
            <w:bottom w:val="none" w:sz="0" w:space="0" w:color="auto"/>
            <w:right w:val="none" w:sz="0" w:space="0" w:color="auto"/>
          </w:divBdr>
        </w:div>
        <w:div w:id="1718165373">
          <w:marLeft w:val="274"/>
          <w:marRight w:val="0"/>
          <w:marTop w:val="0"/>
          <w:marBottom w:val="0"/>
          <w:divBdr>
            <w:top w:val="none" w:sz="0" w:space="0" w:color="auto"/>
            <w:left w:val="none" w:sz="0" w:space="0" w:color="auto"/>
            <w:bottom w:val="none" w:sz="0" w:space="0" w:color="auto"/>
            <w:right w:val="none" w:sz="0" w:space="0" w:color="auto"/>
          </w:divBdr>
        </w:div>
        <w:div w:id="484586073">
          <w:marLeft w:val="274"/>
          <w:marRight w:val="0"/>
          <w:marTop w:val="0"/>
          <w:marBottom w:val="0"/>
          <w:divBdr>
            <w:top w:val="none" w:sz="0" w:space="0" w:color="auto"/>
            <w:left w:val="none" w:sz="0" w:space="0" w:color="auto"/>
            <w:bottom w:val="none" w:sz="0" w:space="0" w:color="auto"/>
            <w:right w:val="none" w:sz="0" w:space="0" w:color="auto"/>
          </w:divBdr>
        </w:div>
        <w:div w:id="1231113263">
          <w:marLeft w:val="274"/>
          <w:marRight w:val="0"/>
          <w:marTop w:val="0"/>
          <w:marBottom w:val="0"/>
          <w:divBdr>
            <w:top w:val="none" w:sz="0" w:space="0" w:color="auto"/>
            <w:left w:val="none" w:sz="0" w:space="0" w:color="auto"/>
            <w:bottom w:val="none" w:sz="0" w:space="0" w:color="auto"/>
            <w:right w:val="none" w:sz="0" w:space="0" w:color="auto"/>
          </w:divBdr>
        </w:div>
        <w:div w:id="1876849230">
          <w:marLeft w:val="274"/>
          <w:marRight w:val="0"/>
          <w:marTop w:val="0"/>
          <w:marBottom w:val="0"/>
          <w:divBdr>
            <w:top w:val="none" w:sz="0" w:space="0" w:color="auto"/>
            <w:left w:val="none" w:sz="0" w:space="0" w:color="auto"/>
            <w:bottom w:val="none" w:sz="0" w:space="0" w:color="auto"/>
            <w:right w:val="none" w:sz="0" w:space="0" w:color="auto"/>
          </w:divBdr>
        </w:div>
        <w:div w:id="337003278">
          <w:marLeft w:val="274"/>
          <w:marRight w:val="0"/>
          <w:marTop w:val="0"/>
          <w:marBottom w:val="0"/>
          <w:divBdr>
            <w:top w:val="none" w:sz="0" w:space="0" w:color="auto"/>
            <w:left w:val="none" w:sz="0" w:space="0" w:color="auto"/>
            <w:bottom w:val="none" w:sz="0" w:space="0" w:color="auto"/>
            <w:right w:val="none" w:sz="0" w:space="0" w:color="auto"/>
          </w:divBdr>
        </w:div>
        <w:div w:id="1693992760">
          <w:marLeft w:val="274"/>
          <w:marRight w:val="0"/>
          <w:marTop w:val="0"/>
          <w:marBottom w:val="0"/>
          <w:divBdr>
            <w:top w:val="none" w:sz="0" w:space="0" w:color="auto"/>
            <w:left w:val="none" w:sz="0" w:space="0" w:color="auto"/>
            <w:bottom w:val="none" w:sz="0" w:space="0" w:color="auto"/>
            <w:right w:val="none" w:sz="0" w:space="0" w:color="auto"/>
          </w:divBdr>
        </w:div>
        <w:div w:id="1049302344">
          <w:marLeft w:val="274"/>
          <w:marRight w:val="0"/>
          <w:marTop w:val="0"/>
          <w:marBottom w:val="0"/>
          <w:divBdr>
            <w:top w:val="none" w:sz="0" w:space="0" w:color="auto"/>
            <w:left w:val="none" w:sz="0" w:space="0" w:color="auto"/>
            <w:bottom w:val="none" w:sz="0" w:space="0" w:color="auto"/>
            <w:right w:val="none" w:sz="0" w:space="0" w:color="auto"/>
          </w:divBdr>
        </w:div>
        <w:div w:id="727193749">
          <w:marLeft w:val="274"/>
          <w:marRight w:val="0"/>
          <w:marTop w:val="0"/>
          <w:marBottom w:val="0"/>
          <w:divBdr>
            <w:top w:val="none" w:sz="0" w:space="0" w:color="auto"/>
            <w:left w:val="none" w:sz="0" w:space="0" w:color="auto"/>
            <w:bottom w:val="none" w:sz="0" w:space="0" w:color="auto"/>
            <w:right w:val="none" w:sz="0" w:space="0" w:color="auto"/>
          </w:divBdr>
        </w:div>
      </w:divsChild>
    </w:div>
    <w:div w:id="622154904">
      <w:bodyDiv w:val="1"/>
      <w:marLeft w:val="0"/>
      <w:marRight w:val="0"/>
      <w:marTop w:val="0"/>
      <w:marBottom w:val="0"/>
      <w:divBdr>
        <w:top w:val="none" w:sz="0" w:space="0" w:color="auto"/>
        <w:left w:val="none" w:sz="0" w:space="0" w:color="auto"/>
        <w:bottom w:val="none" w:sz="0" w:space="0" w:color="auto"/>
        <w:right w:val="none" w:sz="0" w:space="0" w:color="auto"/>
      </w:divBdr>
    </w:div>
    <w:div w:id="746192957">
      <w:bodyDiv w:val="1"/>
      <w:marLeft w:val="0"/>
      <w:marRight w:val="0"/>
      <w:marTop w:val="0"/>
      <w:marBottom w:val="0"/>
      <w:divBdr>
        <w:top w:val="none" w:sz="0" w:space="0" w:color="auto"/>
        <w:left w:val="none" w:sz="0" w:space="0" w:color="auto"/>
        <w:bottom w:val="none" w:sz="0" w:space="0" w:color="auto"/>
        <w:right w:val="none" w:sz="0" w:space="0" w:color="auto"/>
      </w:divBdr>
    </w:div>
    <w:div w:id="931741211">
      <w:bodyDiv w:val="1"/>
      <w:marLeft w:val="0"/>
      <w:marRight w:val="0"/>
      <w:marTop w:val="0"/>
      <w:marBottom w:val="0"/>
      <w:divBdr>
        <w:top w:val="none" w:sz="0" w:space="0" w:color="auto"/>
        <w:left w:val="none" w:sz="0" w:space="0" w:color="auto"/>
        <w:bottom w:val="none" w:sz="0" w:space="0" w:color="auto"/>
        <w:right w:val="none" w:sz="0" w:space="0" w:color="auto"/>
      </w:divBdr>
    </w:div>
    <w:div w:id="1127891989">
      <w:bodyDiv w:val="1"/>
      <w:marLeft w:val="0"/>
      <w:marRight w:val="0"/>
      <w:marTop w:val="0"/>
      <w:marBottom w:val="0"/>
      <w:divBdr>
        <w:top w:val="none" w:sz="0" w:space="0" w:color="auto"/>
        <w:left w:val="none" w:sz="0" w:space="0" w:color="auto"/>
        <w:bottom w:val="none" w:sz="0" w:space="0" w:color="auto"/>
        <w:right w:val="none" w:sz="0" w:space="0" w:color="auto"/>
      </w:divBdr>
      <w:divsChild>
        <w:div w:id="1474180850">
          <w:marLeft w:val="547"/>
          <w:marRight w:val="0"/>
          <w:marTop w:val="130"/>
          <w:marBottom w:val="0"/>
          <w:divBdr>
            <w:top w:val="none" w:sz="0" w:space="0" w:color="auto"/>
            <w:left w:val="none" w:sz="0" w:space="0" w:color="auto"/>
            <w:bottom w:val="none" w:sz="0" w:space="0" w:color="auto"/>
            <w:right w:val="none" w:sz="0" w:space="0" w:color="auto"/>
          </w:divBdr>
        </w:div>
        <w:div w:id="1250849333">
          <w:marLeft w:val="547"/>
          <w:marRight w:val="0"/>
          <w:marTop w:val="130"/>
          <w:marBottom w:val="0"/>
          <w:divBdr>
            <w:top w:val="none" w:sz="0" w:space="0" w:color="auto"/>
            <w:left w:val="none" w:sz="0" w:space="0" w:color="auto"/>
            <w:bottom w:val="none" w:sz="0" w:space="0" w:color="auto"/>
            <w:right w:val="none" w:sz="0" w:space="0" w:color="auto"/>
          </w:divBdr>
        </w:div>
        <w:div w:id="1562136554">
          <w:marLeft w:val="547"/>
          <w:marRight w:val="0"/>
          <w:marTop w:val="130"/>
          <w:marBottom w:val="0"/>
          <w:divBdr>
            <w:top w:val="none" w:sz="0" w:space="0" w:color="auto"/>
            <w:left w:val="none" w:sz="0" w:space="0" w:color="auto"/>
            <w:bottom w:val="none" w:sz="0" w:space="0" w:color="auto"/>
            <w:right w:val="none" w:sz="0" w:space="0" w:color="auto"/>
          </w:divBdr>
        </w:div>
        <w:div w:id="1224756615">
          <w:marLeft w:val="547"/>
          <w:marRight w:val="0"/>
          <w:marTop w:val="130"/>
          <w:marBottom w:val="0"/>
          <w:divBdr>
            <w:top w:val="none" w:sz="0" w:space="0" w:color="auto"/>
            <w:left w:val="none" w:sz="0" w:space="0" w:color="auto"/>
            <w:bottom w:val="none" w:sz="0" w:space="0" w:color="auto"/>
            <w:right w:val="none" w:sz="0" w:space="0" w:color="auto"/>
          </w:divBdr>
        </w:div>
      </w:divsChild>
    </w:div>
    <w:div w:id="1261378147">
      <w:bodyDiv w:val="1"/>
      <w:marLeft w:val="0"/>
      <w:marRight w:val="0"/>
      <w:marTop w:val="0"/>
      <w:marBottom w:val="0"/>
      <w:divBdr>
        <w:top w:val="none" w:sz="0" w:space="0" w:color="auto"/>
        <w:left w:val="none" w:sz="0" w:space="0" w:color="auto"/>
        <w:bottom w:val="none" w:sz="0" w:space="0" w:color="auto"/>
        <w:right w:val="none" w:sz="0" w:space="0" w:color="auto"/>
      </w:divBdr>
    </w:div>
    <w:div w:id="1269702739">
      <w:bodyDiv w:val="1"/>
      <w:marLeft w:val="0"/>
      <w:marRight w:val="0"/>
      <w:marTop w:val="0"/>
      <w:marBottom w:val="0"/>
      <w:divBdr>
        <w:top w:val="none" w:sz="0" w:space="0" w:color="auto"/>
        <w:left w:val="none" w:sz="0" w:space="0" w:color="auto"/>
        <w:bottom w:val="none" w:sz="0" w:space="0" w:color="auto"/>
        <w:right w:val="none" w:sz="0" w:space="0" w:color="auto"/>
      </w:divBdr>
    </w:div>
    <w:div w:id="1308706209">
      <w:bodyDiv w:val="1"/>
      <w:marLeft w:val="0"/>
      <w:marRight w:val="0"/>
      <w:marTop w:val="0"/>
      <w:marBottom w:val="0"/>
      <w:divBdr>
        <w:top w:val="none" w:sz="0" w:space="0" w:color="auto"/>
        <w:left w:val="none" w:sz="0" w:space="0" w:color="auto"/>
        <w:bottom w:val="none" w:sz="0" w:space="0" w:color="auto"/>
        <w:right w:val="none" w:sz="0" w:space="0" w:color="auto"/>
      </w:divBdr>
    </w:div>
    <w:div w:id="1357385726">
      <w:bodyDiv w:val="1"/>
      <w:marLeft w:val="0"/>
      <w:marRight w:val="0"/>
      <w:marTop w:val="0"/>
      <w:marBottom w:val="0"/>
      <w:divBdr>
        <w:top w:val="none" w:sz="0" w:space="0" w:color="auto"/>
        <w:left w:val="none" w:sz="0" w:space="0" w:color="auto"/>
        <w:bottom w:val="none" w:sz="0" w:space="0" w:color="auto"/>
        <w:right w:val="none" w:sz="0" w:space="0" w:color="auto"/>
      </w:divBdr>
    </w:div>
    <w:div w:id="1377699731">
      <w:bodyDiv w:val="1"/>
      <w:marLeft w:val="0"/>
      <w:marRight w:val="0"/>
      <w:marTop w:val="0"/>
      <w:marBottom w:val="0"/>
      <w:divBdr>
        <w:top w:val="none" w:sz="0" w:space="0" w:color="auto"/>
        <w:left w:val="none" w:sz="0" w:space="0" w:color="auto"/>
        <w:bottom w:val="none" w:sz="0" w:space="0" w:color="auto"/>
        <w:right w:val="none" w:sz="0" w:space="0" w:color="auto"/>
      </w:divBdr>
    </w:div>
    <w:div w:id="1536426791">
      <w:bodyDiv w:val="1"/>
      <w:marLeft w:val="0"/>
      <w:marRight w:val="0"/>
      <w:marTop w:val="0"/>
      <w:marBottom w:val="0"/>
      <w:divBdr>
        <w:top w:val="none" w:sz="0" w:space="0" w:color="auto"/>
        <w:left w:val="none" w:sz="0" w:space="0" w:color="auto"/>
        <w:bottom w:val="none" w:sz="0" w:space="0" w:color="auto"/>
        <w:right w:val="none" w:sz="0" w:space="0" w:color="auto"/>
      </w:divBdr>
    </w:div>
    <w:div w:id="1593200492">
      <w:bodyDiv w:val="1"/>
      <w:marLeft w:val="0"/>
      <w:marRight w:val="0"/>
      <w:marTop w:val="0"/>
      <w:marBottom w:val="0"/>
      <w:divBdr>
        <w:top w:val="none" w:sz="0" w:space="0" w:color="auto"/>
        <w:left w:val="none" w:sz="0" w:space="0" w:color="auto"/>
        <w:bottom w:val="none" w:sz="0" w:space="0" w:color="auto"/>
        <w:right w:val="none" w:sz="0" w:space="0" w:color="auto"/>
      </w:divBdr>
      <w:divsChild>
        <w:div w:id="488328170">
          <w:marLeft w:val="274"/>
          <w:marRight w:val="0"/>
          <w:marTop w:val="0"/>
          <w:marBottom w:val="0"/>
          <w:divBdr>
            <w:top w:val="none" w:sz="0" w:space="0" w:color="auto"/>
            <w:left w:val="none" w:sz="0" w:space="0" w:color="auto"/>
            <w:bottom w:val="none" w:sz="0" w:space="0" w:color="auto"/>
            <w:right w:val="none" w:sz="0" w:space="0" w:color="auto"/>
          </w:divBdr>
        </w:div>
        <w:div w:id="232088362">
          <w:marLeft w:val="274"/>
          <w:marRight w:val="0"/>
          <w:marTop w:val="0"/>
          <w:marBottom w:val="0"/>
          <w:divBdr>
            <w:top w:val="none" w:sz="0" w:space="0" w:color="auto"/>
            <w:left w:val="none" w:sz="0" w:space="0" w:color="auto"/>
            <w:bottom w:val="none" w:sz="0" w:space="0" w:color="auto"/>
            <w:right w:val="none" w:sz="0" w:space="0" w:color="auto"/>
          </w:divBdr>
        </w:div>
        <w:div w:id="1526822446">
          <w:marLeft w:val="274"/>
          <w:marRight w:val="0"/>
          <w:marTop w:val="0"/>
          <w:marBottom w:val="0"/>
          <w:divBdr>
            <w:top w:val="none" w:sz="0" w:space="0" w:color="auto"/>
            <w:left w:val="none" w:sz="0" w:space="0" w:color="auto"/>
            <w:bottom w:val="none" w:sz="0" w:space="0" w:color="auto"/>
            <w:right w:val="none" w:sz="0" w:space="0" w:color="auto"/>
          </w:divBdr>
        </w:div>
        <w:div w:id="1538930129">
          <w:marLeft w:val="274"/>
          <w:marRight w:val="0"/>
          <w:marTop w:val="0"/>
          <w:marBottom w:val="0"/>
          <w:divBdr>
            <w:top w:val="none" w:sz="0" w:space="0" w:color="auto"/>
            <w:left w:val="none" w:sz="0" w:space="0" w:color="auto"/>
            <w:bottom w:val="none" w:sz="0" w:space="0" w:color="auto"/>
            <w:right w:val="none" w:sz="0" w:space="0" w:color="auto"/>
          </w:divBdr>
        </w:div>
        <w:div w:id="300961125">
          <w:marLeft w:val="274"/>
          <w:marRight w:val="0"/>
          <w:marTop w:val="0"/>
          <w:marBottom w:val="0"/>
          <w:divBdr>
            <w:top w:val="none" w:sz="0" w:space="0" w:color="auto"/>
            <w:left w:val="none" w:sz="0" w:space="0" w:color="auto"/>
            <w:bottom w:val="none" w:sz="0" w:space="0" w:color="auto"/>
            <w:right w:val="none" w:sz="0" w:space="0" w:color="auto"/>
          </w:divBdr>
        </w:div>
        <w:div w:id="1053768547">
          <w:marLeft w:val="274"/>
          <w:marRight w:val="0"/>
          <w:marTop w:val="0"/>
          <w:marBottom w:val="0"/>
          <w:divBdr>
            <w:top w:val="none" w:sz="0" w:space="0" w:color="auto"/>
            <w:left w:val="none" w:sz="0" w:space="0" w:color="auto"/>
            <w:bottom w:val="none" w:sz="0" w:space="0" w:color="auto"/>
            <w:right w:val="none" w:sz="0" w:space="0" w:color="auto"/>
          </w:divBdr>
        </w:div>
        <w:div w:id="641735085">
          <w:marLeft w:val="274"/>
          <w:marRight w:val="0"/>
          <w:marTop w:val="0"/>
          <w:marBottom w:val="0"/>
          <w:divBdr>
            <w:top w:val="none" w:sz="0" w:space="0" w:color="auto"/>
            <w:left w:val="none" w:sz="0" w:space="0" w:color="auto"/>
            <w:bottom w:val="none" w:sz="0" w:space="0" w:color="auto"/>
            <w:right w:val="none" w:sz="0" w:space="0" w:color="auto"/>
          </w:divBdr>
        </w:div>
        <w:div w:id="451291065">
          <w:marLeft w:val="274"/>
          <w:marRight w:val="0"/>
          <w:marTop w:val="0"/>
          <w:marBottom w:val="0"/>
          <w:divBdr>
            <w:top w:val="none" w:sz="0" w:space="0" w:color="auto"/>
            <w:left w:val="none" w:sz="0" w:space="0" w:color="auto"/>
            <w:bottom w:val="none" w:sz="0" w:space="0" w:color="auto"/>
            <w:right w:val="none" w:sz="0" w:space="0" w:color="auto"/>
          </w:divBdr>
        </w:div>
        <w:div w:id="429550052">
          <w:marLeft w:val="274"/>
          <w:marRight w:val="0"/>
          <w:marTop w:val="0"/>
          <w:marBottom w:val="0"/>
          <w:divBdr>
            <w:top w:val="none" w:sz="0" w:space="0" w:color="auto"/>
            <w:left w:val="none" w:sz="0" w:space="0" w:color="auto"/>
            <w:bottom w:val="none" w:sz="0" w:space="0" w:color="auto"/>
            <w:right w:val="none" w:sz="0" w:space="0" w:color="auto"/>
          </w:divBdr>
        </w:div>
        <w:div w:id="1832528430">
          <w:marLeft w:val="274"/>
          <w:marRight w:val="0"/>
          <w:marTop w:val="0"/>
          <w:marBottom w:val="0"/>
          <w:divBdr>
            <w:top w:val="none" w:sz="0" w:space="0" w:color="auto"/>
            <w:left w:val="none" w:sz="0" w:space="0" w:color="auto"/>
            <w:bottom w:val="none" w:sz="0" w:space="0" w:color="auto"/>
            <w:right w:val="none" w:sz="0" w:space="0" w:color="auto"/>
          </w:divBdr>
        </w:div>
        <w:div w:id="1579167057">
          <w:marLeft w:val="274"/>
          <w:marRight w:val="0"/>
          <w:marTop w:val="0"/>
          <w:marBottom w:val="0"/>
          <w:divBdr>
            <w:top w:val="none" w:sz="0" w:space="0" w:color="auto"/>
            <w:left w:val="none" w:sz="0" w:space="0" w:color="auto"/>
            <w:bottom w:val="none" w:sz="0" w:space="0" w:color="auto"/>
            <w:right w:val="none" w:sz="0" w:space="0" w:color="auto"/>
          </w:divBdr>
        </w:div>
        <w:div w:id="1174606711">
          <w:marLeft w:val="274"/>
          <w:marRight w:val="0"/>
          <w:marTop w:val="0"/>
          <w:marBottom w:val="0"/>
          <w:divBdr>
            <w:top w:val="none" w:sz="0" w:space="0" w:color="auto"/>
            <w:left w:val="none" w:sz="0" w:space="0" w:color="auto"/>
            <w:bottom w:val="none" w:sz="0" w:space="0" w:color="auto"/>
            <w:right w:val="none" w:sz="0" w:space="0" w:color="auto"/>
          </w:divBdr>
        </w:div>
        <w:div w:id="997148419">
          <w:marLeft w:val="274"/>
          <w:marRight w:val="0"/>
          <w:marTop w:val="0"/>
          <w:marBottom w:val="0"/>
          <w:divBdr>
            <w:top w:val="none" w:sz="0" w:space="0" w:color="auto"/>
            <w:left w:val="none" w:sz="0" w:space="0" w:color="auto"/>
            <w:bottom w:val="none" w:sz="0" w:space="0" w:color="auto"/>
            <w:right w:val="none" w:sz="0" w:space="0" w:color="auto"/>
          </w:divBdr>
        </w:div>
        <w:div w:id="1884753260">
          <w:marLeft w:val="274"/>
          <w:marRight w:val="0"/>
          <w:marTop w:val="0"/>
          <w:marBottom w:val="0"/>
          <w:divBdr>
            <w:top w:val="none" w:sz="0" w:space="0" w:color="auto"/>
            <w:left w:val="none" w:sz="0" w:space="0" w:color="auto"/>
            <w:bottom w:val="none" w:sz="0" w:space="0" w:color="auto"/>
            <w:right w:val="none" w:sz="0" w:space="0" w:color="auto"/>
          </w:divBdr>
        </w:div>
        <w:div w:id="381370089">
          <w:marLeft w:val="274"/>
          <w:marRight w:val="0"/>
          <w:marTop w:val="0"/>
          <w:marBottom w:val="0"/>
          <w:divBdr>
            <w:top w:val="none" w:sz="0" w:space="0" w:color="auto"/>
            <w:left w:val="none" w:sz="0" w:space="0" w:color="auto"/>
            <w:bottom w:val="none" w:sz="0" w:space="0" w:color="auto"/>
            <w:right w:val="none" w:sz="0" w:space="0" w:color="auto"/>
          </w:divBdr>
        </w:div>
        <w:div w:id="256983992">
          <w:marLeft w:val="274"/>
          <w:marRight w:val="0"/>
          <w:marTop w:val="0"/>
          <w:marBottom w:val="0"/>
          <w:divBdr>
            <w:top w:val="none" w:sz="0" w:space="0" w:color="auto"/>
            <w:left w:val="none" w:sz="0" w:space="0" w:color="auto"/>
            <w:bottom w:val="none" w:sz="0" w:space="0" w:color="auto"/>
            <w:right w:val="none" w:sz="0" w:space="0" w:color="auto"/>
          </w:divBdr>
        </w:div>
        <w:div w:id="1573157222">
          <w:marLeft w:val="274"/>
          <w:marRight w:val="0"/>
          <w:marTop w:val="0"/>
          <w:marBottom w:val="0"/>
          <w:divBdr>
            <w:top w:val="none" w:sz="0" w:space="0" w:color="auto"/>
            <w:left w:val="none" w:sz="0" w:space="0" w:color="auto"/>
            <w:bottom w:val="none" w:sz="0" w:space="0" w:color="auto"/>
            <w:right w:val="none" w:sz="0" w:space="0" w:color="auto"/>
          </w:divBdr>
        </w:div>
        <w:div w:id="1641619532">
          <w:marLeft w:val="274"/>
          <w:marRight w:val="0"/>
          <w:marTop w:val="0"/>
          <w:marBottom w:val="0"/>
          <w:divBdr>
            <w:top w:val="none" w:sz="0" w:space="0" w:color="auto"/>
            <w:left w:val="none" w:sz="0" w:space="0" w:color="auto"/>
            <w:bottom w:val="none" w:sz="0" w:space="0" w:color="auto"/>
            <w:right w:val="none" w:sz="0" w:space="0" w:color="auto"/>
          </w:divBdr>
        </w:div>
        <w:div w:id="1814177129">
          <w:marLeft w:val="274"/>
          <w:marRight w:val="0"/>
          <w:marTop w:val="0"/>
          <w:marBottom w:val="0"/>
          <w:divBdr>
            <w:top w:val="none" w:sz="0" w:space="0" w:color="auto"/>
            <w:left w:val="none" w:sz="0" w:space="0" w:color="auto"/>
            <w:bottom w:val="none" w:sz="0" w:space="0" w:color="auto"/>
            <w:right w:val="none" w:sz="0" w:space="0" w:color="auto"/>
          </w:divBdr>
        </w:div>
        <w:div w:id="1713000940">
          <w:marLeft w:val="274"/>
          <w:marRight w:val="0"/>
          <w:marTop w:val="0"/>
          <w:marBottom w:val="0"/>
          <w:divBdr>
            <w:top w:val="none" w:sz="0" w:space="0" w:color="auto"/>
            <w:left w:val="none" w:sz="0" w:space="0" w:color="auto"/>
            <w:bottom w:val="none" w:sz="0" w:space="0" w:color="auto"/>
            <w:right w:val="none" w:sz="0" w:space="0" w:color="auto"/>
          </w:divBdr>
        </w:div>
        <w:div w:id="835613613">
          <w:marLeft w:val="274"/>
          <w:marRight w:val="0"/>
          <w:marTop w:val="0"/>
          <w:marBottom w:val="0"/>
          <w:divBdr>
            <w:top w:val="none" w:sz="0" w:space="0" w:color="auto"/>
            <w:left w:val="none" w:sz="0" w:space="0" w:color="auto"/>
            <w:bottom w:val="none" w:sz="0" w:space="0" w:color="auto"/>
            <w:right w:val="none" w:sz="0" w:space="0" w:color="auto"/>
          </w:divBdr>
        </w:div>
        <w:div w:id="1886411459">
          <w:marLeft w:val="274"/>
          <w:marRight w:val="0"/>
          <w:marTop w:val="0"/>
          <w:marBottom w:val="0"/>
          <w:divBdr>
            <w:top w:val="none" w:sz="0" w:space="0" w:color="auto"/>
            <w:left w:val="none" w:sz="0" w:space="0" w:color="auto"/>
            <w:bottom w:val="none" w:sz="0" w:space="0" w:color="auto"/>
            <w:right w:val="none" w:sz="0" w:space="0" w:color="auto"/>
          </w:divBdr>
        </w:div>
        <w:div w:id="1089235851">
          <w:marLeft w:val="274"/>
          <w:marRight w:val="0"/>
          <w:marTop w:val="0"/>
          <w:marBottom w:val="0"/>
          <w:divBdr>
            <w:top w:val="none" w:sz="0" w:space="0" w:color="auto"/>
            <w:left w:val="none" w:sz="0" w:space="0" w:color="auto"/>
            <w:bottom w:val="none" w:sz="0" w:space="0" w:color="auto"/>
            <w:right w:val="none" w:sz="0" w:space="0" w:color="auto"/>
          </w:divBdr>
        </w:div>
        <w:div w:id="413749745">
          <w:marLeft w:val="274"/>
          <w:marRight w:val="0"/>
          <w:marTop w:val="0"/>
          <w:marBottom w:val="0"/>
          <w:divBdr>
            <w:top w:val="none" w:sz="0" w:space="0" w:color="auto"/>
            <w:left w:val="none" w:sz="0" w:space="0" w:color="auto"/>
            <w:bottom w:val="none" w:sz="0" w:space="0" w:color="auto"/>
            <w:right w:val="none" w:sz="0" w:space="0" w:color="auto"/>
          </w:divBdr>
        </w:div>
        <w:div w:id="818770314">
          <w:marLeft w:val="274"/>
          <w:marRight w:val="0"/>
          <w:marTop w:val="0"/>
          <w:marBottom w:val="0"/>
          <w:divBdr>
            <w:top w:val="none" w:sz="0" w:space="0" w:color="auto"/>
            <w:left w:val="none" w:sz="0" w:space="0" w:color="auto"/>
            <w:bottom w:val="none" w:sz="0" w:space="0" w:color="auto"/>
            <w:right w:val="none" w:sz="0" w:space="0" w:color="auto"/>
          </w:divBdr>
        </w:div>
        <w:div w:id="209810066">
          <w:marLeft w:val="274"/>
          <w:marRight w:val="0"/>
          <w:marTop w:val="0"/>
          <w:marBottom w:val="0"/>
          <w:divBdr>
            <w:top w:val="none" w:sz="0" w:space="0" w:color="auto"/>
            <w:left w:val="none" w:sz="0" w:space="0" w:color="auto"/>
            <w:bottom w:val="none" w:sz="0" w:space="0" w:color="auto"/>
            <w:right w:val="none" w:sz="0" w:space="0" w:color="auto"/>
          </w:divBdr>
        </w:div>
        <w:div w:id="8909655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water@esc.vic.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0CD9A10B8F245FA9C4B3BD3D8992998" version="1.0.0">
  <systemFields>
    <field name="Objective-Id">
      <value order="0">A4628849</value>
    </field>
    <field name="Objective-Title">
      <value order="0">Application for Annual Price Review 2023/24 - Final</value>
    </field>
    <field name="Objective-Description">
      <value order="0"/>
    </field>
    <field name="Objective-CreationStamp">
      <value order="0">2023-04-26T05:04:07Z</value>
    </field>
    <field name="Objective-IsApproved">
      <value order="0">false</value>
    </field>
    <field name="Objective-IsPublished">
      <value order="0">true</value>
    </field>
    <field name="Objective-DatePublished">
      <value order="0">2023-05-04T06:02:38Z</value>
    </field>
    <field name="Objective-ModificationStamp">
      <value order="0">2023-05-04T06:02:39Z</value>
    </field>
    <field name="Objective-Owner">
      <value order="0">Richardson, Renee</value>
    </field>
    <field name="Objective-Path">
      <value order="0">Objective Global Folder:Financial Management:Annual Pricing Review:Pricing:REGULATION &amp; PRICING - ANNUAL PRICE REVIEW 2023/24</value>
    </field>
    <field name="Objective-Parent">
      <value order="0">REGULATION &amp; PRICING - ANNUAL PRICE REVIEW 2023/24</value>
    </field>
    <field name="Objective-State">
      <value order="0">Published</value>
    </field>
    <field name="Objective-VersionId">
      <value order="0">vA5907299</value>
    </field>
    <field name="Objective-Version">
      <value order="0">9.0</value>
    </field>
    <field name="Objective-VersionNumber">
      <value order="0">9</value>
    </field>
    <field name="Objective-VersionComment">
      <value order="0"/>
    </field>
    <field name="Objective-FileNumber">
      <value order="0">2022/2914</value>
    </field>
    <field name="Objective-Classification">
      <value order="0">Unclassified</value>
    </field>
    <field name="Objective-Caveats">
      <value order="0"/>
    </field>
  </systemFields>
  <catalogues>
    <catalogue name="General Document Type Catalogue" type="type" ori="id:cA8">
      <field name="Objective-GMW Barcode">
        <value order="0"/>
      </field>
      <field name="Objective-Batch Name">
        <value order="0"/>
      </field>
      <field name="Objective-Box Number">
        <value order="0"/>
      </field>
      <field name="Objective-DM Number">
        <value order="0"/>
      </field>
      <field name="Objective-DM File Number">
        <value order="0"/>
      </field>
      <field name="Objective-DM Legacy Path">
        <value order="0"/>
      </field>
      <field name="Objective-M13 Agency Type">
        <value order="0">Registrar</value>
      </field>
      <field name="Objective-M16 Corporate Name">
        <value order="0">Goulburn-Murray Rural Water Corporation</value>
      </field>
      <field name="Objective-OCR Status">
        <value order="0">OCR Status</value>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0CD9A10B8F245FA9C4B3BD3D8992998"/>
  </ds:schemaRefs>
</ds:datastoreItem>
</file>

<file path=customXml/itemProps2.xml><?xml version="1.0" encoding="utf-8"?>
<ds:datastoreItem xmlns:ds="http://schemas.openxmlformats.org/officeDocument/2006/customXml" ds:itemID="{8F3FC581-6F63-4586-BF41-9059A25D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6245</TotalTime>
  <Pages>24</Pages>
  <Words>7475</Words>
  <Characters>42608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Goulburn-Murray Water</Company>
  <LinksUpToDate>false</LinksUpToDate>
  <CharactersWithSpaces>49984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amyla</dc:creator>
  <cp:keywords>[SEC=OFFICIAL]</cp:keywords>
  <cp:lastModifiedBy>Mayumi Edirisinghe (ESC)</cp:lastModifiedBy>
  <cp:revision>359</cp:revision>
  <cp:lastPrinted>2022-04-13T02:29:00Z</cp:lastPrinted>
  <dcterms:created xsi:type="dcterms:W3CDTF">2021-02-09T23:00:00Z</dcterms:created>
  <dcterms:modified xsi:type="dcterms:W3CDTF">2023-05-04T22:43:00Z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A4628849</vt:lpwstr>
  </property>
  <property fmtid="{D5CDD505-2E9C-101B-9397-08002B2CF9AE}" pid="4" name="Objective-Title">
    <vt:lpwstr>Application for Annual Price Review 2023/24 - Final</vt:lpwstr>
  </property>
  <property fmtid="{D5CDD505-2E9C-101B-9397-08002B2CF9AE}" pid="5" name="Objective-Description">
    <vt:lpwstr/>
  </property>
  <property fmtid="{D5CDD505-2E9C-101B-9397-08002B2CF9AE}" pid="6" name="Objective-CreationStamp">
    <vt:filetime>2023-04-26T05:04:07Z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2023-05-04T06:02:38Z</vt:filetime>
  </property>
  <property fmtid="{D5CDD505-2E9C-101B-9397-08002B2CF9AE}" pid="10" name="Objective-ModificationStamp">
    <vt:filetime>2023-05-04T06:02:39Z</vt:filetime>
  </property>
  <property fmtid="{D5CDD505-2E9C-101B-9397-08002B2CF9AE}" pid="11" name="Objective-Owner">
    <vt:lpwstr>Richardson, Renee</vt:lpwstr>
  </property>
  <property fmtid="{D5CDD505-2E9C-101B-9397-08002B2CF9AE}" pid="12" name="Objective-Path">
    <vt:lpwstr>Objective Global Folder:Financial Management:Annual Pricing Review:Pricing:REGULATION &amp; PRICING - ANNUAL PRICE REVIEW 2023/24</vt:lpwstr>
  </property>
  <property fmtid="{D5CDD505-2E9C-101B-9397-08002B2CF9AE}" pid="13" name="Objective-Parent">
    <vt:lpwstr>REGULATION &amp; PRICING - ANNUAL PRICE REVIEW 2023/24</vt:lpwstr>
  </property>
  <property fmtid="{D5CDD505-2E9C-101B-9397-08002B2CF9AE}" pid="14" name="Objective-State">
    <vt:lpwstr>Published</vt:lpwstr>
  </property>
  <property fmtid="{D5CDD505-2E9C-101B-9397-08002B2CF9AE}" pid="15" name="Objective-VersionId">
    <vt:lpwstr>vA5907299</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2022/2914</vt:lpwstr>
  </property>
  <property fmtid="{D5CDD505-2E9C-101B-9397-08002B2CF9AE}" pid="20" name="Objective-Classification">
    <vt:lpwstr>Unclassified</vt:lpwstr>
  </property>
  <property fmtid="{D5CDD505-2E9C-101B-9397-08002B2CF9AE}" pid="21" name="Objective-Caveats">
    <vt:lpwstr/>
  </property>
  <property fmtid="{D5CDD505-2E9C-101B-9397-08002B2CF9AE}" pid="22" name="Objective-GMW Barcode">
    <vt:lpwstr/>
  </property>
  <property fmtid="{D5CDD505-2E9C-101B-9397-08002B2CF9AE}" pid="23" name="Objective-Batch Name">
    <vt:lpwstr/>
  </property>
  <property fmtid="{D5CDD505-2E9C-101B-9397-08002B2CF9AE}" pid="24" name="Objective-Box Number">
    <vt:lpwstr/>
  </property>
  <property fmtid="{D5CDD505-2E9C-101B-9397-08002B2CF9AE}" pid="25" name="Objective-DM Number">
    <vt:lpwstr/>
  </property>
  <property fmtid="{D5CDD505-2E9C-101B-9397-08002B2CF9AE}" pid="26" name="Objective-DM File Number">
    <vt:lpwstr/>
  </property>
  <property fmtid="{D5CDD505-2E9C-101B-9397-08002B2CF9AE}" pid="27" name="Objective-DM Legacy Path">
    <vt:lpwstr/>
  </property>
  <property fmtid="{D5CDD505-2E9C-101B-9397-08002B2CF9AE}" pid="28" name="Objective-M13 Agency Type">
    <vt:lpwstr>Registrar</vt:lpwstr>
  </property>
  <property fmtid="{D5CDD505-2E9C-101B-9397-08002B2CF9AE}" pid="29" name="Objective-M16 Corporate Name">
    <vt:lpwstr>Goulburn-Murray Rural Water Corporation</vt:lpwstr>
  </property>
  <property fmtid="{D5CDD505-2E9C-101B-9397-08002B2CF9AE}" pid="30" name="Objective-OCR Status">
    <vt:lpwstr>OCR Status</vt:lpwstr>
  </property>
  <property fmtid="{D5CDD505-2E9C-101B-9397-08002B2CF9AE}" pid="31" name="PM_ProtectiveMarkingImage_Header">
    <vt:lpwstr>C:\Program Files (x86)\Common Files\janusNET Shared\janusSEAL\Images\DocumentSlashBlue.png</vt:lpwstr>
  </property>
  <property fmtid="{D5CDD505-2E9C-101B-9397-08002B2CF9AE}" pid="32" name="PM_Caveats_Count">
    <vt:lpwstr>0</vt:lpwstr>
  </property>
  <property fmtid="{D5CDD505-2E9C-101B-9397-08002B2CF9AE}" pid="33" name="PM_DisplayValueSecClassificationWithQualifier">
    <vt:lpwstr>OFFICIAL</vt:lpwstr>
  </property>
  <property fmtid="{D5CDD505-2E9C-101B-9397-08002B2CF9AE}" pid="34" name="PM_Qualifier">
    <vt:lpwstr/>
  </property>
  <property fmtid="{D5CDD505-2E9C-101B-9397-08002B2CF9AE}" pid="35" name="PM_SecurityClassification">
    <vt:lpwstr>OFFICIAL</vt:lpwstr>
  </property>
  <property fmtid="{D5CDD505-2E9C-101B-9397-08002B2CF9AE}" pid="36" name="PM_InsertionValue">
    <vt:lpwstr>OFFICIAL</vt:lpwstr>
  </property>
  <property fmtid="{D5CDD505-2E9C-101B-9397-08002B2CF9AE}" pid="37" name="PM_Originating_FileId">
    <vt:lpwstr>F22391B08B3F410695AB706DA85881D7</vt:lpwstr>
  </property>
  <property fmtid="{D5CDD505-2E9C-101B-9397-08002B2CF9AE}" pid="38" name="PM_ProtectiveMarkingValue_Footer">
    <vt:lpwstr>OFFICIAL</vt:lpwstr>
  </property>
  <property fmtid="{D5CDD505-2E9C-101B-9397-08002B2CF9AE}" pid="39" name="PM_Originator_Hash_SHA1">
    <vt:lpwstr>8510DA3CABBC43D3AFC2FA0E1E4F084025EE3247</vt:lpwstr>
  </property>
  <property fmtid="{D5CDD505-2E9C-101B-9397-08002B2CF9AE}" pid="40" name="PM_OriginationTimeStamp">
    <vt:lpwstr>2023-05-04T07:29:07Z</vt:lpwstr>
  </property>
  <property fmtid="{D5CDD505-2E9C-101B-9397-08002B2CF9AE}" pid="41" name="PM_ProtectiveMarkingValue_Header">
    <vt:lpwstr>OFFICIAL</vt:lpwstr>
  </property>
  <property fmtid="{D5CDD505-2E9C-101B-9397-08002B2CF9AE}" pid="42" name="PM_ProtectiveMarkingImage_Footer">
    <vt:lpwstr>C:\Program Files (x86)\Common Files\janusNET Shared\janusSEAL\Images\DocumentSlashBlue.png</vt:lpwstr>
  </property>
  <property fmtid="{D5CDD505-2E9C-101B-9397-08002B2CF9AE}" pid="43" name="PM_Namespace">
    <vt:lpwstr>2019.2.1.vic.gov.au</vt:lpwstr>
  </property>
  <property fmtid="{D5CDD505-2E9C-101B-9397-08002B2CF9AE}" pid="44" name="PM_Version">
    <vt:lpwstr>2018.4</vt:lpwstr>
  </property>
  <property fmtid="{D5CDD505-2E9C-101B-9397-08002B2CF9AE}" pid="45" name="PM_Note">
    <vt:lpwstr/>
  </property>
  <property fmtid="{D5CDD505-2E9C-101B-9397-08002B2CF9AE}" pid="46" name="PM_Markers">
    <vt:lpwstr/>
  </property>
  <property fmtid="{D5CDD505-2E9C-101B-9397-08002B2CF9AE}" pid="47" name="PM_Display">
    <vt:lpwstr>OFFICIAL</vt:lpwstr>
  </property>
  <property fmtid="{D5CDD505-2E9C-101B-9397-08002B2CF9AE}" pid="48" name="PM_Hash_Version">
    <vt:lpwstr>2018.0</vt:lpwstr>
  </property>
  <property fmtid="{D5CDD505-2E9C-101B-9397-08002B2CF9AE}" pid="49" name="PM_Hash_Salt_Prev">
    <vt:lpwstr>A7BC6FBAF48D4A07FFFDA795CC5BE2D6</vt:lpwstr>
  </property>
  <property fmtid="{D5CDD505-2E9C-101B-9397-08002B2CF9AE}" pid="50" name="PM_Hash_Salt">
    <vt:lpwstr>2D65C691FA58E316AC44429A351A2427</vt:lpwstr>
  </property>
  <property fmtid="{D5CDD505-2E9C-101B-9397-08002B2CF9AE}" pid="51" name="PM_Hash_SHA1">
    <vt:lpwstr>4CBCE34DE3FD625A1510890335053FDB52AA0EA5</vt:lpwstr>
  </property>
  <property fmtid="{D5CDD505-2E9C-101B-9397-08002B2CF9AE}" pid="52" name="PM_OriginatorUserAccountName_SHA256">
    <vt:lpwstr>D42363B91FC210BA0C117C296964DE326588418CE9A7F2E18065BB4717C2FBD4</vt:lpwstr>
  </property>
  <property fmtid="{D5CDD505-2E9C-101B-9397-08002B2CF9AE}" pid="53" name="PM_OriginatorDomainName_SHA256">
    <vt:lpwstr>DC442173DEF45232E6E25AA134C49A8B8BFBF17DF4798FD344D119FEDA45176D</vt:lpwstr>
  </property>
  <property fmtid="{D5CDD505-2E9C-101B-9397-08002B2CF9AE}" pid="54" name="PM_MinimumSecurityClassification">
    <vt:lpwstr/>
  </property>
  <property fmtid="{D5CDD505-2E9C-101B-9397-08002B2CF9AE}" pid="55" name="PM_SecurityClassification_Prev">
    <vt:lpwstr>OFFICIAL</vt:lpwstr>
  </property>
  <property fmtid="{D5CDD505-2E9C-101B-9397-08002B2CF9AE}" pid="56" name="PM_Qualifier_Prev">
    <vt:lpwstr/>
  </property>
  <property fmtid="{D5CDD505-2E9C-101B-9397-08002B2CF9AE}" pid="57" name="Objective-Prop/Service ID">
    <vt:lpwstr/>
  </property>
  <property fmtid="{D5CDD505-2E9C-101B-9397-08002B2CF9AE}" pid="58" name="Objective-Ent No/Account ID">
    <vt:lpwstr/>
  </property>
  <property fmtid="{D5CDD505-2E9C-101B-9397-08002B2CF9AE}" pid="59" name="Objective-TXN/WR App No">
    <vt:lpwstr/>
  </property>
  <property fmtid="{D5CDD505-2E9C-101B-9397-08002B2CF9AE}" pid="60" name="Objective-SAM App No">
    <vt:lpwstr/>
  </property>
  <property fmtid="{D5CDD505-2E9C-101B-9397-08002B2CF9AE}" pid="61" name="Objective-SAM App Description">
    <vt:lpwstr/>
  </property>
  <property fmtid="{D5CDD505-2E9C-101B-9397-08002B2CF9AE}" pid="62" name="Objective-Customer Name">
    <vt:lpwstr/>
  </property>
  <property fmtid="{D5CDD505-2E9C-101B-9397-08002B2CF9AE}" pid="63" name="Objective-Customer Email Address">
    <vt:lpwstr/>
  </property>
  <property fmtid="{D5CDD505-2E9C-101B-9397-08002B2CF9AE}" pid="64" name="MSIP_Label_d90fb642-1d4d-4af8-994b-568cb868ba38_SiteId">
    <vt:lpwstr>2b545ad1-747e-4620-9301-1c6c50c1b198</vt:lpwstr>
  </property>
  <property fmtid="{D5CDD505-2E9C-101B-9397-08002B2CF9AE}" pid="65" name="MSIP_Label_d90fb642-1d4d-4af8-994b-568cb868ba38_Name">
    <vt:lpwstr>OFFICIAL</vt:lpwstr>
  </property>
  <property fmtid="{D5CDD505-2E9C-101B-9397-08002B2CF9AE}" pid="66" name="PMUuid">
    <vt:lpwstr>C9CD97EE-7A57-5433-8DC0-34EC18AC88E3</vt:lpwstr>
  </property>
  <property fmtid="{D5CDD505-2E9C-101B-9397-08002B2CF9AE}" pid="67" name="PMUuidVer">
    <vt:lpwstr>2022.1</vt:lpwstr>
  </property>
  <property fmtid="{D5CDD505-2E9C-101B-9397-08002B2CF9AE}" pid="68" name="MSIP_Label_d90fb642-1d4d-4af8-994b-568cb868ba38_Enabled">
    <vt:lpwstr>true</vt:lpwstr>
  </property>
  <property fmtid="{D5CDD505-2E9C-101B-9397-08002B2CF9AE}" pid="69" name="MSIP_Label_d90fb642-1d4d-4af8-994b-568cb868ba38_SetDate">
    <vt:lpwstr>2023-05-04T06:01:52Z</vt:lpwstr>
  </property>
  <property fmtid="{D5CDD505-2E9C-101B-9397-08002B2CF9AE}" pid="70" name="Objective-Comment">
    <vt:lpwstr/>
  </property>
</Properties>
</file>